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95ba6ff0f003bb8905d624bd7f553c0c0cfde6"/>
    <w:p>
      <w:pPr>
        <w:pStyle w:val="Heading1"/>
        <w:bidi/>
      </w:pPr>
      <w:r>
        <w:rPr>
          <w:rtl/>
        </w:rPr>
        <w:t xml:space="preserve">ملخص للمشرف: التعارضات SC-1 إلى SC-6 بين الفصل الثالث والتنفيذ الحالي لإطار REM</w:t>
      </w:r>
    </w:p>
    <w:p>
      <w:pPr>
        <w:bidi/>
      </w:pPr>
      <w:r>
        <w:rPr>
          <w:b/>
          <w:bCs/>
          <w:rtl/>
        </w:rPr>
        <w:t xml:space="preserve">التاريخ:</w:t>
      </w:r>
      <w:r>
        <w:rPr>
          <w:rtl/>
        </w:rPr>
        <w:t xml:space="preserve"> </w:t>
      </w:r>
      <w:r>
        <w:rPr>
          <w:rtl/>
        </w:rPr>
        <w:t xml:space="preserve">24 سبتمبر 2026</w:t>
      </w:r>
    </w:p>
    <w:p>
      <w:pPr>
        <w:bidi/>
      </w:pPr>
      <w:r>
        <w:rPr>
          <w:b/>
          <w:bCs/>
          <w:rtl/>
        </w:rPr>
        <w:t xml:space="preserve">الحالة:</w:t>
      </w:r>
      <w:r>
        <w:rPr>
          <w:rtl/>
        </w:rPr>
        <w:t xml:space="preserve"> </w:t>
      </w:r>
      <w:r>
        <w:rPr>
          <w:rtl/>
        </w:rPr>
        <w:t xml:space="preserve">التعارضات الستة كلها غير محسومة. لم يُعدَّل الفصل الثالث، ولا ملف القفل التصميمي</w:t>
      </w:r>
      <w:r>
        <w:rPr>
          <w:rtl/>
        </w:rPr>
        <w:t xml:space="preserve"> </w:t>
      </w:r>
      <w:r>
        <w:rPr>
          <w:rStyle w:val="VerbatimChar"/>
          <w:rtl/>
        </w:rPr>
        <w:t xml:space="preserve">CLAUDE.md</w:t>
      </w:r>
      <w:r>
        <w:rPr>
          <w:rtl/>
        </w:rPr>
        <w:t xml:space="preserve">، ولا الكود، بانتظار قرار المشرف.</w:t>
      </w:r>
    </w:p>
    <w:p>
      <w:pPr>
        <w:bidi/>
      </w:pPr>
      <w:r>
        <w:rPr>
          <w:b/>
          <w:bCs/>
          <w:rtl/>
        </w:rPr>
        <w:t xml:space="preserve">سبب وجود هذه التعارضات:</w:t>
      </w:r>
      <w:r>
        <w:rPr>
          <w:rtl/>
        </w:rPr>
        <w:t xml:space="preserve"> </w:t>
      </w:r>
      <w:r>
        <w:rPr>
          <w:rtl/>
        </w:rPr>
        <w:t xml:space="preserve">بُني التنفيذ في 19 سبتمبر اعتماداً على القفل التصميمي</w:t>
      </w:r>
      <w:r>
        <w:rPr>
          <w:rtl/>
        </w:rPr>
        <w:t xml:space="preserve"> </w:t>
      </w:r>
      <w:r>
        <w:rPr>
          <w:rStyle w:val="VerbatimChar"/>
          <w:rtl/>
        </w:rPr>
        <w:t xml:space="preserve">CLAUDE.md</w:t>
      </w:r>
      <w:r>
        <w:rPr>
          <w:rtl/>
        </w:rPr>
        <w:t xml:space="preserve"> </w:t>
      </w:r>
      <w:r>
        <w:rPr>
          <w:rtl/>
        </w:rPr>
        <w:t xml:space="preserve">وحده، وكُتب الفصل الثالث بعده في 22 سبتمبر. لذلك يحدد الفصل الثالث بعض العناصر على نحو يختلف عن الكود أو عن القفل. كل قرار أدناه يحدد أي الوصفين يُعتمد، ثم يُصحَّح الطرف الآخر بتفويض صريح. لا توصية مقدَّمة هنا بأي من الخيارين.</w:t>
      </w:r>
    </w:p>
    <w:p>
      <w:pPr>
        <w:bidi/>
      </w:pPr>
      <w:r>
        <w:pict>
          <v:rect style="width:0;height:1.5pt" o:hralign="center" o:hrstd="t" o:hr="t"/>
        </w:pict>
      </w:r>
    </w:p>
    <w:bookmarkStart w:id="19" w:name="Xbe6e43c61ac144cfad11e99520ebac02579660f"/>
    <w:p>
      <w:pPr>
        <w:pStyle w:val="Heading2"/>
        <w:bidi/>
      </w:pPr>
      <w:r>
        <w:rPr>
          <w:rtl/>
        </w:rPr>
        <w:t xml:space="preserve">SC-1: نطاق إجراءات التخفيف ‏(Mitigation semantics)‏</w:t>
      </w:r>
    </w:p>
    <w:p>
      <w:pPr>
        <w:pStyle w:val="Compact"/>
        <w:numPr>
          <w:ilvl w:val="0"/>
          <w:numId w:val="1001"/>
        </w:numPr>
        <w:bidi/>
      </w:pPr>
      <w:r>
        <w:rPr>
          <w:b/>
          <w:bCs/>
          <w:rtl/>
        </w:rPr>
        <w:t xml:space="preserve">الفصل الثالث</w:t>
      </w:r>
      <w:r>
        <w:rPr>
          <w:rtl/>
        </w:rPr>
        <w:t xml:space="preserve"> </w:t>
      </w:r>
      <w:r>
        <w:rPr>
          <w:rtl/>
        </w:rPr>
        <w:t xml:space="preserve">‏(الجدول 3.14، الخوارزمية 1)‏:</w:t>
      </w:r>
    </w:p>
    <w:p>
      <w:pPr>
        <w:pStyle w:val="Compact"/>
        <w:numPr>
          <w:ilvl w:val="1"/>
          <w:numId w:val="1002"/>
        </w:numPr>
        <w:bidi/>
      </w:pPr>
      <w:r>
        <w:rPr>
          <w:b/>
          <w:bCs/>
          <w:rtl/>
        </w:rPr>
        <w:t xml:space="preserve">Modify:</w:t>
      </w:r>
      <w:r>
        <w:rPr>
          <w:rtl/>
        </w:rPr>
        <w:t xml:space="preserve"> </w:t>
      </w:r>
      <w:r>
        <w:rPr>
          <w:rtl/>
        </w:rPr>
        <w:t xml:space="preserve">يمنع تنفيذ الإجراء، ويزيل فئة الأداة من أدوات الوكيل</w:t>
      </w:r>
      <w:r>
        <w:rPr>
          <w:rtl/>
        </w:rPr>
        <w:t xml:space="preserve"> </w:t>
      </w:r>
      <w:r>
        <w:rPr>
          <w:b/>
          <w:bCs/>
          <w:rtl/>
        </w:rPr>
        <w:t xml:space="preserve">لبقية الحلقة ‏(episode)‏</w:t>
      </w:r>
      <w:r>
        <w:rPr>
          <w:rtl/>
        </w:rPr>
        <w:t xml:space="preserve">.</w:t>
      </w:r>
    </w:p>
    <w:p>
      <w:pPr>
        <w:pStyle w:val="Compact"/>
        <w:numPr>
          <w:ilvl w:val="1"/>
          <w:numId w:val="1002"/>
        </w:numPr>
        <w:bidi/>
      </w:pPr>
      <w:r>
        <w:rPr>
          <w:b/>
          <w:bCs/>
          <w:rtl/>
        </w:rPr>
        <w:t xml:space="preserve">Block:</w:t>
      </w:r>
      <w:r>
        <w:rPr>
          <w:rtl/>
        </w:rPr>
        <w:t xml:space="preserve"> </w:t>
      </w:r>
      <w:r>
        <w:rPr>
          <w:rtl/>
        </w:rPr>
        <w:t xml:space="preserve">يمنع تنفيذ الإجراء، ويقيّد كل الأدوات ذات الأثر في 𝒯_R</w:t>
      </w:r>
      <w:r>
        <w:rPr>
          <w:rtl/>
        </w:rPr>
        <w:t xml:space="preserve"> </w:t>
      </w:r>
      <w:r>
        <w:rPr>
          <w:b/>
          <w:bCs/>
          <w:rtl/>
        </w:rPr>
        <w:t xml:space="preserve">لبقية الحلقة</w:t>
      </w:r>
      <w:r>
        <w:rPr>
          <w:rtl/>
        </w:rPr>
        <w:t xml:space="preserve">.</w:t>
      </w:r>
    </w:p>
    <w:p>
      <w:pPr>
        <w:pStyle w:val="Compact"/>
        <w:numPr>
          <w:ilvl w:val="0"/>
          <w:numId w:val="1001"/>
        </w:numPr>
        <w:bidi/>
      </w:pPr>
      <w:r>
        <w:rPr>
          <w:b/>
          <w:bCs/>
          <w:rtl/>
        </w:rPr>
        <w:t xml:space="preserve">التنفيذ والقفل التصميمي:</w:t>
      </w:r>
      <w:r>
        <w:rPr>
          <w:rtl/>
        </w:rPr>
        <w:t xml:space="preserve"> </w:t>
      </w:r>
      <w:r>
        <w:rPr>
          <w:rtl/>
        </w:rPr>
        <w:t xml:space="preserve">كل الإجراءات على</w:t>
      </w:r>
      <w:r>
        <w:rPr>
          <w:rtl/>
        </w:rPr>
        <w:t xml:space="preserve"> </w:t>
      </w:r>
      <w:r>
        <w:rPr>
          <w:b/>
          <w:bCs/>
          <w:rtl/>
        </w:rPr>
        <w:t xml:space="preserve">مستوى الخطوة الحالية فقط</w:t>
      </w:r>
      <w:r>
        <w:rPr>
          <w:rtl/>
        </w:rPr>
        <w:t xml:space="preserve">.</w:t>
      </w:r>
    </w:p>
    <w:p>
      <w:pPr>
        <w:pStyle w:val="Compact"/>
        <w:numPr>
          <w:ilvl w:val="1"/>
          <w:numId w:val="1003"/>
        </w:numPr>
        <w:bidi/>
      </w:pPr>
      <w:r>
        <w:rPr>
          <w:rtl/>
        </w:rPr>
        <w:t xml:space="preserve">Block يمنع الإجراء الحالي وحده.</w:t>
      </w:r>
    </w:p>
    <w:p>
      <w:pPr>
        <w:pStyle w:val="Compact"/>
        <w:numPr>
          <w:ilvl w:val="1"/>
          <w:numId w:val="1003"/>
        </w:numPr>
        <w:bidi/>
      </w:pPr>
      <w:r>
        <w:rPr>
          <w:rtl/>
        </w:rPr>
        <w:t xml:space="preserve">Modify يطبّق آلية تعديل واحدة معلنة على الإجراء الحالي. لم تُعلَن هذه الآلية بعد، لذلك يتوقف الكود عند Modify.</w:t>
      </w:r>
    </w:p>
    <w:p>
      <w:pPr>
        <w:pStyle w:val="Compact"/>
        <w:numPr>
          <w:ilvl w:val="1"/>
          <w:numId w:val="1003"/>
        </w:numPr>
        <w:bidi/>
      </w:pPr>
      <w:r>
        <w:rPr>
          <w:rtl/>
        </w:rPr>
        <w:t xml:space="preserve">ينص القفل على أن أي تقييد على مستوى الحلقة</w:t>
      </w:r>
      <w:r>
        <w:rPr>
          <w:rtl/>
        </w:rPr>
        <w:t xml:space="preserve"> </w:t>
      </w:r>
      <w:r>
        <w:rPr>
          <w:rtl/>
        </w:rPr>
        <w:t xml:space="preserve">“سياسة تجريبية منفصلة تتطلب تحديداً صريحاً”</w:t>
      </w:r>
      <w:r>
        <w:rPr>
          <w:rtl/>
        </w:rPr>
        <w:t xml:space="preserve">.</w:t>
      </w:r>
    </w:p>
    <w:p>
      <w:pPr>
        <w:pStyle w:val="Compact"/>
        <w:numPr>
          <w:ilvl w:val="0"/>
          <w:numId w:val="1001"/>
        </w:numPr>
        <w:bidi/>
      </w:pPr>
      <w:r>
        <w:rPr>
          <w:b/>
          <w:bCs/>
          <w:rtl/>
        </w:rPr>
        <w:t xml:space="preserve">الأثر:</w:t>
      </w:r>
    </w:p>
    <w:p>
      <w:pPr>
        <w:pStyle w:val="Compact"/>
        <w:numPr>
          <w:ilvl w:val="1"/>
          <w:numId w:val="1004"/>
        </w:numPr>
        <w:bidi/>
      </w:pPr>
      <w:r>
        <w:rPr>
          <w:rtl/>
        </w:rPr>
        <w:t xml:space="preserve">يبرر الفصل الثالث ترتيب شدة التقييد، وترتيب كسر التعادل ‏(SC-2)‏، بالقراءة على مستوى الحلقة.</w:t>
      </w:r>
    </w:p>
    <w:p>
      <w:pPr>
        <w:pStyle w:val="Compact"/>
        <w:numPr>
          <w:ilvl w:val="1"/>
          <w:numId w:val="1004"/>
        </w:numPr>
        <w:bidi/>
      </w:pPr>
      <w:r>
        <w:rPr>
          <w:rtl/>
        </w:rPr>
        <w:t xml:space="preserve">معدل النجاح المتبقي r_mod‏(k)‏ في المعادلة 3.5 معرَّف لآلية Modify كما يصفها الفصل الثالث.</w:t>
      </w:r>
    </w:p>
    <w:p>
      <w:pPr>
        <w:pStyle w:val="Compact"/>
        <w:numPr>
          <w:ilvl w:val="1"/>
          <w:numId w:val="1004"/>
        </w:numPr>
        <w:bidi/>
      </w:pPr>
      <w:r>
        <w:rPr>
          <w:rtl/>
        </w:rPr>
        <w:t xml:space="preserve">سؤال البحث RQ3 مرتبط بهذا القرار مباشرة.</w:t>
      </w:r>
    </w:p>
    <w:p>
      <w:pPr>
        <w:pStyle w:val="Compact"/>
        <w:numPr>
          <w:ilvl w:val="0"/>
          <w:numId w:val="1001"/>
        </w:numPr>
        <w:bidi/>
      </w:pPr>
      <w:r>
        <w:rPr>
          <w:b/>
          <w:bCs/>
          <w:rtl/>
        </w:rPr>
        <w:t xml:space="preserve">الخياران:</w:t>
      </w:r>
    </w:p>
    <w:p>
      <w:pPr>
        <w:pStyle w:val="Compact"/>
        <w:numPr>
          <w:ilvl w:val="1"/>
          <w:numId w:val="1005"/>
        </w:numPr>
        <w:bidi/>
      </w:pPr>
      <w:r>
        <w:rPr>
          <w:rtl/>
        </w:rPr>
        <w:t xml:space="preserve">‏(أ)‏ اعتماد مستوى الخطوة، ثم تصحيح الجدول 3.14 والخوارزمية 1 في الفصل الثالث.</w:t>
      </w:r>
    </w:p>
    <w:p>
      <w:pPr>
        <w:pStyle w:val="Compact"/>
        <w:numPr>
          <w:ilvl w:val="1"/>
          <w:numId w:val="1005"/>
        </w:numPr>
        <w:bidi/>
      </w:pPr>
      <w:r>
        <w:rPr>
          <w:rtl/>
        </w:rPr>
        <w:t xml:space="preserve">‏(ب)‏ اعتماد مستوى الحلقة كسياسة تجريبية محددة صراحةً، مع تعديل القفل والكود.</w:t>
      </w:r>
    </w:p>
    <w:bookmarkEnd w:id="19"/>
    <w:bookmarkStart w:id="20" w:name="X093390026cb7327d74c3b35e6d321563fea7cae"/>
    <w:p>
      <w:pPr>
        <w:pStyle w:val="Heading2"/>
        <w:bidi/>
      </w:pPr>
      <w:r>
        <w:rPr>
          <w:rtl/>
        </w:rPr>
        <w:t xml:space="preserve">SC-2: كسر التعادل بين الأحكام ‏(Tie-breaking)‏</w:t>
      </w:r>
    </w:p>
    <w:p>
      <w:pPr>
        <w:pStyle w:val="Compact"/>
        <w:numPr>
          <w:ilvl w:val="0"/>
          <w:numId w:val="1006"/>
        </w:numPr>
        <w:bidi/>
      </w:pPr>
      <w:r>
        <w:rPr>
          <w:b/>
          <w:bCs/>
          <w:rtl/>
        </w:rPr>
        <w:t xml:space="preserve">الفصل الثالث</w:t>
      </w:r>
      <w:r>
        <w:rPr>
          <w:rtl/>
        </w:rPr>
        <w:t xml:space="preserve"> </w:t>
      </w:r>
      <w:r>
        <w:rPr>
          <w:rtl/>
        </w:rPr>
        <w:t xml:space="preserve">‏(المعادلة 3.7)‏: عند تساوي الخطر الشرطي يُختار الحكم الأشد تقييداً وفق الترتيب Block ⪰ Escalate ⪰ Modify ⪰ Allow. يصنّف الفصل هذا الترتيب</w:t>
      </w:r>
      <w:r>
        <w:rPr>
          <w:rtl/>
        </w:rPr>
        <w:t xml:space="preserve"> </w:t>
      </w:r>
      <w:r>
        <w:rPr>
          <w:rtl/>
        </w:rPr>
        <w:t xml:space="preserve">“تعريفاً تصميمياً”</w:t>
      </w:r>
      <w:r>
        <w:rPr>
          <w:rtl/>
        </w:rPr>
        <w:t xml:space="preserve">، ويستخدمه أيضاً في حالة المساواة في المعادلة 3.10.</w:t>
      </w:r>
    </w:p>
    <w:p>
      <w:pPr>
        <w:pStyle w:val="Compact"/>
        <w:numPr>
          <w:ilvl w:val="0"/>
          <w:numId w:val="1006"/>
        </w:numPr>
        <w:bidi/>
      </w:pPr>
      <w:r>
        <w:rPr>
          <w:b/>
          <w:bCs/>
          <w:rtl/>
        </w:rPr>
        <w:t xml:space="preserve">التنفيذ:</w:t>
      </w:r>
      <w:r>
        <w:rPr>
          <w:rtl/>
        </w:rPr>
        <w:t xml:space="preserve"> </w:t>
      </w:r>
      <w:r>
        <w:rPr>
          <w:rtl/>
        </w:rPr>
        <w:t xml:space="preserve">لا توجد قاعدة تعادل مجمّدة، فيتوقف الكود عند التعادل التام برفع الخطأ</w:t>
      </w:r>
      <w:r>
        <w:rPr>
          <w:rtl/>
        </w:rPr>
        <w:t xml:space="preserve"> </w:t>
      </w:r>
      <w:r>
        <w:rPr>
          <w:rStyle w:val="VerbatimChar"/>
          <w:rtl/>
        </w:rPr>
        <w:t xml:space="preserve">VerdictTieError</w:t>
      </w:r>
      <w:r>
        <w:rPr>
          <w:rtl/>
        </w:rPr>
        <w:t xml:space="preserve">.</w:t>
      </w:r>
    </w:p>
    <w:p>
      <w:pPr>
        <w:pStyle w:val="Compact"/>
        <w:numPr>
          <w:ilvl w:val="0"/>
          <w:numId w:val="1006"/>
        </w:numPr>
        <w:bidi/>
      </w:pPr>
      <w:r>
        <w:rPr>
          <w:b/>
          <w:bCs/>
          <w:rtl/>
        </w:rPr>
        <w:t xml:space="preserve">الخياران:</w:t>
      </w:r>
    </w:p>
    <w:p>
      <w:pPr>
        <w:pStyle w:val="Compact"/>
        <w:numPr>
          <w:ilvl w:val="1"/>
          <w:numId w:val="1007"/>
        </w:numPr>
        <w:bidi/>
      </w:pPr>
      <w:r>
        <w:rPr>
          <w:rtl/>
        </w:rPr>
        <w:t xml:space="preserve">‏(أ)‏ اعتماد ترتيب الفصل الثالث وإدخاله في الإعدادات والكود.</w:t>
      </w:r>
    </w:p>
    <w:p>
      <w:pPr>
        <w:pStyle w:val="Compact"/>
        <w:numPr>
          <w:ilvl w:val="1"/>
          <w:numId w:val="1007"/>
        </w:numPr>
        <w:bidi/>
      </w:pPr>
      <w:r>
        <w:rPr>
          <w:rtl/>
        </w:rPr>
        <w:t xml:space="preserve">‏(ب)‏ الإبقاء على التوقف عند التعادل، ثم تصحيح المعادلة 3.7 في الفصل الثالث.</w:t>
      </w:r>
    </w:p>
    <w:bookmarkEnd w:id="20"/>
    <w:bookmarkStart w:id="21" w:name="X7c7c7752531863e7f173fdf8eb901442ee05578"/>
    <w:p>
      <w:pPr>
        <w:pStyle w:val="Heading2"/>
        <w:bidi/>
      </w:pPr>
      <w:r>
        <w:rPr>
          <w:rtl/>
        </w:rPr>
        <w:t xml:space="preserve">SC-3: تجربة الاستئصال</w:t>
      </w:r>
      <w:r>
        <w:rPr>
          <w:rtl/>
        </w:rPr>
        <w:t xml:space="preserve"> </w:t>
      </w:r>
      <w:r>
        <w:rPr>
          <w:rtl/>
        </w:rPr>
        <w:t xml:space="preserve">“إزالة المعايرة”</w:t>
      </w:r>
      <w:r>
        <w:rPr>
          <w:rtl/>
        </w:rPr>
        <w:t xml:space="preserve"> </w:t>
      </w:r>
      <w:r>
        <w:rPr>
          <w:rtl/>
        </w:rPr>
        <w:t xml:space="preserve">‏(Calibration ablation)‏</w:t>
      </w:r>
    </w:p>
    <w:p>
      <w:pPr>
        <w:pStyle w:val="Compact"/>
        <w:numPr>
          <w:ilvl w:val="0"/>
          <w:numId w:val="1008"/>
        </w:numPr>
        <w:bidi/>
      </w:pPr>
      <w:r>
        <w:rPr>
          <w:b/>
          <w:bCs/>
          <w:rtl/>
        </w:rPr>
        <w:t xml:space="preserve">الفصل الثالث</w:t>
      </w:r>
      <w:r>
        <w:rPr>
          <w:rtl/>
        </w:rPr>
        <w:t xml:space="preserve"> </w:t>
      </w:r>
      <w:r>
        <w:rPr>
          <w:rtl/>
        </w:rPr>
        <w:t xml:space="preserve">‏(القسم 3.11.7، الاستئصال رقم 4)‏: إزالة المعايرة، واستخدام الاحتمال غير المعاير p̃_t في المعادلة 3.6.</w:t>
      </w:r>
    </w:p>
    <w:p>
      <w:pPr>
        <w:pStyle w:val="Compact"/>
        <w:numPr>
          <w:ilvl w:val="0"/>
          <w:numId w:val="1008"/>
        </w:numPr>
        <w:bidi/>
      </w:pPr>
      <w:r>
        <w:rPr>
          <w:b/>
          <w:bCs/>
          <w:rtl/>
        </w:rPr>
        <w:t xml:space="preserve">التنفيذ:</w:t>
      </w:r>
      <w:r>
        <w:rPr>
          <w:rtl/>
        </w:rPr>
        <w:t xml:space="preserve"> </w:t>
      </w:r>
      <w:r>
        <w:rPr>
          <w:rtl/>
        </w:rPr>
        <w:t xml:space="preserve">يرفض الكود هذا التكوين. السبب أن قاعدة الخسارة المتوقعة معرّفة على الاحتمال</w:t>
      </w:r>
      <w:r>
        <w:rPr>
          <w:rtl/>
        </w:rPr>
        <w:t xml:space="preserve"> </w:t>
      </w:r>
      <w:r>
        <w:rPr>
          <w:b/>
          <w:bCs/>
          <w:rtl/>
        </w:rPr>
        <w:t xml:space="preserve">المعاير</w:t>
      </w:r>
      <w:r>
        <w:rPr>
          <w:rtl/>
        </w:rPr>
        <w:t xml:space="preserve"> </w:t>
      </w:r>
      <w:r>
        <w:rPr>
          <w:rtl/>
        </w:rPr>
        <w:t xml:space="preserve">p_t، فإزالة المعايرة تستبدل قاعدة القرار نفسها ولا تستأصل مكوناً فقط.</w:t>
      </w:r>
    </w:p>
    <w:p>
      <w:pPr>
        <w:pStyle w:val="Compact"/>
        <w:numPr>
          <w:ilvl w:val="0"/>
          <w:numId w:val="1008"/>
        </w:numPr>
        <w:bidi/>
      </w:pPr>
      <w:r>
        <w:rPr>
          <w:b/>
          <w:bCs/>
          <w:rtl/>
        </w:rPr>
        <w:t xml:space="preserve">الخياران:</w:t>
      </w:r>
    </w:p>
    <w:p>
      <w:pPr>
        <w:pStyle w:val="Compact"/>
        <w:numPr>
          <w:ilvl w:val="1"/>
          <w:numId w:val="1009"/>
        </w:numPr>
        <w:bidi/>
      </w:pPr>
      <w:r>
        <w:rPr>
          <w:rtl/>
        </w:rPr>
        <w:t xml:space="preserve">‏(أ)‏ الإبقاء على الاستئصال كسياسة تجريبية مسمّاة صراحةً، تُسجَّل في سجل التدقيق.</w:t>
      </w:r>
    </w:p>
    <w:p>
      <w:pPr>
        <w:pStyle w:val="Compact"/>
        <w:numPr>
          <w:ilvl w:val="1"/>
          <w:numId w:val="1009"/>
        </w:numPr>
        <w:bidi/>
      </w:pPr>
      <w:r>
        <w:rPr>
          <w:rtl/>
        </w:rPr>
        <w:t xml:space="preserve">‏(ب)‏ حذفه من قائمة الاستئصالات في الفصل الثالث.</w:t>
      </w:r>
    </w:p>
    <w:bookmarkEnd w:id="21"/>
    <w:bookmarkStart w:id="22" w:name="Xee36e44c094a56a3344edf5888a12529c7178bf"/>
    <w:p>
      <w:pPr>
        <w:pStyle w:val="Heading2"/>
        <w:bidi/>
      </w:pPr>
      <w:r>
        <w:rPr>
          <w:rtl/>
        </w:rPr>
        <w:t xml:space="preserve">SC-4: طريقة ملاءمة معاملات المعايرة ‏(Calibration fitting)‏</w:t>
      </w:r>
    </w:p>
    <w:p>
      <w:pPr>
        <w:pStyle w:val="Compact"/>
        <w:numPr>
          <w:ilvl w:val="0"/>
          <w:numId w:val="1010"/>
        </w:numPr>
        <w:bidi/>
      </w:pPr>
      <w:r>
        <w:rPr>
          <w:b/>
          <w:bCs/>
          <w:rtl/>
        </w:rPr>
        <w:t xml:space="preserve">الفصل الثالث</w:t>
      </w:r>
      <w:r>
        <w:rPr>
          <w:rtl/>
        </w:rPr>
        <w:t xml:space="preserve"> </w:t>
      </w:r>
      <w:r>
        <w:rPr>
          <w:rtl/>
        </w:rPr>
        <w:t xml:space="preserve">‏(المعادلة 3.4، الإجراء 3.1)‏: تُقدَّر γ₀ وγ₁ بتصغير السالب اللوغاريتمي للإمكان ‏(NLL)‏ على التسميات الفعلية y_i. تُحسب اللوغاريتمات ‏(logits)‏ خارج الطيّة ‏(out-of-fold)‏ بالتحقق المتقاطع المجمّع المتداخل ‏(nested grouped cross-fitting)‏. المصدر: Guo et al. ‏(2017)‏، وحالة التحقق: FV.</w:t>
      </w:r>
    </w:p>
    <w:p>
      <w:pPr>
        <w:pStyle w:val="Compact"/>
        <w:numPr>
          <w:ilvl w:val="0"/>
          <w:numId w:val="1010"/>
        </w:numPr>
        <w:bidi/>
      </w:pPr>
      <w:r>
        <w:rPr>
          <w:b/>
          <w:bCs/>
          <w:rtl/>
        </w:rPr>
        <w:t xml:space="preserve">التنفيذ:</w:t>
      </w:r>
    </w:p>
    <w:p>
      <w:pPr>
        <w:pStyle w:val="Compact"/>
        <w:numPr>
          <w:ilvl w:val="1"/>
          <w:numId w:val="1011"/>
        </w:numPr>
        <w:bidi/>
      </w:pPr>
      <w:r>
        <w:rPr>
          <w:rtl/>
        </w:rPr>
        <w:t xml:space="preserve">يستخدم أهداف Platt المُنعَّمة: t₊ = ‏(N₊+1)‏/‏(N₊+2)‏ و t₋ = 1/‏(N₋+2)‏.</w:t>
      </w:r>
    </w:p>
    <w:p>
      <w:pPr>
        <w:pStyle w:val="Compact"/>
        <w:numPr>
          <w:ilvl w:val="1"/>
          <w:numId w:val="1011"/>
        </w:numPr>
        <w:bidi/>
      </w:pPr>
      <w:r>
        <w:rPr>
          <w:rtl/>
        </w:rPr>
        <w:t xml:space="preserve">يُجري الملاءمة على قسم تحقق واحد ‏(validation split)‏.</w:t>
      </w:r>
    </w:p>
    <w:p>
      <w:pPr>
        <w:pStyle w:val="Compact"/>
        <w:numPr>
          <w:ilvl w:val="1"/>
          <w:numId w:val="1011"/>
        </w:numPr>
        <w:bidi/>
      </w:pPr>
      <w:r>
        <w:rPr>
          <w:rtl/>
        </w:rPr>
        <w:t xml:space="preserve">ينسب الأهداف المُنعَّمة إلى Platt ‏(1999)‏، وهذا المرجع عليه تعارض توثيقي غير محسوم ‏(OI-07)‏.</w:t>
      </w:r>
    </w:p>
    <w:p>
      <w:pPr>
        <w:pStyle w:val="Compact"/>
        <w:numPr>
          <w:ilvl w:val="0"/>
          <w:numId w:val="1010"/>
        </w:numPr>
        <w:bidi/>
      </w:pPr>
      <w:r>
        <w:rPr>
          <w:b/>
          <w:bCs/>
          <w:rtl/>
        </w:rPr>
        <w:t xml:space="preserve">الخياران:</w:t>
      </w:r>
    </w:p>
    <w:p>
      <w:pPr>
        <w:pStyle w:val="Compact"/>
        <w:numPr>
          <w:ilvl w:val="1"/>
          <w:numId w:val="1012"/>
        </w:numPr>
        <w:bidi/>
      </w:pPr>
      <w:r>
        <w:rPr>
          <w:rtl/>
        </w:rPr>
        <w:t xml:space="preserve">‏(أ)‏ اعتماد صيغة الفصل الثالث وبروتوكوله، وتعديل الكود.</w:t>
      </w:r>
    </w:p>
    <w:p>
      <w:pPr>
        <w:pStyle w:val="Compact"/>
        <w:numPr>
          <w:ilvl w:val="1"/>
          <w:numId w:val="1012"/>
        </w:numPr>
        <w:bidi/>
      </w:pPr>
      <w:r>
        <w:rPr>
          <w:rtl/>
        </w:rPr>
        <w:t xml:space="preserve">‏(ب)‏ اعتماد أهداف Platt المُنعَّمة، وتعديل المعادلة 3.4 في الفصل الثالث بعد حسم OI-07.</w:t>
      </w:r>
    </w:p>
    <w:bookmarkEnd w:id="22"/>
    <w:bookmarkStart w:id="23" w:name="sc-5-مقياس-brier"/>
    <w:p>
      <w:pPr>
        <w:pStyle w:val="Heading2"/>
        <w:bidi/>
      </w:pPr>
      <w:r>
        <w:rPr>
          <w:rtl/>
        </w:rPr>
        <w:t xml:space="preserve">SC-5: مقياس Brier</w:t>
      </w:r>
    </w:p>
    <w:p>
      <w:pPr>
        <w:pStyle w:val="Compact"/>
        <w:numPr>
          <w:ilvl w:val="0"/>
          <w:numId w:val="1013"/>
        </w:numPr>
        <w:bidi/>
      </w:pPr>
      <w:r>
        <w:rPr>
          <w:b/>
          <w:bCs/>
          <w:rtl/>
        </w:rPr>
        <w:t xml:space="preserve">الفصل الثالث</w:t>
      </w:r>
      <w:r>
        <w:rPr>
          <w:rtl/>
        </w:rPr>
        <w:t xml:space="preserve"> </w:t>
      </w:r>
      <w:r>
        <w:rPr>
          <w:rtl/>
        </w:rPr>
        <w:t xml:space="preserve">‏(القسم 3.12.2)‏: لا يُبلَّغ عن مقياس Brier حتى يُتحقَّق من الاصطلاح في مصدره الأصلي ‏(Brier, 1950؛ البند OI-09)‏. يُستخدم log-loss بدلاً منه مقياساً للتقييم الاحتمالي.</w:t>
      </w:r>
    </w:p>
    <w:p>
      <w:pPr>
        <w:pStyle w:val="Compact"/>
        <w:numPr>
          <w:ilvl w:val="0"/>
          <w:numId w:val="1013"/>
        </w:numPr>
        <w:bidi/>
      </w:pPr>
      <w:r>
        <w:rPr>
          <w:b/>
          <w:bCs/>
          <w:rtl/>
        </w:rPr>
        <w:t xml:space="preserve">التنفيذ:</w:t>
      </w:r>
      <w:r>
        <w:rPr>
          <w:rtl/>
        </w:rPr>
        <w:t xml:space="preserve"> </w:t>
      </w:r>
      <w:r>
        <w:rPr>
          <w:rtl/>
        </w:rPr>
        <w:t xml:space="preserve">ملف الإعدادات يصنّف Brier مقياساً</w:t>
      </w:r>
      <w:r>
        <w:rPr>
          <w:rtl/>
        </w:rPr>
        <w:t xml:space="preserve"> </w:t>
      </w:r>
      <w:r>
        <w:rPr>
          <w:rtl/>
        </w:rPr>
        <w:t xml:space="preserve">“مجمّداً”</w:t>
      </w:r>
      <w:r>
        <w:rPr>
          <w:rtl/>
        </w:rPr>
        <w:t xml:space="preserve"> </w:t>
      </w:r>
      <w:r>
        <w:rPr>
          <w:rtl/>
        </w:rPr>
        <w:t xml:space="preserve">‏(FROZEN)‏ لتقييم المعايرة، ودالته منفّذة.</w:t>
      </w:r>
    </w:p>
    <w:p>
      <w:pPr>
        <w:pStyle w:val="Compact"/>
        <w:numPr>
          <w:ilvl w:val="0"/>
          <w:numId w:val="1013"/>
        </w:numPr>
        <w:bidi/>
      </w:pPr>
      <w:r>
        <w:rPr>
          <w:b/>
          <w:bCs/>
          <w:rtl/>
        </w:rPr>
        <w:t xml:space="preserve">الخياران:</w:t>
      </w:r>
    </w:p>
    <w:p>
      <w:pPr>
        <w:pStyle w:val="Compact"/>
        <w:numPr>
          <w:ilvl w:val="1"/>
          <w:numId w:val="1014"/>
        </w:numPr>
        <w:bidi/>
      </w:pPr>
      <w:r>
        <w:rPr>
          <w:rtl/>
        </w:rPr>
        <w:t xml:space="preserve">‏(أ)‏ الإبقاء على تأجيل الفصل الثالث، وتصحيح حالة المقياس في الإعدادات.</w:t>
      </w:r>
    </w:p>
    <w:p>
      <w:pPr>
        <w:pStyle w:val="Compact"/>
        <w:numPr>
          <w:ilvl w:val="1"/>
          <w:numId w:val="1014"/>
        </w:numPr>
        <w:bidi/>
      </w:pPr>
      <w:r>
        <w:rPr>
          <w:rtl/>
        </w:rPr>
        <w:t xml:space="preserve">‏(ب)‏ اعتماد Brier بعد التحقق من المصدر، وتحديث الفصل الثالث.</w:t>
      </w:r>
    </w:p>
    <w:bookmarkEnd w:id="23"/>
    <w:bookmarkStart w:id="24" w:name="Xf051e54c87b14fd1b59666b98cf4910ab32a8ff"/>
    <w:p>
      <w:pPr>
        <w:pStyle w:val="Heading2"/>
        <w:bidi/>
      </w:pPr>
      <w:r>
        <w:rPr>
          <w:rtl/>
        </w:rPr>
        <w:t xml:space="preserve">SC-6: توزيع المكونات على الطبقات الخمس ‏(Component-to-layer mapping)‏</w:t>
      </w:r>
    </w:p>
    <w:p>
      <w:pPr>
        <w:pStyle w:val="Compact"/>
        <w:numPr>
          <w:ilvl w:val="0"/>
          <w:numId w:val="1015"/>
        </w:numPr>
        <w:bidi/>
      </w:pPr>
      <w:r>
        <w:rPr>
          <w:b/>
          <w:bCs/>
          <w:rtl/>
        </w:rPr>
        <w:t xml:space="preserve">الفصل الثالث</w:t>
      </w:r>
      <w:r>
        <w:rPr>
          <w:rtl/>
        </w:rPr>
        <w:t xml:space="preserve"> </w:t>
      </w:r>
      <w:r>
        <w:rPr>
          <w:rtl/>
        </w:rPr>
        <w:t xml:space="preserve">‏(القسم 3.2، الجدول 3.5)‏:</w:t>
      </w:r>
    </w:p>
    <w:p>
      <w:pPr>
        <w:pStyle w:val="Compact"/>
        <w:numPr>
          <w:ilvl w:val="1"/>
          <w:numId w:val="1016"/>
        </w:numPr>
        <w:bidi/>
      </w:pPr>
      <w:r>
        <w:rPr>
          <w:rtl/>
        </w:rPr>
        <w:t xml:space="preserve">طبقة الكشف ‏(L2)‏ تضم درجة مصنّف حقن الأوامر ‏(injection classifier)‏ ومؤشر أنماط التعليمات ‏(instruction-pattern indicator)‏.</w:t>
      </w:r>
    </w:p>
    <w:p>
      <w:pPr>
        <w:pStyle w:val="Compact"/>
        <w:numPr>
          <w:ilvl w:val="1"/>
          <w:numId w:val="1016"/>
        </w:numPr>
        <w:bidi/>
      </w:pPr>
      <w:r>
        <w:rPr>
          <w:rtl/>
        </w:rPr>
        <w:t xml:space="preserve">طبقة محرك القرار ‏(L4)‏ تضم التقدير بالانحدار اللوجستي، والمعايرة، ومستوى العاقبة ‏(consequence tier)‏، والشروط السياسية ‏(policy predicates)‏، والحكم، وسجل التدقيق.</w:t>
      </w:r>
    </w:p>
    <w:p>
      <w:pPr>
        <w:pStyle w:val="Compact"/>
        <w:numPr>
          <w:ilvl w:val="0"/>
          <w:numId w:val="1015"/>
        </w:numPr>
        <w:bidi/>
      </w:pPr>
      <w:r>
        <w:rPr>
          <w:b/>
          <w:bCs/>
          <w:rtl/>
        </w:rPr>
        <w:t xml:space="preserve">التنفيذ:</w:t>
      </w:r>
    </w:p>
    <w:p>
      <w:pPr>
        <w:pStyle w:val="Compact"/>
        <w:numPr>
          <w:ilvl w:val="1"/>
          <w:numId w:val="1017"/>
        </w:numPr>
        <w:bidi/>
      </w:pPr>
      <w:r>
        <w:rPr>
          <w:rtl/>
        </w:rPr>
        <w:t xml:space="preserve">يصف الكود الانحدار اللوجستي بأنه</w:t>
      </w:r>
      <w:r>
        <w:rPr>
          <w:rtl/>
        </w:rPr>
        <w:t xml:space="preserve"> </w:t>
      </w:r>
      <w:r>
        <w:rPr>
          <w:rtl/>
        </w:rPr>
        <w:t xml:space="preserve">“طبقة الكشف ‏(L2)‏”</w:t>
      </w:r>
      <w:r>
        <w:rPr>
          <w:rtl/>
        </w:rPr>
        <w:t xml:space="preserve">.</w:t>
      </w:r>
    </w:p>
    <w:p>
      <w:pPr>
        <w:pStyle w:val="Compact"/>
        <w:numPr>
          <w:ilvl w:val="1"/>
          <w:numId w:val="1017"/>
        </w:numPr>
        <w:bidi/>
      </w:pPr>
      <w:r>
        <w:rPr>
          <w:rtl/>
        </w:rPr>
        <w:t xml:space="preserve">يصف المعايرة بأنها نشاط</w:t>
      </w:r>
      <w:r>
        <w:rPr>
          <w:rtl/>
        </w:rPr>
        <w:t xml:space="preserve"> </w:t>
      </w:r>
      <w:r>
        <w:rPr>
          <w:rtl/>
        </w:rPr>
        <w:t xml:space="preserve">“عابر للطبقات”</w:t>
      </w:r>
      <w:r>
        <w:rPr>
          <w:rtl/>
        </w:rPr>
        <w:t xml:space="preserve"> </w:t>
      </w:r>
      <w:r>
        <w:rPr>
          <w:rtl/>
        </w:rPr>
        <w:t xml:space="preserve">‏(cross-cutting)‏.</w:t>
      </w:r>
    </w:p>
    <w:p>
      <w:pPr>
        <w:pStyle w:val="Compact"/>
        <w:numPr>
          <w:ilvl w:val="1"/>
          <w:numId w:val="1017"/>
        </w:numPr>
        <w:bidi/>
      </w:pPr>
      <w:r>
        <w:rPr>
          <w:rtl/>
        </w:rPr>
        <w:t xml:space="preserve">ينتظر من مكوّن واحد في الطبقة الأولى أن ينتج متجه الأدلة كاملاً.</w:t>
      </w:r>
    </w:p>
    <w:p>
      <w:pPr>
        <w:pStyle w:val="Compact"/>
        <w:numPr>
          <w:ilvl w:val="0"/>
          <w:numId w:val="1015"/>
        </w:numPr>
        <w:bidi/>
      </w:pPr>
      <w:r>
        <w:rPr>
          <w:b/>
          <w:bCs/>
          <w:rtl/>
        </w:rPr>
        <w:t xml:space="preserve">ما لا يتأثر:</w:t>
      </w:r>
      <w:r>
        <w:rPr>
          <w:rtl/>
        </w:rPr>
        <w:t xml:space="preserve"> </w:t>
      </w:r>
      <w:r>
        <w:rPr>
          <w:rtl/>
        </w:rPr>
        <w:t xml:space="preserve">عدد الطبقات ‏(خمس، بلا طبقة سادسة)‏ وترتيب الحساب متطابقان. الاختلاف في التسمية والتوزيع فقط.</w:t>
      </w:r>
    </w:p>
    <w:p>
      <w:pPr>
        <w:pStyle w:val="Compact"/>
        <w:numPr>
          <w:ilvl w:val="0"/>
          <w:numId w:val="1015"/>
        </w:numPr>
        <w:bidi/>
      </w:pPr>
      <w:r>
        <w:rPr>
          <w:b/>
          <w:bCs/>
          <w:rtl/>
        </w:rPr>
        <w:t xml:space="preserve">المطلوب:</w:t>
      </w:r>
      <w:r>
        <w:rPr>
          <w:rtl/>
        </w:rPr>
        <w:t xml:space="preserve"> </w:t>
      </w:r>
      <w:r>
        <w:rPr>
          <w:rtl/>
        </w:rPr>
        <w:t xml:space="preserve">تأكيد التوزيع الذي تعتمده الأطروحة. الفصل الرابع يعرض التنفيذ حالياً بأسماء طبقات الفصل الثالث، ويبيّن الفرق صراحةً في الجدول 4.4.</w:t>
      </w:r>
    </w:p>
    <w:p>
      <w:pPr>
        <w:bidi/>
      </w:pPr>
      <w:r>
        <w:pict>
          <v:rect style="width:0;height:1.5pt" o:hralign="center" o:hrstd="t" o:hr="t"/>
        </w:pict>
      </w:r>
    </w:p>
    <w:bookmarkEnd w:id="24"/>
    <w:bookmarkStart w:id="25" w:name="ملاحظة-ختامية"/>
    <w:p>
      <w:pPr>
        <w:pStyle w:val="Heading2"/>
        <w:bidi/>
      </w:pPr>
      <w:r>
        <w:rPr>
          <w:rtl/>
        </w:rPr>
        <w:t xml:space="preserve">ملاحظة ختامية</w:t>
      </w:r>
    </w:p>
    <w:p>
      <w:pPr>
        <w:bidi/>
      </w:pPr>
      <w:r>
        <w:rPr>
          <w:rtl/>
        </w:rPr>
        <w:t xml:space="preserve">ترتبط بهذه التعارضات ثلاثة قرارات أخرى مفتوحة:</w:t>
      </w:r>
    </w:p>
    <w:p>
      <w:pPr>
        <w:pStyle w:val="Compact"/>
        <w:numPr>
          <w:ilvl w:val="0"/>
          <w:numId w:val="1018"/>
        </w:numPr>
        <w:bidi/>
      </w:pPr>
      <w:r>
        <w:rPr>
          <w:b/>
          <w:bCs/>
          <w:rtl/>
        </w:rPr>
        <w:t xml:space="preserve">SD-FREEZE:</w:t>
      </w:r>
      <w:r>
        <w:rPr>
          <w:rtl/>
        </w:rPr>
        <w:t xml:space="preserve"> </w:t>
      </w:r>
      <w:r>
        <w:rPr>
          <w:rtl/>
        </w:rPr>
        <w:t xml:space="preserve">هل تُعتمد مواصفات الفصل الثالث مواصفاتٍ مجمّدة يلتزم بها التنفيذ؟</w:t>
      </w:r>
    </w:p>
    <w:p>
      <w:pPr>
        <w:pStyle w:val="Compact"/>
        <w:numPr>
          <w:ilvl w:val="0"/>
          <w:numId w:val="1018"/>
        </w:numPr>
        <w:bidi/>
      </w:pPr>
      <w:r>
        <w:rPr>
          <w:b/>
          <w:bCs/>
          <w:rtl/>
        </w:rPr>
        <w:t xml:space="preserve">SD-STRUCT:</w:t>
      </w:r>
      <w:r>
        <w:rPr>
          <w:rtl/>
        </w:rPr>
        <w:t xml:space="preserve"> </w:t>
      </w:r>
      <w:r>
        <w:rPr>
          <w:rtl/>
        </w:rPr>
        <w:t xml:space="preserve">الفصل الثالث يفترض ستة فصول، والهيكل المطلوب خمسة.</w:t>
      </w:r>
    </w:p>
    <w:p>
      <w:pPr>
        <w:pStyle w:val="Compact"/>
        <w:numPr>
          <w:ilvl w:val="0"/>
          <w:numId w:val="1018"/>
        </w:numPr>
        <w:bidi/>
      </w:pPr>
      <w:r>
        <w:rPr>
          <w:b/>
          <w:bCs/>
          <w:rtl/>
        </w:rPr>
        <w:t xml:space="preserve">تأكيد أسئلة البحث</w:t>
      </w:r>
      <w:r>
        <w:rPr>
          <w:rtl/>
        </w:rPr>
        <w:t xml:space="preserve"> </w:t>
      </w:r>
      <w:r>
        <w:rPr>
          <w:rtl/>
        </w:rPr>
        <w:t xml:space="preserve">RQ1–RQ4.</w:t>
      </w:r>
    </w:p>
    <w:p>
      <w:pPr>
        <w:bidi/>
      </w:pPr>
      <w:r>
        <w:rPr>
          <w:rtl/>
        </w:rPr>
        <w:t xml:space="preserve">لا يمكن تنفيذ تجارب التقييم في الفصل الثالث، ولا الإبلاغ عن أي نتيجة تجريبية، قبل حسم هذه القرارات. تفاصيل كل بند ومصادره في الملف</w:t>
      </w:r>
      <w:r>
        <w:rPr>
          <w:rtl/>
        </w:rPr>
        <w:t xml:space="preserve"> </w:t>
      </w:r>
      <w:r>
        <w:rPr>
          <w:rStyle w:val="VerbatimChar"/>
          <w:rtl/>
        </w:rPr>
        <w:t xml:space="preserve">SUPERVISOR_DECISIONS_REQUIRED.md</w:t>
      </w:r>
      <w:r>
        <w:rPr>
          <w:rtl/>
        </w:rPr>
        <w:t xml:space="preserve">.</w:t>
      </w:r>
    </w:p>
    <w:bookmarkEnd w:id="25"/>
    <w:bookmarkEnd w:id="26"/>
    <w:sectPr>
      <w:headerReference r:id="rId9" w:type="default"/>
      <w:footerReference r:id="rId10" w:type="default"/>
      <w:footnotePr>
        <w:numRestart w:val="eachSect"/>
      </w:footnotePr>
      <w:pgSz w:h="16838" w:w="11906"/>
      <w:pgMar w:bottom="1417" w:footer="709" w:header="709" w:left="1417" w:right="1417" w:top="1417"/>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Pr>
    <w:r/>
    <w:r>
      <w:rPr>
        <w:sz w:val="19"/>
      </w:rPr>
      <w:t xml:space="preserve">صفحة </w:t>
    </w:r>
    <w:r>
      <w:fldChar w:fldCharType="begin"/>
    </w:r>
    <w:r>
      <w:instrText xml:space="preserve"> PAGE </w:instrText>
    </w:r>
    <w:r>
      <w:fldChar w:fldCharType="separate"/>
    </w:r>
    <w:r>
      <w:t>1</w:t>
    </w:r>
    <w:r>
      <w:fldChar w:fldCharType="end"/>
    </w:r>
    <w:r>
      <w:rPr>
        <w:sz w:val="19"/>
      </w:rPr>
      <w:t xml:space="preserve"> من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jc w:val="center"/>
    </w:pPr>
    <w:r/>
    <w:r>
      <w:rPr>
        <w:rFonts w:ascii="Arial" w:hAnsi="Arial"/>
        <w:color w:val="595959"/>
        <w:sz w:val="18"/>
      </w:rPr>
      <w:t>ملخص للمشرف — التعارضات SC-1 إلى SC-6 — إطار REM</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bidi/>
      <w:spacing w:after="120" w:line="288" w:lineRule="auto"/>
    </w:pPr>
    <w:rPr>
      <w:rFonts w:ascii="Arial" w:cs="Arial" w:eastAsia="Arial" w:hAnsi="Arial"/>
      <w:color w:val="000000"/>
      <w:sz w:val="23"/>
      <w:szCs w:val="23"/>
    </w:rPr>
  </w:style>
  <w:style w:styleId="BodyText" w:type="paragraph">
    <w:name w:val="Body Text"/>
    <w:basedOn w:val="Normal"/>
    <w:link w:val="BodyTextChar"/>
    <w:qFormat/>
    <w:pPr>
      <w:bidi/>
      <w:spacing w:after="120" w:before="0" w:line="288" w:lineRule="auto"/>
      <w:jc w:val="both"/>
    </w:pPr>
    <w:rPr>
      <w:rFonts w:ascii="Arial" w:cs="Arial" w:eastAsia="Arial" w:hAnsi="Arial"/>
      <w:color w:val="000000"/>
      <w:sz w:val="23"/>
      <w:szCs w:val="23"/>
    </w:rPr>
  </w:style>
  <w:style w:customStyle="1" w:styleId="FirstParagraph" w:type="paragraph">
    <w:name w:val="First Paragraph"/>
    <w:basedOn w:val="BodyText"/>
    <w:next w:val="BodyText"/>
    <w:qFormat/>
    <w:pPr>
      <w:bidi/>
      <w:spacing w:after="120" w:before="0" w:line="288" w:lineRule="auto"/>
      <w:jc w:val="both"/>
    </w:pPr>
    <w:rPr>
      <w:rFonts w:ascii="Arial" w:cs="Arial" w:eastAsia="Arial" w:hAnsi="Arial"/>
      <w:color w:val="000000"/>
      <w:sz w:val="23"/>
      <w:szCs w:val="23"/>
    </w:rPr>
  </w:style>
  <w:style w:customStyle="1" w:styleId="Compact" w:type="paragraph">
    <w:name w:val="Compact"/>
    <w:basedOn w:val="BodyText"/>
    <w:qFormat/>
    <w:pPr>
      <w:bidi/>
      <w:spacing w:after="60" w:before="0" w:line="288" w:lineRule="auto"/>
    </w:pPr>
    <w:rPr>
      <w:rFonts w:ascii="Arial" w:cs="Arial" w:eastAsia="Arial" w:hAnsi="Arial"/>
      <w:color w:val="000000"/>
      <w:sz w:val="23"/>
      <w:szCs w:val="23"/>
    </w:rPr>
  </w:style>
  <w:style w:styleId="Title" w:type="paragraph">
    <w:name w:val="Title"/>
    <w:basedOn w:val="Normal"/>
    <w:next w:val="BodyText"/>
    <w:link w:val="TitleChar"/>
    <w:uiPriority w:val="10"/>
    <w:qFormat/>
    <w:rsid w:val="00A10FD9"/>
    <w:pPr>
      <w:bidi/>
      <w:keepNext/>
      <w:spacing w:after="80" w:before="200" w:line="240" w:lineRule="auto"/>
      <w:contextualSpacing/>
      <w:jc w:val="center"/>
    </w:pPr>
    <w:rPr>
      <w:rFonts w:ascii="Arial" w:cs="Arial" w:eastAsia="Arial" w:hAnsi="Arial"/>
      <w:b/>
      <w:color w:val="000000"/>
      <w:sz w:val="24"/>
      <w:szCs w:val="24"/>
      <w:bC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bidi/>
      <w:keepNext/>
      <w:numPr>
        <w:ilvl w:val="1"/>
      </w:numPr>
      <w:spacing w:after="80" w:before="200"/>
    </w:pPr>
    <w:rPr>
      <w:rFonts w:ascii="Arial" w:cs="Arial" w:eastAsia="Arial" w:hAnsi="Arial"/>
      <w:b/>
      <w:color w:val="000000"/>
      <w:spacing w:val="15"/>
      <w:sz w:val="24"/>
      <w:szCs w:val="24"/>
      <w:bCs/>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bidi/>
      <w:keepNext/>
      <w:keepLines/>
      <w:spacing w:after="280" w:before="0" w:line="264" w:lineRule="auto"/>
      <w:jc w:val="center"/>
      <w:outlineLvl w:val="0"/>
    </w:pPr>
    <w:rPr>
      <w:rFonts w:ascii="Arial" w:cs="Arial" w:eastAsia="Arial" w:hAnsi="Arial"/>
      <w:b/>
      <w:color w:val="000000"/>
      <w:sz w:val="34"/>
      <w:szCs w:val="34"/>
      <w:bCs/>
    </w:rPr>
  </w:style>
  <w:style w:styleId="Heading2" w:type="paragraph">
    <w:name w:val="heading 2"/>
    <w:basedOn w:val="Normal"/>
    <w:next w:val="BodyText"/>
    <w:link w:val="Heading2Char"/>
    <w:uiPriority w:val="9"/>
    <w:semiHidden/>
    <w:unhideWhenUsed/>
    <w:qFormat/>
    <w:rsid w:val="00A10FD9"/>
    <w:pPr>
      <w:bidi/>
      <w:keepNext/>
      <w:keepLines/>
      <w:spacing w:after="120" w:before="320" w:line="264" w:lineRule="auto"/>
      <w:outlineLvl w:val="1"/>
    </w:pPr>
    <w:rPr>
      <w:rFonts w:ascii="Arial" w:cs="Arial" w:eastAsia="Arial" w:hAnsi="Arial"/>
      <w:b/>
      <w:color w:val="000000"/>
      <w:sz w:val="27"/>
      <w:szCs w:val="27"/>
      <w:bCs/>
    </w:rPr>
  </w:style>
  <w:style w:styleId="Heading3" w:type="paragraph">
    <w:name w:val="heading 3"/>
    <w:basedOn w:val="Normal"/>
    <w:next w:val="BodyText"/>
    <w:link w:val="Heading3Char"/>
    <w:uiPriority w:val="9"/>
    <w:semiHidden/>
    <w:unhideWhenUsed/>
    <w:qFormat/>
    <w:rsid w:val="00A10FD9"/>
    <w:pPr>
      <w:bidi/>
      <w:keepNext/>
      <w:keepLines/>
      <w:spacing w:after="80" w:before="200"/>
      <w:outlineLvl w:val="2"/>
    </w:pPr>
    <w:rPr>
      <w:rFonts w:ascii="Arial" w:cs="Arial" w:eastAsia="Arial" w:hAnsi="Arial"/>
      <w:b/>
      <w:color w:val="000000"/>
      <w:sz w:val="24"/>
      <w:szCs w:val="24"/>
      <w:b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2026-10-28T20:07:57Z</dcterms:created>
  <dcterms:modified xsi:type="dcterms:W3CDTF">2026-10-28T20:07:57Z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