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sz w:val="32"/>
          <w:szCs w:val="32"/>
        </w:rPr>
        <w:t xml:space="preserve">CHAPTER TWO</w:t>
      </w:r>
    </w:p>
    <w:p>
      <w:pPr>
        <w:pStyle w:val="Title"/>
        <w:spacing w:after="120"/>
        <w:jc w:val="center"/>
      </w:pPr>
      <w:r>
        <w:rPr>
          <w:rFonts w:ascii="Times New Roman" w:cs="Times New Roman" w:eastAsia="Times New Roman" w:hAnsi="Times New Roman"/>
          <w:b/>
          <w:bCs/>
          <w:sz w:val="32"/>
          <w:szCs w:val="32"/>
        </w:rPr>
        <w:t xml:space="preserve">LITERATURE REVIEW</w:t>
      </w:r>
    </w:p>
    <w:p>
      <w:pPr>
        <w:pStyle w:val="Heading1"/>
        <w:keepNext/>
        <w:spacing w:after="120" w:before="360"/>
      </w:pPr>
      <w:r>
        <w:rPr>
          <w:rFonts w:ascii="Times New Roman" w:cs="Times New Roman" w:eastAsia="Times New Roman" w:hAnsi="Times New Roman"/>
          <w:b/>
          <w:bCs/>
          <w:i w:val="false"/>
          <w:iCs w:val="false"/>
          <w:sz w:val="28"/>
          <w:szCs w:val="28"/>
        </w:rPr>
        <w:t xml:space="preserve">2.1 Introduction</w:t>
      </w:r>
    </w:p>
    <w:p>
      <w:pPr>
        <w:spacing w:after="120" w:line="360"/>
        <w:jc w:val="both"/>
      </w:pPr>
      <w:r>
        <w:rPr>
          <w:rFonts w:ascii="Times New Roman" w:cs="Times New Roman" w:eastAsia="Times New Roman" w:hAnsi="Times New Roman"/>
          <w:sz w:val="24"/>
          <w:szCs w:val="24"/>
        </w:rPr>
        <w:t xml:space="preserve">Large language model (LLM) agents no longer only produce text for a human reader. They decompose tasks, call external tools with arguments they generate themselves, read the results of those calls, and act again on what they read. When such an agent operates on financial tools, a single proposed tool call can initiate a transfer, change a payee, modify a scheduled payment, or send customer data to an external recipient. The security question therefore shifts from what a model </w:t>
      </w:r>
      <w:r>
        <w:rPr>
          <w:rFonts w:ascii="Times New Roman" w:cs="Times New Roman" w:eastAsia="Times New Roman" w:hAnsi="Times New Roman"/>
          <w:i/>
          <w:iCs/>
          <w:sz w:val="24"/>
          <w:szCs w:val="24"/>
        </w:rPr>
        <w:t xml:space="preserve">says</w:t>
      </w:r>
      <w:r>
        <w:rPr>
          <w:rFonts w:ascii="Times New Roman" w:cs="Times New Roman" w:eastAsia="Times New Roman" w:hAnsi="Times New Roman"/>
          <w:sz w:val="24"/>
          <w:szCs w:val="24"/>
        </w:rPr>
        <w:t xml:space="preserve"> to what an agent </w:t>
      </w:r>
      <w:r>
        <w:rPr>
          <w:rFonts w:ascii="Times New Roman" w:cs="Times New Roman" w:eastAsia="Times New Roman" w:hAnsi="Times New Roman"/>
          <w:i/>
          <w:iCs/>
          <w:sz w:val="24"/>
          <w:szCs w:val="24"/>
        </w:rPr>
        <w:t xml:space="preserve">does</w:t>
      </w:r>
      <w:r>
        <w:rPr>
          <w:rFonts w:ascii="Times New Roman" w:cs="Times New Roman" w:eastAsia="Times New Roman" w:hAnsi="Times New Roman"/>
          <w:sz w:val="24"/>
          <w:szCs w:val="24"/>
        </w:rPr>
        <w:t xml:space="preserve">, and specifically to the moment at which a proposed action leaves the agent and takes effect in its environment.</w:t>
      </w:r>
    </w:p>
    <w:p>
      <w:pPr>
        <w:spacing w:after="120" w:line="360"/>
        <w:jc w:val="both"/>
      </w:pPr>
      <w:r>
        <w:rPr>
          <w:rFonts w:ascii="Times New Roman" w:cs="Times New Roman" w:eastAsia="Times New Roman" w:hAnsi="Times New Roman"/>
          <w:sz w:val="24"/>
          <w:szCs w:val="24"/>
        </w:rPr>
        <w:t xml:space="preserve">This chapter reviews the literature that bears on protecting such an agent at runtime. Its purpose is not to catalogue systems but to build an argument in eight steps: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agents create security risks that differ from those of conventional LLM use;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prior research has characterized the main threats and proposed many defenses;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those defenses differ in </w:t>
      </w:r>
      <w:r>
        <w:rPr>
          <w:rFonts w:ascii="Times New Roman" w:cs="Times New Roman" w:eastAsia="Times New Roman" w:hAnsi="Times New Roman"/>
          <w:i/>
          <w:iCs/>
          <w:sz w:val="24"/>
          <w:szCs w:val="24"/>
        </w:rPr>
        <w:t xml:space="preserve">where</w:t>
      </w:r>
      <w:r>
        <w:rPr>
          <w:rFonts w:ascii="Times New Roman" w:cs="Times New Roman" w:eastAsia="Times New Roman" w:hAnsi="Times New Roman"/>
          <w:sz w:val="24"/>
          <w:szCs w:val="24"/>
        </w:rPr>
        <w:t xml:space="preserve"> they intervene;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also differ in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they observe;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some capabilities are now well addressed;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others remain fragmented or weakly evidenced;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these patterns locate the Runtime Evaluation and Mitigation (REM) framework studied in this thesis;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financial setting raises the stakes of each of these questions.</w:t>
      </w:r>
    </w:p>
    <w:p>
      <w:pPr>
        <w:spacing w:after="120" w:line="360"/>
        <w:jc w:val="both"/>
      </w:pPr>
      <w:r>
        <w:rPr>
          <w:rFonts w:ascii="Times New Roman" w:cs="Times New Roman" w:eastAsia="Times New Roman" w:hAnsi="Times New Roman"/>
          <w:sz w:val="24"/>
          <w:szCs w:val="24"/>
        </w:rPr>
        <w:t xml:space="preserve">The research gap stated at the end of the chapter is derived from this comparison rather than asserted in advance.</w:t>
      </w:r>
    </w:p>
    <w:p>
      <w:pPr>
        <w:spacing w:after="120" w:line="360"/>
        <w:jc w:val="both"/>
      </w:pPr>
      <w:r>
        <w:rPr>
          <w:rFonts w:ascii="Times New Roman" w:cs="Times New Roman" w:eastAsia="Times New Roman" w:hAnsi="Times New Roman"/>
          <w:sz w:val="24"/>
          <w:szCs w:val="24"/>
        </w:rPr>
        <w:t xml:space="preserve">The chapter proceeds as follows. Section 2.2 explains why agent architecture changes the security problem. Section 2.3 reviews the threats relevant to REM, and Section 2.4 the benchmarks and threat models used to measure them. Section 2.5 organizes defenses by mechanism and point of intervention. Section 2.6 examines runtime monitoring and behavioral analysis, the area that underlies REM's Behavioral Analysis Layer. Section 2.7 reviews the established statistical and algorithmic methods on which a runtime decision layer depends. Section 2.8 compares how runtime systems act on what they detect. Section 2.9 connects this literature to financial-agent execution risk. Section 2.10 compares the reviewed approaches systematically. Section 2.11 synthesizes the comparison critically, and Section 2.12 states the research gap and positions REM.</w:t>
      </w:r>
    </w:p>
    <w:p>
      <w:pPr>
        <w:pStyle w:val="Heading2"/>
        <w:keepNext/>
        <w:spacing w:after="120" w:before="240"/>
      </w:pPr>
      <w:r>
        <w:rPr>
          <w:rFonts w:ascii="Times New Roman" w:cs="Times New Roman" w:eastAsia="Times New Roman" w:hAnsi="Times New Roman"/>
          <w:b/>
          <w:bCs/>
          <w:i/>
          <w:iCs/>
          <w:sz w:val="24"/>
          <w:szCs w:val="24"/>
        </w:rPr>
        <w:t xml:space="preserve">2.1.1 Review approach</w:t>
      </w:r>
    </w:p>
    <w:p>
      <w:pPr>
        <w:spacing w:after="120" w:line="360"/>
        <w:jc w:val="both"/>
      </w:pPr>
      <w:r>
        <w:rPr>
          <w:rFonts w:ascii="Times New Roman" w:cs="Times New Roman" w:eastAsia="Times New Roman" w:hAnsi="Times New Roman"/>
          <w:sz w:val="24"/>
          <w:szCs w:val="24"/>
        </w:rPr>
        <w:t xml:space="preserve">The review is a structured narrative review, not a systematic review. Sources were identified through targeted searches of the arXiv preprint server, the ACL Anthology, the Proceedings of Machine Learning Research, the ICLR and NeurIPS proceedings, the USENIX, ACM and IEEE digital libraries, and official documentation from standards and regulatory bodies. Search terms combined </w:t>
      </w:r>
      <w:r>
        <w:rPr>
          <w:rFonts w:ascii="Times New Roman" w:cs="Times New Roman" w:eastAsia="Times New Roman" w:hAnsi="Times New Roman"/>
          <w:i/>
          <w:iCs/>
          <w:sz w:val="24"/>
          <w:szCs w:val="24"/>
        </w:rPr>
        <w:t xml:space="preserve">LLM agent security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prompt injection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indirect prompt injection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runtime guardrail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agent monitoring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tool misuse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trajectory monitoring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financial agent safety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probability calibration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sequential change detection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cost-sensitive decision</w:t>
      </w:r>
      <w:r>
        <w:rPr>
          <w:rFonts w:ascii="Times New Roman" w:cs="Times New Roman" w:eastAsia="Times New Roman" w:hAnsi="Times New Roman"/>
          <w:sz w:val="24"/>
          <w:szCs w:val="24"/>
        </w:rPr>
        <w:t xml:space="preserve">. The review merges two earlier drafts of this chapter (July and September 2026) with a verification and update pass completed in September 2026. No screening statistics were recorded, so the chapter does not claim exhaustive coverage. Statements about what "the reviewed literature" does or does not report are bounded by the sources cited here and by that date.</w:t>
      </w:r>
    </w:p>
    <w:p>
      <w:pPr>
        <w:spacing w:after="120" w:line="360"/>
        <w:jc w:val="both"/>
      </w:pPr>
      <w:r>
        <w:rPr>
          <w:rFonts w:ascii="Times New Roman" w:cs="Times New Roman" w:eastAsia="Times New Roman" w:hAnsi="Times New Roman"/>
          <w:sz w:val="24"/>
          <w:szCs w:val="24"/>
        </w:rPr>
        <w:t xml:space="preserve">Four conventions apply throughout.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Source hierarchy.</w:t>
      </w:r>
      <w:r>
        <w:rPr>
          <w:rFonts w:ascii="Times New Roman" w:cs="Times New Roman" w:eastAsia="Times New Roman" w:hAnsi="Times New Roman"/>
          <w:sz w:val="24"/>
          <w:szCs w:val="24"/>
        </w:rPr>
        <w:t xml:space="preserve"> Peer-reviewed publications are preferred. Original sources are cited for foundational algorithms. The primary paper is cited for each system. Preprints are included where they represent current work in a field that moves faster than publication cycles, and each is identified as a preprint in the reference list. Official sources (OWASP; the EU AI Act) are used only for definitions and regulatory provisions and are not treated as research findings.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Reported numbers.</w:t>
      </w:r>
      <w:r>
        <w:rPr>
          <w:rFonts w:ascii="Times New Roman" w:cs="Times New Roman" w:eastAsia="Times New Roman" w:hAnsi="Times New Roman"/>
          <w:sz w:val="24"/>
          <w:szCs w:val="24"/>
        </w:rPr>
        <w:t xml:space="preserve"> Performance figures are reported as stated by the authors of each study, on that study's own benchmark, models and settings. They characterize individual systems and are not comparable across studies.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Claim strength.</w:t>
      </w:r>
      <w:r>
        <w:rPr>
          <w:rFonts w:ascii="Times New Roman" w:cs="Times New Roman" w:eastAsia="Times New Roman" w:hAnsi="Times New Roman"/>
          <w:sz w:val="24"/>
          <w:szCs w:val="24"/>
        </w:rPr>
        <w:t xml:space="preserve"> The wording of a claim is matched to the evidence behind it. A finding from one study is reported as such ("one study reported…"), not as an established result.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Absence of evidence.</w:t>
      </w:r>
      <w:r>
        <w:rPr>
          <w:rFonts w:ascii="Times New Roman" w:cs="Times New Roman" w:eastAsia="Times New Roman" w:hAnsi="Times New Roman"/>
          <w:sz w:val="24"/>
          <w:szCs w:val="24"/>
        </w:rPr>
        <w:t xml:space="preserve"> In the comparison tables, </w:t>
      </w:r>
      <w:r>
        <w:rPr>
          <w:rFonts w:ascii="Times New Roman" w:cs="Times New Roman" w:eastAsia="Times New Roman" w:hAnsi="Times New Roman"/>
          <w:i/>
          <w:iCs/>
          <w:sz w:val="24"/>
          <w:szCs w:val="24"/>
        </w:rPr>
        <w:t xml:space="preserve">not reported</w:t>
      </w:r>
      <w:r>
        <w:rPr>
          <w:rFonts w:ascii="Times New Roman" w:cs="Times New Roman" w:eastAsia="Times New Roman" w:hAnsi="Times New Roman"/>
          <w:sz w:val="24"/>
          <w:szCs w:val="24"/>
        </w:rPr>
        <w:t xml:space="preserve"> means that the consulted source does not report the property. It does not mean that the system lacks it. For preprints that could be consulted only through their abstracts and retrieved passages, </w:t>
      </w:r>
      <w:r>
        <w:rPr>
          <w:rFonts w:ascii="Times New Roman" w:cs="Times New Roman" w:eastAsia="Times New Roman" w:hAnsi="Times New Roman"/>
          <w:i/>
          <w:iCs/>
          <w:sz w:val="24"/>
          <w:szCs w:val="24"/>
        </w:rPr>
        <w:t xml:space="preserve">not reported</w:t>
      </w:r>
      <w:r>
        <w:rPr>
          <w:rFonts w:ascii="Times New Roman" w:cs="Times New Roman" w:eastAsia="Times New Roman" w:hAnsi="Times New Roman"/>
          <w:sz w:val="24"/>
          <w:szCs w:val="24"/>
        </w:rPr>
        <w:t xml:space="preserve"> refers to that material. </w:t>
      </w:r>
      <w:r>
        <w:rPr>
          <w:rFonts w:ascii="Times New Roman" w:cs="Times New Roman" w:eastAsia="Times New Roman" w:hAnsi="Times New Roman"/>
          <w:i/>
          <w:iCs/>
          <w:sz w:val="24"/>
          <w:szCs w:val="24"/>
        </w:rPr>
        <w:t xml:space="preserve">Not applicable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not verified</w:t>
      </w:r>
      <w:r>
        <w:rPr>
          <w:rFonts w:ascii="Times New Roman" w:cs="Times New Roman" w:eastAsia="Times New Roman" w:hAnsi="Times New Roman"/>
          <w:sz w:val="24"/>
          <w:szCs w:val="24"/>
        </w:rPr>
        <w:t xml:space="preserve"> are distinguished from </w:t>
      </w:r>
      <w:r>
        <w:rPr>
          <w:rFonts w:ascii="Times New Roman" w:cs="Times New Roman" w:eastAsia="Times New Roman" w:hAnsi="Times New Roman"/>
          <w:i/>
          <w:iCs/>
          <w:sz w:val="24"/>
          <w:szCs w:val="24"/>
        </w:rPr>
        <w:t xml:space="preserve">not reported</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Primary evidence.</w:t>
      </w:r>
      <w:r>
        <w:rPr>
          <w:rFonts w:ascii="Times New Roman" w:cs="Times New Roman" w:eastAsia="Times New Roman" w:hAnsi="Times New Roman"/>
          <w:sz w:val="24"/>
          <w:szCs w:val="24"/>
        </w:rPr>
        <w:t xml:space="preserve"> Claims about a system, and every number, are taken from the paper that introduced or evaluated that system. Secondary summaries are not used as evidence. The full texts of several 2026 preprints could not be accessed for this review. Where a detail beyond such a paper's abstract could be confirmed only through retrieved excerpts of its text, the source is marked </w:t>
      </w:r>
      <w:r>
        <w:rPr>
          <w:rFonts w:ascii="Times New Roman" w:cs="Times New Roman" w:eastAsia="Times New Roman" w:hAnsi="Times New Roman"/>
          <w:i/>
          <w:iCs/>
          <w:sz w:val="24"/>
          <w:szCs w:val="24"/>
        </w:rPr>
        <w:t xml:space="preserve">partially verified</w:t>
      </w:r>
      <w:r>
        <w:rPr>
          <w:rFonts w:ascii="Times New Roman" w:cs="Times New Roman" w:eastAsia="Times New Roman" w:hAnsi="Times New Roman"/>
          <w:sz w:val="24"/>
          <w:szCs w:val="24"/>
        </w:rPr>
        <w:t xml:space="preserve"> in the evidence matrix. For the closest prior art (AgentTrust, NEXUS and SafeAgent), such details are also identified in the text.</w:t>
      </w:r>
    </w:p>
    <w:p>
      <w:pPr>
        <w:pStyle w:val="Heading1"/>
        <w:keepNext/>
        <w:spacing w:after="120" w:before="360"/>
      </w:pPr>
      <w:r>
        <w:rPr>
          <w:rFonts w:ascii="Times New Roman" w:cs="Times New Roman" w:eastAsia="Times New Roman" w:hAnsi="Times New Roman"/>
          <w:b/>
          <w:bCs/>
          <w:i w:val="false"/>
          <w:iCs w:val="false"/>
          <w:sz w:val="28"/>
          <w:szCs w:val="28"/>
        </w:rPr>
        <w:t xml:space="preserve">2.2 AI Agents and Emerging Security Risks</w:t>
      </w:r>
    </w:p>
    <w:p>
      <w:pPr>
        <w:pStyle w:val="Heading2"/>
        <w:keepNext/>
        <w:spacing w:after="120" w:before="240"/>
      </w:pPr>
      <w:r>
        <w:rPr>
          <w:rFonts w:ascii="Times New Roman" w:cs="Times New Roman" w:eastAsia="Times New Roman" w:hAnsi="Times New Roman"/>
          <w:b/>
          <w:bCs/>
          <w:i/>
          <w:iCs/>
          <w:sz w:val="24"/>
          <w:szCs w:val="24"/>
        </w:rPr>
        <w:t xml:space="preserve">2.2.1 From language models to agents</w:t>
      </w:r>
    </w:p>
    <w:p>
      <w:pPr>
        <w:spacing w:after="120" w:line="360"/>
        <w:jc w:val="both"/>
      </w:pPr>
      <w:r>
        <w:rPr>
          <w:rFonts w:ascii="Times New Roman" w:cs="Times New Roman" w:eastAsia="Times New Roman" w:hAnsi="Times New Roman"/>
          <w:sz w:val="24"/>
          <w:szCs w:val="24"/>
        </w:rPr>
        <w:t xml:space="preserve">In the survey literature, an LLM-based autonomous agent is a system in which a language model acts as the controller for perception, reasoning, planning and action in pursuit of a task, supported by memory and tool-use modules (L. Wang et al., 2024). Two capability developments made this architecture practical. The ReAct paradigm interleaves reasoning traces with actions: the model generates a thought, selects an action, receives the environment's observation, and conditions its next step on that observation (Yao et al., 2023). Toolformer showed that a language model can learn which application programming interfaces to call, when to call them, and what arguments to pass (Schick et al., 2023). Together, these works describe the execution pattern that most contemporary agent frameworks still follow. That pattern is a loop of reasoning, tool invocation and observation, which continues until the model judges the task complete.</w:t>
      </w:r>
    </w:p>
    <w:p>
      <w:pPr>
        <w:pStyle w:val="Heading2"/>
        <w:keepNext/>
        <w:spacing w:after="120" w:before="240"/>
      </w:pPr>
      <w:r>
        <w:rPr>
          <w:rFonts w:ascii="Times New Roman" w:cs="Times New Roman" w:eastAsia="Times New Roman" w:hAnsi="Times New Roman"/>
          <w:b/>
          <w:bCs/>
          <w:i/>
          <w:iCs/>
          <w:sz w:val="24"/>
          <w:szCs w:val="24"/>
        </w:rPr>
        <w:t xml:space="preserve">2.2.2 Why agent architecture changes the security problem</w:t>
      </w:r>
    </w:p>
    <w:p>
      <w:pPr>
        <w:spacing w:after="120" w:line="360"/>
        <w:jc w:val="both"/>
      </w:pPr>
      <w:r>
        <w:rPr>
          <w:rFonts w:ascii="Times New Roman" w:cs="Times New Roman" w:eastAsia="Times New Roman" w:hAnsi="Times New Roman"/>
          <w:sz w:val="24"/>
          <w:szCs w:val="24"/>
        </w:rPr>
        <w:t xml:space="preserve">The same loop that makes agents useful also creates their attack surface. Three structural properties distinguish agent security from the security of a stand-alone model or a conventional classifier.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Several input channels of different trustworthiness.</w:t>
      </w:r>
      <w:r>
        <w:rPr>
          <w:rFonts w:ascii="Times New Roman" w:cs="Times New Roman" w:eastAsia="Times New Roman" w:hAnsi="Times New Roman"/>
          <w:sz w:val="24"/>
          <w:szCs w:val="24"/>
        </w:rPr>
        <w:t xml:space="preserve"> An agent receives the system prompt, the user's request, tool outputs, retrieved documents and stored memory. Content from all of these channels enters the same context window, and the model interprets all of it.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Statefulness across a trajectory.</w:t>
      </w:r>
      <w:r>
        <w:rPr>
          <w:rFonts w:ascii="Times New Roman" w:cs="Times New Roman" w:eastAsia="Times New Roman" w:hAnsi="Times New Roman"/>
          <w:sz w:val="24"/>
          <w:szCs w:val="24"/>
        </w:rPr>
        <w:t xml:space="preserve"> Content that enters at one step can influence an action several steps later. The unit of security analysis is therefore not a single input–output pair but a trajectory of reasoning, actions and observations.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Outputs with external effects.</w:t>
      </w:r>
      <w:r>
        <w:rPr>
          <w:rFonts w:ascii="Times New Roman" w:cs="Times New Roman" w:eastAsia="Times New Roman" w:hAnsi="Times New Roman"/>
          <w:sz w:val="24"/>
          <w:szCs w:val="24"/>
        </w:rPr>
        <w:t xml:space="preserve"> An agent's outputs include tool calls. An error or a successful manipulation therefore does not remain in the text domain; it becomes a state change in an external system.</w:t>
      </w:r>
    </w:p>
    <w:p>
      <w:pPr>
        <w:spacing w:after="120" w:line="360"/>
        <w:jc w:val="both"/>
      </w:pPr>
      <w:r>
        <w:rPr>
          <w:rFonts w:ascii="Times New Roman" w:cs="Times New Roman" w:eastAsia="Times New Roman" w:hAnsi="Times New Roman"/>
          <w:sz w:val="24"/>
          <w:szCs w:val="24"/>
        </w:rPr>
        <w:t xml:space="preserve">Surveys of agent trustworthiness organize threats around the same components: the model "brain", memory, tools, and the interaction between agents and their environment (Yu et al., 2025). The practical implication is that the security-relevant question changes over the course of execution. At the input boundary the question is whether the text is malicious. At the action boundary it is whether this particular action, given everything that preceded it, should be released.</w:t>
      </w:r>
    </w:p>
    <w:p>
      <w:pPr>
        <w:pStyle w:val="Heading2"/>
        <w:keepNext/>
        <w:spacing w:after="120" w:before="240"/>
      </w:pPr>
      <w:r>
        <w:rPr>
          <w:rFonts w:ascii="Times New Roman" w:cs="Times New Roman" w:eastAsia="Times New Roman" w:hAnsi="Times New Roman"/>
          <w:b/>
          <w:bCs/>
          <w:i/>
          <w:iCs/>
          <w:sz w:val="24"/>
          <w:szCs w:val="24"/>
        </w:rPr>
        <w:t xml:space="preserve">2.2.3 Risk without an adversary</w:t>
      </w:r>
    </w:p>
    <w:p>
      <w:pPr>
        <w:spacing w:after="120" w:line="360"/>
        <w:jc w:val="both"/>
      </w:pPr>
      <w:r>
        <w:rPr>
          <w:rFonts w:ascii="Times New Roman" w:cs="Times New Roman" w:eastAsia="Times New Roman" w:hAnsi="Times New Roman"/>
          <w:sz w:val="24"/>
          <w:szCs w:val="24"/>
        </w:rPr>
        <w:t xml:space="preserve">Agent risk does not require an attacker. Ruan et al. (2024) evaluated LLM agents in an LM-emulated sandbox with 36 high-stakes toolkits and 144 test cases. They reported that even the safest agent they tested exhibited failures in 23.9% of cases according to their automatic evaluator, and that human evaluators judged 68.8% of the identified failures to be valid real-world failures. The failures arise from the interaction of model, tools and context: for example, executing consequential actions without adequate verification. Such failures are not properties of the model in isolation. An adversary adds deliberate pressure on exactly these channels and actions, which is the subject of Section 2.3.</w:t>
      </w: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Taken together, the reviewed studies locate agent risk at the interaction between the model, its heterogeneous input channels, its accumulated state and its tools. A defense that inspects only the user's input, or only the final text output, does not observe the point at which an agent's decision becomes an external effect. This observation motivates the attention given in the rest of the chapter to </w:t>
      </w:r>
      <w:r>
        <w:rPr>
          <w:rFonts w:ascii="Times New Roman" w:cs="Times New Roman" w:eastAsia="Times New Roman" w:hAnsi="Times New Roman"/>
          <w:i/>
          <w:iCs/>
          <w:sz w:val="24"/>
          <w:szCs w:val="24"/>
        </w:rPr>
        <w:t xml:space="preserve">where</w:t>
      </w:r>
      <w:r>
        <w:rPr>
          <w:rFonts w:ascii="Times New Roman" w:cs="Times New Roman" w:eastAsia="Times New Roman" w:hAnsi="Times New Roman"/>
          <w:sz w:val="24"/>
          <w:szCs w:val="24"/>
        </w:rPr>
        <w:t xml:space="preserve"> defenses intervene and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they observe.</w:t>
      </w:r>
    </w:p>
    <w:p>
      <w:pPr>
        <w:pStyle w:val="Heading1"/>
        <w:keepNext/>
        <w:spacing w:after="120" w:before="360"/>
      </w:pPr>
      <w:r>
        <w:rPr>
          <w:rFonts w:ascii="Times New Roman" w:cs="Times New Roman" w:eastAsia="Times New Roman" w:hAnsi="Times New Roman"/>
          <w:b/>
          <w:bCs/>
          <w:i w:val="false"/>
          <w:iCs w:val="false"/>
          <w:sz w:val="28"/>
          <w:szCs w:val="28"/>
        </w:rPr>
        <w:t xml:space="preserve">2.3 Threats Against AI Agents</w:t>
      </w:r>
    </w:p>
    <w:p>
      <w:pPr>
        <w:spacing w:after="120" w:line="360"/>
        <w:jc w:val="both"/>
      </w:pPr>
      <w:r>
        <w:rPr>
          <w:rFonts w:ascii="Times New Roman" w:cs="Times New Roman" w:eastAsia="Times New Roman" w:hAnsi="Times New Roman"/>
          <w:sz w:val="24"/>
          <w:szCs w:val="24"/>
        </w:rPr>
        <w:t xml:space="preserve">The OWASP Gen AI Security Project lists prompt injection as the first risk in its 2025 list for LLM applications. It distinguishes </w:t>
      </w:r>
      <w:r>
        <w:rPr>
          <w:rFonts w:ascii="Times New Roman" w:cs="Times New Roman" w:eastAsia="Times New Roman" w:hAnsi="Times New Roman"/>
          <w:i/>
          <w:iCs/>
          <w:sz w:val="24"/>
          <w:szCs w:val="24"/>
        </w:rPr>
        <w:t xml:space="preserve">direct</w:t>
      </w:r>
      <w:r>
        <w:rPr>
          <w:rFonts w:ascii="Times New Roman" w:cs="Times New Roman" w:eastAsia="Times New Roman" w:hAnsi="Times New Roman"/>
          <w:sz w:val="24"/>
          <w:szCs w:val="24"/>
        </w:rPr>
        <w:t xml:space="preserve"> prompt injection, in which a user's prompt alters the model's behavior in unintended ways, from </w:t>
      </w:r>
      <w:r>
        <w:rPr>
          <w:rFonts w:ascii="Times New Roman" w:cs="Times New Roman" w:eastAsia="Times New Roman" w:hAnsi="Times New Roman"/>
          <w:i/>
          <w:iCs/>
          <w:sz w:val="24"/>
          <w:szCs w:val="24"/>
        </w:rPr>
        <w:t xml:space="preserve">indirect</w:t>
      </w:r>
      <w:r>
        <w:rPr>
          <w:rFonts w:ascii="Times New Roman" w:cs="Times New Roman" w:eastAsia="Times New Roman" w:hAnsi="Times New Roman"/>
          <w:sz w:val="24"/>
          <w:szCs w:val="24"/>
        </w:rPr>
        <w:t xml:space="preserve"> prompt injection, in which content from external sources such as websites or files alters that behavior (OWASP Gen AI Security Project, 2025). This practitioner taxonomy is consistent with the academic literature reviewed below and is used here only for terminology. The section concentrates on the threat classes that bear directly on REM: the manipulation of a tool-using agent into proposing an action that serves an attacker rather than the user.</w:t>
      </w:r>
    </w:p>
    <w:p>
      <w:pPr>
        <w:pStyle w:val="Heading2"/>
        <w:keepNext/>
        <w:spacing w:after="120" w:before="240"/>
      </w:pPr>
      <w:r>
        <w:rPr>
          <w:rFonts w:ascii="Times New Roman" w:cs="Times New Roman" w:eastAsia="Times New Roman" w:hAnsi="Times New Roman"/>
          <w:b/>
          <w:bCs/>
          <w:i/>
          <w:iCs/>
          <w:sz w:val="24"/>
          <w:szCs w:val="24"/>
        </w:rPr>
        <w:t xml:space="preserve">2.3.1 Direct prompt injection and malicious instructions</w:t>
      </w:r>
    </w:p>
    <w:p>
      <w:pPr>
        <w:spacing w:after="120" w:line="360"/>
        <w:jc w:val="both"/>
      </w:pPr>
      <w:r>
        <w:rPr>
          <w:rFonts w:ascii="Times New Roman" w:cs="Times New Roman" w:eastAsia="Times New Roman" w:hAnsi="Times New Roman"/>
          <w:sz w:val="24"/>
          <w:szCs w:val="24"/>
        </w:rPr>
        <w:t xml:space="preserve">Early demonstrations showed that simple handcrafted inputs could redirect a model toward an attacker's goal ("goal hijacking") or cause it to reveal its instructions ("prompt leaking") (Perez &amp; Ribeiro, 2022). Y. Liu et al. (2024) moved the field from individual demonstrations toward systematic evaluation. They proposed a framework that formalizes prompt injection attacks, showed that existing attacks are special cases of it, and benchmarked five attacks and ten defenses across ten LLMs and seven tasks. For agents, direct injection matters less than its indirect counterpart, because the user of a financial agent is usually the principal the agent serves rather than the adversary. The main detection difficulty is shared by both forms, however: injected instructions are natural language and are distributionally similar to legitimate instructions.</w:t>
      </w:r>
    </w:p>
    <w:p>
      <w:pPr>
        <w:pStyle w:val="Heading2"/>
        <w:keepNext/>
        <w:spacing w:after="120" w:before="240"/>
      </w:pPr>
      <w:r>
        <w:rPr>
          <w:rFonts w:ascii="Times New Roman" w:cs="Times New Roman" w:eastAsia="Times New Roman" w:hAnsi="Times New Roman"/>
          <w:b/>
          <w:bCs/>
          <w:i/>
          <w:iCs/>
          <w:sz w:val="24"/>
          <w:szCs w:val="24"/>
        </w:rPr>
        <w:t xml:space="preserve">2.3.2 Indirect prompt injection</w:t>
      </w:r>
    </w:p>
    <w:p>
      <w:pPr>
        <w:spacing w:after="120" w:line="360"/>
        <w:jc w:val="both"/>
      </w:pPr>
      <w:r>
        <w:rPr>
          <w:rFonts w:ascii="Times New Roman" w:cs="Times New Roman" w:eastAsia="Times New Roman" w:hAnsi="Times New Roman"/>
          <w:sz w:val="24"/>
          <w:szCs w:val="24"/>
        </w:rPr>
        <w:t xml:space="preserve">Greshake et al. (2023) demonstrated that adversarial instructions placed in data retrieved by an LLM-integrated application can compromise the application remotely, without any access to its user interface. The model processes the retrieved content as instructions rather than as data. For tool-using agents this is the more consequential variant. The attacker needs only to influence some content that the agent will read, such as an email, a web page, a document or a transaction description. The malicious content then enters through the observation channel </w:t>
      </w:r>
      <w:r>
        <w:rPr>
          <w:rFonts w:ascii="Times New Roman" w:cs="Times New Roman" w:eastAsia="Times New Roman" w:hAnsi="Times New Roman"/>
          <w:i/>
          <w:iCs/>
          <w:sz w:val="24"/>
          <w:szCs w:val="24"/>
        </w:rPr>
        <w:t xml:space="preserve">after</w:t>
      </w:r>
      <w:r>
        <w:rPr>
          <w:rFonts w:ascii="Times New Roman" w:cs="Times New Roman" w:eastAsia="Times New Roman" w:hAnsi="Times New Roman"/>
          <w:sz w:val="24"/>
          <w:szCs w:val="24"/>
        </w:rPr>
        <w:t xml:space="preserve"> the user's request has been received and inspected.</w:t>
      </w:r>
    </w:p>
    <w:p>
      <w:pPr>
        <w:spacing w:after="120" w:line="360"/>
        <w:jc w:val="both"/>
      </w:pPr>
      <w:r>
        <w:rPr>
          <w:rFonts w:ascii="Times New Roman" w:cs="Times New Roman" w:eastAsia="Times New Roman" w:hAnsi="Times New Roman"/>
          <w:sz w:val="24"/>
          <w:szCs w:val="24"/>
        </w:rPr>
        <w:t xml:space="preserve">Agent-specific benchmarks quantify the threat. InjecAgent contains 1,054 test cases covering 17 user tools and 62 attacker tools across two attack intentions, direct harm and data stealing. Across the agents evaluated, a ReAct-prompted GPT-4 agent was vulnerable in 24% of cases, and the success rate nearly doubled when the injected instruction was reinforced with a "hacking prompt" (Zhan et al., 2024). Agent Security Bench (ASB) covers ten scenarios, including finance, with ten agents, more than 400 tools and 27 attack and defense methods. Across 13 LLM backbones it reported a highest average attack success rate of 84.30% and found existing defenses often ineffective (H. Zhang et al., 2025).</w:t>
      </w:r>
    </w:p>
    <w:p>
      <w:pPr>
        <w:pStyle w:val="Heading2"/>
        <w:keepNext/>
        <w:spacing w:after="120" w:before="240"/>
      </w:pPr>
      <w:r>
        <w:rPr>
          <w:rFonts w:ascii="Times New Roman" w:cs="Times New Roman" w:eastAsia="Times New Roman" w:hAnsi="Times New Roman"/>
          <w:b/>
          <w:bCs/>
          <w:i/>
          <w:iCs/>
          <w:sz w:val="24"/>
          <w:szCs w:val="24"/>
        </w:rPr>
        <w:t xml:space="preserve">2.3.3 Tool misuse and action manipulation</w:t>
      </w:r>
    </w:p>
    <w:p>
      <w:pPr>
        <w:spacing w:after="120" w:line="360"/>
        <w:jc w:val="both"/>
      </w:pPr>
      <w:r>
        <w:rPr>
          <w:rFonts w:ascii="Times New Roman" w:cs="Times New Roman" w:eastAsia="Times New Roman" w:hAnsi="Times New Roman"/>
          <w:sz w:val="24"/>
          <w:szCs w:val="24"/>
        </w:rPr>
        <w:t xml:space="preserve">Tool misuse is the invocation of a legitimate capability in a way that is inconsistent with the user's intent or with policy. Action manipulation is its adversarially induced form: the agent proposes a well-formed call to a permitted tool, but with arguments or at a moment chosen by the attacker. In most injection chains, this is the stage at which internal compromise becomes external effect (H. Zhang et al., 2025; Zhan et al., 2024). The detection difficulty is that a manipulated call is often syntactically valid and individually plausible. Its anomaly lies in its relation to the user's request and to the preceding trajectory, not in the call itself. Several defenses reviewed later formalize exactly this relational question. They ask whether an action serves the user's stated task (F. Jia et al., 2025), whether its arguments are supported by traceable evidence in the context (She et al., 2026), or whether it would still be proposed if the user's request were masked (Zhu et al., 2025).</w:t>
      </w:r>
    </w:p>
    <w:p>
      <w:pPr>
        <w:spacing w:after="120" w:line="360"/>
        <w:jc w:val="both"/>
      </w:pPr>
      <w:r>
        <w:rPr>
          <w:rFonts w:ascii="Times New Roman" w:cs="Times New Roman" w:eastAsia="Times New Roman" w:hAnsi="Times New Roman"/>
          <w:sz w:val="24"/>
          <w:szCs w:val="24"/>
        </w:rPr>
        <w:t xml:space="preserve">Harmful behavior can also be requested directly. AgentHarm contains 110 explicitly malicious agent tasks (440 with augmentations) across 11 harm categories, including fraud and cybercrime. Scoring well on it requires a jailbroken agent to retain enough capability to complete a multi-step task (Andriushchenko et al., 2025). This benchmark is relevant to REM mainly as a contrast. Its threat model is a malicious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whereas REM's primary threat model, indirect injection against a benign user's financial agent, places the adversary in the data.</w:t>
      </w:r>
    </w:p>
    <w:p>
      <w:pPr>
        <w:pStyle w:val="Heading2"/>
        <w:keepNext/>
        <w:spacing w:after="120" w:before="240"/>
      </w:pPr>
      <w:r>
        <w:rPr>
          <w:rFonts w:ascii="Times New Roman" w:cs="Times New Roman" w:eastAsia="Times New Roman" w:hAnsi="Times New Roman"/>
          <w:b/>
          <w:bCs/>
          <w:i/>
          <w:iCs/>
          <w:sz w:val="24"/>
          <w:szCs w:val="24"/>
        </w:rPr>
        <w:t xml:space="preserve">2.3.4 Context and memory manipulation</w:t>
      </w:r>
    </w:p>
    <w:p>
      <w:pPr>
        <w:spacing w:after="120" w:line="360"/>
        <w:jc w:val="both"/>
      </w:pPr>
      <w:r>
        <w:rPr>
          <w:rFonts w:ascii="Times New Roman" w:cs="Times New Roman" w:eastAsia="Times New Roman" w:hAnsi="Times New Roman"/>
          <w:sz w:val="24"/>
          <w:szCs w:val="24"/>
        </w:rPr>
        <w:t xml:space="preserve">Where an agent maintains long-term memory or retrieves from a knowledge base, an adversary can plant content that is retrieved and acted on later. AgentPoison poisons an agent's memory or retrieval corpus with a small number of malicious demonstrations containing an optimized trigger. Its authors reported an average attack success rate of at least 80%, with less than 1% impact on benign performance, at a poison rate below 0.1% and without any model training (Z. Chen et al., 2024). Memory poisoning separates the write from the activation in time. The eventual retrieval therefore appears legitimate to any observer that lacks information about where the content came from. This is one reason why the provenance of content is increasingly treated as security evidence (Section 2.6.2).</w:t>
      </w:r>
    </w:p>
    <w:p>
      <w:pPr>
        <w:pStyle w:val="Heading2"/>
        <w:keepNext/>
        <w:spacing w:after="120" w:before="240"/>
      </w:pPr>
      <w:r>
        <w:rPr>
          <w:rFonts w:ascii="Times New Roman" w:cs="Times New Roman" w:eastAsia="Times New Roman" w:hAnsi="Times New Roman"/>
          <w:b/>
          <w:bCs/>
          <w:i/>
          <w:iCs/>
          <w:sz w:val="24"/>
          <w:szCs w:val="24"/>
        </w:rPr>
        <w:t xml:space="preserve">2.3.5 Goal drift and multi-step attack propagation</w:t>
      </w:r>
    </w:p>
    <w:p>
      <w:pPr>
        <w:spacing w:after="120" w:line="360"/>
        <w:jc w:val="both"/>
      </w:pPr>
      <w:r>
        <w:rPr>
          <w:rFonts w:ascii="Times New Roman" w:cs="Times New Roman" w:eastAsia="Times New Roman" w:hAnsi="Times New Roman"/>
          <w:sz w:val="24"/>
          <w:szCs w:val="24"/>
        </w:rPr>
        <w:t xml:space="preserve">Some compromises have no single anomalous step. An agent may read an attacker-controlled document, add a payee in a later step, and transfer funds after that, with each step plausible in isolation. Several runtime systems target this pattern explicitly. MI9 includes goal-conditioned drift detection (C. L. Wang et al., 2025). FinHarness fuses single-turn intent with cross-turn drift in its query monitor (H. Jia et al., 2026). DreamGuard is motivated by the observation that individually benign-looking actions can gradually move an agent toward hazardous states (Lin et al., 2026). Cordon's authors report that task-level transactional tracking exposes cross-step violations missed by existing defenses (Z. Chen et al., 2026). The threat is therefore well recognized. Whether a given evaluation actually contains such multi-step attacks is a separate empirical question, discussed in Section 2.6.5.</w:t>
      </w:r>
    </w:p>
    <w:p>
      <w:pPr>
        <w:pStyle w:val="Heading2"/>
        <w:keepNext/>
        <w:spacing w:after="120" w:before="240"/>
      </w:pPr>
      <w:r>
        <w:rPr>
          <w:rFonts w:ascii="Times New Roman" w:cs="Times New Roman" w:eastAsia="Times New Roman" w:hAnsi="Times New Roman"/>
          <w:b/>
          <w:bCs/>
          <w:i/>
          <w:iCs/>
          <w:sz w:val="24"/>
          <w:szCs w:val="24"/>
        </w:rPr>
        <w:t xml:space="preserve">2.3.6 Abnormal and repetitive execution</w:t>
      </w:r>
    </w:p>
    <w:p>
      <w:pPr>
        <w:spacing w:after="120" w:line="360"/>
        <w:jc w:val="both"/>
      </w:pPr>
      <w:r>
        <w:rPr>
          <w:rFonts w:ascii="Times New Roman" w:cs="Times New Roman" w:eastAsia="Times New Roman" w:hAnsi="Times New Roman"/>
          <w:sz w:val="24"/>
          <w:szCs w:val="24"/>
        </w:rPr>
        <w:t xml:space="preserve">A final class concerns behavior that is abnormal as a </w:t>
      </w:r>
      <w:r>
        <w:rPr>
          <w:rFonts w:ascii="Times New Roman" w:cs="Times New Roman" w:eastAsia="Times New Roman" w:hAnsi="Times New Roman"/>
          <w:i/>
          <w:iCs/>
          <w:sz w:val="24"/>
          <w:szCs w:val="24"/>
        </w:rPr>
        <w:t xml:space="preserve">pattern</w:t>
      </w:r>
      <w:r>
        <w:rPr>
          <w:rFonts w:ascii="Times New Roman" w:cs="Times New Roman" w:eastAsia="Times New Roman" w:hAnsi="Times New Roman"/>
          <w:sz w:val="24"/>
          <w:szCs w:val="24"/>
        </w:rPr>
        <w:t xml:space="preserve"> rather than as a single action: unusually repeated tool calls, unexpected orderings of operations, or sequences that depart from an agent's normal operating profile. The reviewed agent-security literature addresses this mainly through session-level chain detection (C. Yang, 2026), conformance checking against expected behavioral patterns (C. L. Wang et al., 2025), and probabilistic models of state transitions (H. Wang et al., 2025). The underlying concept is older. In the anomaly-detection literature, a sequence of individually normal events whose </w:t>
      </w:r>
      <w:r>
        <w:rPr>
          <w:rFonts w:ascii="Times New Roman" w:cs="Times New Roman" w:eastAsia="Times New Roman" w:hAnsi="Times New Roman"/>
          <w:i/>
          <w:iCs/>
          <w:sz w:val="24"/>
          <w:szCs w:val="24"/>
        </w:rPr>
        <w:t xml:space="preserve">combination</w:t>
      </w:r>
      <w:r>
        <w:rPr>
          <w:rFonts w:ascii="Times New Roman" w:cs="Times New Roman" w:eastAsia="Times New Roman" w:hAnsi="Times New Roman"/>
          <w:sz w:val="24"/>
          <w:szCs w:val="24"/>
        </w:rPr>
        <w:t xml:space="preserve"> is anomalous is a </w:t>
      </w:r>
      <w:r>
        <w:rPr>
          <w:rFonts w:ascii="Times New Roman" w:cs="Times New Roman" w:eastAsia="Times New Roman" w:hAnsi="Times New Roman"/>
          <w:i/>
          <w:iCs/>
          <w:sz w:val="24"/>
          <w:szCs w:val="24"/>
        </w:rPr>
        <w:t xml:space="preserve">collective</w:t>
      </w:r>
      <w:r>
        <w:rPr>
          <w:rFonts w:ascii="Times New Roman" w:cs="Times New Roman" w:eastAsia="Times New Roman" w:hAnsi="Times New Roman"/>
          <w:sz w:val="24"/>
          <w:szCs w:val="24"/>
        </w:rPr>
        <w:t xml:space="preserve"> anomaly (Chandola et al., 2009). Anomaly detection over discrete sequences is a distinct problem formulation with its own methods (Chandola et al., 2012). Section 2.6.3 examines what that literature contributes, and what it cautions, when transferred to agents.</w:t>
      </w:r>
    </w:p>
    <w:p>
      <w:pPr>
        <w:pStyle w:val="Heading2"/>
        <w:keepNext/>
        <w:spacing w:after="120" w:before="240"/>
      </w:pPr>
      <w:r>
        <w:rPr>
          <w:rFonts w:ascii="Times New Roman" w:cs="Times New Roman" w:eastAsia="Times New Roman" w:hAnsi="Times New Roman"/>
          <w:b/>
          <w:bCs/>
          <w:i/>
          <w:iCs/>
          <w:sz w:val="24"/>
          <w:szCs w:val="24"/>
        </w:rPr>
        <w:t xml:space="preserve">2.3.7 Adaptive attackers</w:t>
      </w:r>
    </w:p>
    <w:p>
      <w:pPr>
        <w:spacing w:after="120" w:line="360"/>
        <w:jc w:val="both"/>
      </w:pPr>
      <w:r>
        <w:rPr>
          <w:rFonts w:ascii="Times New Roman" w:cs="Times New Roman" w:eastAsia="Times New Roman" w:hAnsi="Times New Roman"/>
          <w:sz w:val="24"/>
          <w:szCs w:val="24"/>
        </w:rPr>
        <w:t xml:space="preserve">Threat evaluations are only as strong as the attacks they include. Zhan et al. (2025) evaluated eight defenses against indirect prompt injection on LLM agents and bypassed all of them with adaptive attacks designed with knowledge of each defense. This finding echoes the earlier conclusion of Y. Liu et al. (2024) that claimed defensive efficacy requires independent verification. It implies that detection results measured against fixed attack templates are upper bounds on robustness, not estimates of it.</w:t>
      </w:r>
    </w:p>
    <w:p>
      <w:pPr>
        <w:keepNext/>
        <w:spacing w:after="80" w:before="200"/>
      </w:pPr>
      <w:r>
        <w:rPr>
          <w:rFonts w:ascii="Times New Roman" w:cs="Times New Roman" w:eastAsia="Times New Roman" w:hAnsi="Times New Roman"/>
          <w:b/>
          <w:bCs/>
          <w:sz w:val="24"/>
          <w:szCs w:val="24"/>
        </w:rPr>
        <w:t xml:space="preserve">Table 2.1. Threat classes relevant to 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1"/>
        <w:gridCol w:w="1202"/>
        <w:gridCol w:w="673"/>
        <w:gridCol w:w="2677"/>
        <w:gridCol w:w="2823"/>
      </w:tblGrid>
      <w:tr>
        <w:trPr>
          <w:cantSplit/>
          <w:tblHeader/>
        </w:trPr>
        <w:tc>
          <w:tcPr>
            <w:tcW w:type="dxa" w:w="165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Threat class</w:t>
            </w:r>
          </w:p>
        </w:tc>
        <w:tc>
          <w:tcPr>
            <w:tcW w:type="dxa" w:w="120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Entry point</w:t>
            </w:r>
          </w:p>
        </w:tc>
        <w:tc>
          <w:tcPr>
            <w:tcW w:type="dxa" w:w="67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Temporal scope</w:t>
            </w:r>
          </w:p>
        </w:tc>
        <w:tc>
          <w:tcPr>
            <w:tcW w:type="dxa" w:w="267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Why it is hard to detect</w:t>
            </w:r>
          </w:p>
        </w:tc>
        <w:tc>
          <w:tcPr>
            <w:tcW w:type="dxa" w:w="282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Representative sources</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Direct prompt injection</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User channel</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Single turn</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Injected instructions resemble legitimate ones</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Perez &amp; Ribeiro (2022); Y. Liu et al. (2024)</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prompt injection</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Observation channel (tool outputs, retrieved content)</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Cross-step</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Enters after input inspection has concluded</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Greshake et al. (2023); Zhan et al. (2024); H. Zhang et al. (2025)</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 misuse / action manipulation</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 interface</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Step or chain</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The call is well formed; the anomaly is relational</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Zhan et al. (2024); H. Zhang et al. (2025); Andriushchenko et al. (2025)</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Context and memory manipulation</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Memory, retrieval corpus</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Cross-session</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Write and activation are separated in time</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Z. Chen et al. (2024)</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Goal drift / multi-step propagation</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Planning and trajectory</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 single step need be anomalous</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 L. Wang et al. (2025); Lin et al. (2026); H. Jia et al. (2026)</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Abnormal / repetitive execution</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Anomaly lies in the pattern (collective anomaly)</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Chandola et al. (2009, 2012); C. Yang (2026)</w:t>
            </w:r>
          </w:p>
        </w:tc>
      </w:tr>
      <w:tr>
        <w:trPr>
          <w:cantSplit/>
          <w:tblHeader w:val="false"/>
        </w:trPr>
        <w:tc>
          <w:tcPr>
            <w:tcW w:type="dxa" w:w="165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Adaptive attacks</w:t>
            </w:r>
          </w:p>
        </w:tc>
        <w:tc>
          <w:tcPr>
            <w:tcW w:type="dxa" w:w="12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Any</w:t>
            </w:r>
          </w:p>
        </w:tc>
        <w:tc>
          <w:tcPr>
            <w:tcW w:type="dxa" w:w="67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Any</w:t>
            </w:r>
          </w:p>
        </w:tc>
        <w:tc>
          <w:tcPr>
            <w:tcW w:type="dxa" w:w="26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Attacks are designed against the specific defense</w:t>
            </w:r>
          </w:p>
        </w:tc>
        <w:tc>
          <w:tcPr>
            <w:tcW w:type="dxa" w:w="282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Zhan et al. (2025)</w:t>
            </w:r>
          </w:p>
        </w:tc>
      </w:tr>
    </w:tbl>
    <w:p>
      <w:pPr>
        <w:spacing w:after="120"/>
      </w:pP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The main threat classes relevant to REM have been defined, demonstrated and benchmarked. Two properties recur across them.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The critical entry point is the observation channel.</w:t>
      </w:r>
      <w:r>
        <w:rPr>
          <w:rFonts w:ascii="Times New Roman" w:cs="Times New Roman" w:eastAsia="Times New Roman" w:hAnsi="Times New Roman"/>
          <w:sz w:val="24"/>
          <w:szCs w:val="24"/>
        </w:rPr>
        <w:t xml:space="preserve"> Indirect injection and memory manipulation enter after the user's request, so input-boundary defenses do not observe them.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The critical moment is the proposed action.</w:t>
      </w:r>
      <w:r>
        <w:rPr>
          <w:rFonts w:ascii="Times New Roman" w:cs="Times New Roman" w:eastAsia="Times New Roman" w:hAnsi="Times New Roman"/>
          <w:sz w:val="24"/>
          <w:szCs w:val="24"/>
        </w:rPr>
        <w:t xml:space="preserve"> Whatever the entry point, the harm materializes when the agent proposes a tool call that serves the attacker. For many threats this is also the last point at which harm can be prevented rather than repaired.</w:t>
      </w:r>
    </w:p>
    <w:p>
      <w:pPr>
        <w:spacing w:after="120" w:line="360"/>
        <w:jc w:val="both"/>
      </w:pPr>
      <w:r>
        <w:rPr>
          <w:rFonts w:ascii="Times New Roman" w:cs="Times New Roman" w:eastAsia="Times New Roman" w:hAnsi="Times New Roman"/>
          <w:sz w:val="24"/>
          <w:szCs w:val="24"/>
        </w:rPr>
        <w:t xml:space="preserve">These two properties define the observation point for a runtime layer such as REM. The adaptive-attack evidence adds a caution that applies to every defense reviewed below.</w:t>
      </w:r>
    </w:p>
    <w:p>
      <w:pPr>
        <w:pStyle w:val="Heading1"/>
        <w:keepNext/>
        <w:spacing w:after="120" w:before="360"/>
      </w:pPr>
      <w:r>
        <w:rPr>
          <w:rFonts w:ascii="Times New Roman" w:cs="Times New Roman" w:eastAsia="Times New Roman" w:hAnsi="Times New Roman"/>
          <w:b/>
          <w:bCs/>
          <w:i w:val="false"/>
          <w:iCs w:val="false"/>
          <w:sz w:val="28"/>
          <w:szCs w:val="28"/>
        </w:rPr>
        <w:t xml:space="preserve">2.4 AI-Agent Security Benchmarks and Threat Models</w:t>
      </w:r>
    </w:p>
    <w:p>
      <w:pPr>
        <w:spacing w:after="120" w:line="360"/>
        <w:jc w:val="both"/>
      </w:pPr>
      <w:r>
        <w:rPr>
          <w:rFonts w:ascii="Times New Roman" w:cs="Times New Roman" w:eastAsia="Times New Roman" w:hAnsi="Times New Roman"/>
          <w:sz w:val="24"/>
          <w:szCs w:val="24"/>
        </w:rPr>
        <w:t xml:space="preserve">Benchmarks operationalize threat models. They also determine what a defense can be shown to achieve, so their construction deserves the same critical attention as the defenses evaluated on them.</w:t>
      </w:r>
    </w:p>
    <w:p>
      <w:pPr>
        <w:keepNext/>
        <w:spacing w:after="80" w:before="200"/>
      </w:pPr>
      <w:r>
        <w:rPr>
          <w:rFonts w:ascii="Times New Roman" w:cs="Times New Roman" w:eastAsia="Times New Roman" w:hAnsi="Times New Roman"/>
          <w:b/>
          <w:bCs/>
          <w:sz w:val="24"/>
          <w:szCs w:val="24"/>
        </w:rPr>
        <w:t xml:space="preserve">Table 2.2. Benchmarks relevant to runtime protection of tool-using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2786"/>
        <w:gridCol w:w="1398"/>
        <w:gridCol w:w="789"/>
        <w:gridCol w:w="2701"/>
      </w:tblGrid>
      <w:tr>
        <w:trPr>
          <w:cantSplit/>
          <w:tblHeader/>
        </w:trPr>
        <w:tc>
          <w:tcPr>
            <w:tcW w:type="dxa" w:w="135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Benchmark</w:t>
            </w:r>
          </w:p>
        </w:tc>
        <w:tc>
          <w:tcPr>
            <w:tcW w:type="dxa" w:w="278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Content (as reported)</w:t>
            </w:r>
          </w:p>
        </w:tc>
        <w:tc>
          <w:tcPr>
            <w:tcW w:type="dxa" w:w="139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Threat model</w:t>
            </w:r>
          </w:p>
        </w:tc>
        <w:tc>
          <w:tcPr>
            <w:tcW w:type="dxa" w:w="78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Utility measured</w:t>
            </w:r>
          </w:p>
        </w:tc>
        <w:tc>
          <w:tcPr>
            <w:tcW w:type="dxa" w:w="27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Relevance and caveats</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AgentDojo (Debenedetti et al., 2024)</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97 user tasks and 629 security test cases in four environments: Workspace, Slack, Travel, Banking</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prompt injection via tool outputs</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jointly with security</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Executable and extensible; state-based checks; the Banking suite is directly relevant to financial agents</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InjecAgent (Zhan et al., 2024)</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1,054 test cases; 17 user tools, 62 attacker tools</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injection (direct harm; data stealing)</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Short cases, suited to isolating injection detection</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ASB (H. Zhang et al., 2025)</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10 scenarios including finance; 10 agents; more than 400 tools; 27 attack and defense methods; 7 metrics</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Direct and indirect injection, memory poisoning, mixed attacks</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Broad attack coverage</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AgentHarm (Andriushchenko et al., 2025)</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110 malicious tasks (440 with augmentations); 11 harm categories</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Malicious user</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Capability retention after jailbreak</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Tests refusal of harmful requests, not injection against a benign user</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ToolEmu (Ruan et al., 2024)</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36 toolkits; 144 test cases; LM-emulated tools</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 adversary (risky failures)</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the focus</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Emulated rather than executed tools</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FinVault (Z. Yang et al., 2026)</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31 regulatory scenarios; 107 vulnerabilities; 963 test cases (as originally reported)</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Financial-agent attacks</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Benign cases reported</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arXiv version withdrawn by its authors</w:t>
            </w:r>
            <w:r>
              <w:rPr>
                <w:rFonts w:ascii="Times New Roman" w:cs="Times New Roman" w:eastAsia="Times New Roman" w:hAnsi="Times New Roman"/>
                <w:sz w:val="16"/>
                <w:szCs w:val="16"/>
              </w:rPr>
              <w:t xml:space="preserve"> (legal, intellectual-property and affiliation concerns); not used as evidence in this thesis</w:t>
            </w:r>
          </w:p>
        </w:tc>
      </w:tr>
      <w:tr>
        <w:trPr>
          <w:cantSplit/>
          <w:tblHeader w:val="false"/>
        </w:trPr>
        <w:tc>
          <w:tcPr>
            <w:tcW w:type="dxa" w:w="13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NEXUS-Bench (Hossain et al., 2026)</w:t>
            </w:r>
          </w:p>
        </w:tc>
        <w:tc>
          <w:tcPr>
            <w:tcW w:type="dxa" w:w="27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Synthetic plan instances; 128-instance held-out test set</w:t>
            </w:r>
          </w:p>
        </w:tc>
        <w:tc>
          <w:tcPr>
            <w:tcW w:type="dxa" w:w="13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Unsafe plans</w:t>
            </w:r>
          </w:p>
        </w:tc>
        <w:tc>
          <w:tcPr>
            <w:tcW w:type="dxa" w:w="7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Paired benign cases</w:t>
            </w:r>
          </w:p>
        </w:tc>
        <w:tc>
          <w:tcPr>
            <w:tcW w:type="dxa" w:w="27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Author-generated templates</w:t>
            </w:r>
          </w:p>
        </w:tc>
      </w:tr>
    </w:tbl>
    <w:p>
      <w:pPr>
        <w:spacing w:after="120"/>
      </w:pPr>
    </w:p>
    <w:p>
      <w:pPr>
        <w:spacing w:after="120" w:line="360"/>
        <w:jc w:val="both"/>
      </w:pPr>
      <w:r>
        <w:rPr>
          <w:rFonts w:ascii="Times New Roman" w:cs="Times New Roman" w:eastAsia="Times New Roman" w:hAnsi="Times New Roman"/>
          <w:sz w:val="24"/>
          <w:szCs w:val="24"/>
        </w:rPr>
        <w:t xml:space="preserve">Two recent audits question how far benchmark scores can be interpreted as measurements of "safety". M. Q. Li et al. (2026) catalogued 40 behavioral agent-safety benchmarks published between 2023 and 2026 and proposed a six-axis taxonomy of evaluation methodology. Their consistency analysis, using confidence intervals and Kendall's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found no evidence of ranking concordance across evaluation dimensions, and they concluded that benchmark choice systematically alters reported safety. Y. Wang et al. (2026) ran four benchmarks (R-Judge, InjecAgent, AgentHarm and AgentDojo) under their official implementations on up to 22 models. They identified a metric-validity failure: on a binary trace-judgment benchmark scored by F1, an "always positive" baseline outranked five evaluated models. They also showed that a cross-benchmark correlation moved from −0.64 with seven models to +0.02 with eighteen, an artefact of small panels.</w:t>
      </w:r>
    </w:p>
    <w:p>
      <w:pPr>
        <w:spacing w:after="120" w:line="360"/>
        <w:jc w:val="both"/>
      </w:pPr>
      <w:r>
        <w:rPr>
          <w:rFonts w:ascii="Times New Roman" w:cs="Times New Roman" w:eastAsia="Times New Roman" w:hAnsi="Times New Roman"/>
          <w:sz w:val="24"/>
          <w:szCs w:val="24"/>
        </w:rPr>
        <w:t xml:space="preserve">These audits sharpen a caution that the machine-learning-for-security literature raised earlier. Arp et al. (2022) examined 30 papers from top security venues and identified recurring pitfalls in the design, implementation and evaluation of learning-based security systems, such as sampling bias, data snooping and inappropriate baselines, that lead to over-optimistic results.</w:t>
      </w: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For a financial tool-using agent, AgentDojo offers the most suitable open setting among those reviewed. Its Banking environment is executable, its outcomes are checked against environment state, and it measures utility and security separately. The audits nevertheless impose three constraints on any evaluation: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report results per benchmark rather than pooled across benchmarks;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report benign utility alongside attack success;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treat the number of distinct tasks, rather than the number of generated runs, as the limit on what can be concluded.</w:t>
      </w:r>
    </w:p>
    <w:p>
      <w:pPr>
        <w:spacing w:after="120" w:line="360"/>
        <w:jc w:val="both"/>
      </w:pPr>
      <w:r>
        <w:rPr>
          <w:rFonts w:ascii="Times New Roman" w:cs="Times New Roman" w:eastAsia="Times New Roman" w:hAnsi="Times New Roman"/>
          <w:sz w:val="24"/>
          <w:szCs w:val="24"/>
        </w:rPr>
        <w:t xml:space="preserve">The withdrawal of FinVault further narrows the verified evidence base for finance-specific evaluation, a point taken up in Section 2.9.</w:t>
      </w:r>
    </w:p>
    <w:p>
      <w:pPr>
        <w:pStyle w:val="Heading1"/>
        <w:keepNext/>
        <w:spacing w:after="120" w:before="360"/>
      </w:pPr>
      <w:r>
        <w:rPr>
          <w:rFonts w:ascii="Times New Roman" w:cs="Times New Roman" w:eastAsia="Times New Roman" w:hAnsi="Times New Roman"/>
          <w:b/>
          <w:bCs/>
          <w:i w:val="false"/>
          <w:iCs w:val="false"/>
          <w:sz w:val="28"/>
          <w:szCs w:val="28"/>
        </w:rPr>
        <w:t xml:space="preserve">2.5 Defensive Approaches for AI Agents</w:t>
      </w:r>
    </w:p>
    <w:p>
      <w:pPr>
        <w:spacing w:after="120" w:line="360"/>
        <w:jc w:val="both"/>
      </w:pPr>
      <w:r>
        <w:rPr>
          <w:rFonts w:ascii="Times New Roman" w:cs="Times New Roman" w:eastAsia="Times New Roman" w:hAnsi="Times New Roman"/>
          <w:sz w:val="24"/>
          <w:szCs w:val="24"/>
        </w:rPr>
        <w:t xml:space="preserve">Defenses differ along two dimensions that the literature rarely separates explicitly. The first is </w:t>
      </w:r>
      <w:r>
        <w:rPr>
          <w:rFonts w:ascii="Times New Roman" w:cs="Times New Roman" w:eastAsia="Times New Roman" w:hAnsi="Times New Roman"/>
          <w:b/>
          <w:bCs/>
          <w:sz w:val="24"/>
          <w:szCs w:val="24"/>
        </w:rPr>
        <w:t xml:space="preserve">where they intervene</w:t>
      </w:r>
      <w:r>
        <w:rPr>
          <w:rFonts w:ascii="Times New Roman" w:cs="Times New Roman" w:eastAsia="Times New Roman" w:hAnsi="Times New Roman"/>
          <w:sz w:val="24"/>
          <w:szCs w:val="24"/>
        </w:rPr>
        <w:t xml:space="preserve">: at the input, in the context, in the model, at the policy or tool layer, at runtime around the agent loop, or after an action has taken effect. The second is </w:t>
      </w:r>
      <w:r>
        <w:rPr>
          <w:rFonts w:ascii="Times New Roman" w:cs="Times New Roman" w:eastAsia="Times New Roman" w:hAnsi="Times New Roman"/>
          <w:b/>
          <w:bCs/>
          <w:sz w:val="24"/>
          <w:szCs w:val="24"/>
        </w:rPr>
        <w:t xml:space="preserve">what they observe</w:t>
      </w:r>
      <w:r>
        <w:rPr>
          <w:rFonts w:ascii="Times New Roman" w:cs="Times New Roman" w:eastAsia="Times New Roman" w:hAnsi="Times New Roman"/>
          <w:sz w:val="24"/>
          <w:szCs w:val="24"/>
        </w:rPr>
        <w:t xml:space="preserve">: an isolated request, an individual tool call, a full action sequence, the integrity of the context, or the consequence of an action. This section organizes defenses by mechanism along both dimensions. Integrated runtime layers, the systems closest to REM, are treated separately in Section 2.8.</w:t>
      </w:r>
    </w:p>
    <w:p>
      <w:pPr>
        <w:keepNext/>
        <w:spacing w:after="80" w:before="200"/>
      </w:pPr>
      <w:r>
        <w:rPr>
          <w:rFonts w:ascii="Times New Roman" w:cs="Times New Roman" w:eastAsia="Times New Roman" w:hAnsi="Times New Roman"/>
          <w:b/>
          <w:bCs/>
          <w:sz w:val="24"/>
          <w:szCs w:val="24"/>
        </w:rPr>
        <w:t xml:space="preserve">Table 2.3. Where defenses intervene and what they observe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9"/>
        <w:gridCol w:w="3110"/>
        <w:gridCol w:w="1755"/>
        <w:gridCol w:w="3112"/>
      </w:tblGrid>
      <w:tr>
        <w:trPr>
          <w:cantSplit/>
          <w:tblHeader/>
        </w:trPr>
        <w:tc>
          <w:tcPr>
            <w:tcW w:type="dxa" w:w="104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Point of intervention</w:t>
            </w:r>
          </w:p>
        </w:tc>
        <w:tc>
          <w:tcPr>
            <w:tcW w:type="dxa" w:w="311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Representative approaches</w:t>
            </w:r>
          </w:p>
        </w:tc>
        <w:tc>
          <w:tcPr>
            <w:tcW w:type="dxa" w:w="175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Primary unit observed</w:t>
            </w:r>
          </w:p>
        </w:tc>
        <w:tc>
          <w:tcPr>
            <w:tcW w:type="dxa" w:w="311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this position can and cannot see</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Input / request</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PromptGuard 2 in LlamaFirewall (Chennabasappa et al., 2025); Llama Guard (Inan et al., 2023)</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Isolated request or message</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Sees what the user sends; does not see content that enters later through tools</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Context / data provenance</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Spotlighting (Hines et al., 2024); CaMeL data-flow separation (Debenedetti et al., 2025)</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Untrusted content and its flow</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 mark or isolate untrusted data; depends on correct identification of trust boundaries</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Model</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StruQ (S. Chen et al., 2025)</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Model behavior under separated channels</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Changes how the model treats data; requires training and model access</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Policy / tool privilege</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Progent (Shi et al., 2025); AgentSpec (H. Wang et al., 2026); Conseca (Tsai &amp; Bagdasarian, 2025)</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Individual tool call against a policy</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Deterministic and auditable; answers "is this permitted?", not "is this likely induced?"</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Reasoning / plan</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Thought-Aligner (Jiang et al., 2025); TrustAgent (Hua et al., 2024); NEXUS (Hossain et al., 2026)</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Intermediate thoughts or a whole plan</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 intervene before actions exist; the plan may change after new observations</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Runtime, around the agent loop</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AlignmentCheck (Chennabasappa et al., 2025); GuardAgent (Xiang et al., 2025); ShieldAgent (Z. Chen, Kang, &amp; Li, 2025); Task Shield (F. Jia et al., 2025); MELON (Zhu et al., 2025); ProvenanceGuard (She et al., 2026)</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Proposed action in its context; sometimes the trajectory</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Observes the action boundary; cost is latency and false interventions</w:t>
            </w:r>
          </w:p>
        </w:tc>
      </w:tr>
      <w:tr>
        <w:trPr>
          <w:cantSplit/>
          <w:tblHeader w:val="false"/>
        </w:trPr>
        <w:tc>
          <w:tcPr>
            <w:tcW w:type="dxa" w:w="10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Post-action / transactional</w:t>
            </w:r>
          </w:p>
        </w:tc>
        <w:tc>
          <w:tcPr>
            <w:tcW w:type="dxa" w:w="31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Cordon (Z. Chen et al., 2026)</w:t>
            </w:r>
          </w:p>
        </w:tc>
        <w:tc>
          <w:tcPr>
            <w:tcW w:type="dxa" w:w="17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Staged effects of a task</w:t>
            </w:r>
          </w:p>
        </w:tc>
        <w:tc>
          <w:tcPr>
            <w:tcW w:type="dxa" w:w="311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 roll back or hold effects; consumes rather than produces a risk judgment</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2.5.1 Input- and context-level protection</w:t>
      </w:r>
    </w:p>
    <w:p>
      <w:pPr>
        <w:spacing w:after="120" w:line="360"/>
        <w:jc w:val="both"/>
      </w:pPr>
      <w:r>
        <w:rPr>
          <w:rFonts w:ascii="Times New Roman" w:cs="Times New Roman" w:eastAsia="Times New Roman" w:hAnsi="Times New Roman"/>
          <w:sz w:val="24"/>
          <w:szCs w:val="24"/>
        </w:rPr>
        <w:t xml:space="preserve">The earliest defenses operate on text before it reaches the model's decision. Classifier-based detectors score inputs for injection or jailbreak content. PromptGuard 2, part of LlamaFirewall, is designed to operate on raw input and reject obvious attacks (Chennabasappa et al., 2025). Llama Guard classifies both prompts and responses against a configurable safety taxonomy (Inan et al., 2023). Context-level approaches instead try to preserve the distinction between instructions and data. Spotlighting transforms untrusted input, for example by marking or encoding it, so that the model receives a continuous signal of provenance. Its authors reported that it reduced attack success from above 50% to below 2% with GPT-family models, with minimal impact on task performance (Hines et al., 2024).</w:t>
      </w:r>
    </w:p>
    <w:p>
      <w:pPr>
        <w:spacing w:after="120" w:line="360"/>
        <w:jc w:val="both"/>
      </w:pPr>
      <w:r>
        <w:rPr>
          <w:rFonts w:ascii="Times New Roman" w:cs="Times New Roman" w:eastAsia="Times New Roman" w:hAnsi="Times New Roman"/>
          <w:sz w:val="24"/>
          <w:szCs w:val="24"/>
        </w:rPr>
        <w:t xml:space="preserve">These approaches are inexpensive and deployable, but they share a structural limitation for agents: they act on text, not on actions. A detector at the input boundary does not observe content that enters later through tool outputs. A transformation that improves the model's discrimination between data and instructions still leaves the final decision to the model. The adaptive-attack results reported by Zhan et al. (2025) indicate that such decisions can be overturned by attacks designed against the defense.</w:t>
      </w:r>
    </w:p>
    <w:p>
      <w:pPr>
        <w:pStyle w:val="Heading2"/>
        <w:keepNext/>
        <w:spacing w:after="120" w:before="240"/>
      </w:pPr>
      <w:r>
        <w:rPr>
          <w:rFonts w:ascii="Times New Roman" w:cs="Times New Roman" w:eastAsia="Times New Roman" w:hAnsi="Times New Roman"/>
          <w:b/>
          <w:bCs/>
          <w:i/>
          <w:iCs/>
          <w:sz w:val="24"/>
          <w:szCs w:val="24"/>
        </w:rPr>
        <w:t xml:space="preserve">2.5.2 Model-level protection</w:t>
      </w:r>
    </w:p>
    <w:p>
      <w:pPr>
        <w:spacing w:after="120" w:line="360"/>
        <w:jc w:val="both"/>
      </w:pPr>
      <w:r>
        <w:rPr>
          <w:rFonts w:ascii="Times New Roman" w:cs="Times New Roman" w:eastAsia="Times New Roman" w:hAnsi="Times New Roman"/>
          <w:sz w:val="24"/>
          <w:szCs w:val="24"/>
        </w:rPr>
        <w:t xml:space="preserve">Model-level defenses change the model itself. StruQ separates the prompt and the data into two channels and trains the model, through structured instruction tuning, to follow instructions only in the prompt channel (S. Chen et al., 2025). Unlike input filtering, this approach addresses the root cause identified by Greshake et al. (2023): models do not reliably distinguish instructions from data. It requires training and access to the model, however. This is a significant constraint for a financial institution that deploys a third-party model and can only mediate its inputs and outputs. For such a deployer, model-level defenses are complementary to, not a substitute for, protection placed around the agent.</w:t>
      </w:r>
    </w:p>
    <w:p>
      <w:pPr>
        <w:pStyle w:val="Heading2"/>
        <w:keepNext/>
        <w:spacing w:after="120" w:before="240"/>
      </w:pPr>
      <w:r>
        <w:rPr>
          <w:rFonts w:ascii="Times New Roman" w:cs="Times New Roman" w:eastAsia="Times New Roman" w:hAnsi="Times New Roman"/>
          <w:b/>
          <w:bCs/>
          <w:i/>
          <w:iCs/>
          <w:sz w:val="24"/>
          <w:szCs w:val="24"/>
        </w:rPr>
        <w:t xml:space="preserve">2.5.3 Policy enforcement and tool restriction</w:t>
      </w:r>
    </w:p>
    <w:p>
      <w:pPr>
        <w:spacing w:after="120" w:line="360"/>
        <w:jc w:val="both"/>
      </w:pPr>
      <w:r>
        <w:rPr>
          <w:rFonts w:ascii="Times New Roman" w:cs="Times New Roman" w:eastAsia="Times New Roman" w:hAnsi="Times New Roman"/>
          <w:sz w:val="24"/>
          <w:szCs w:val="24"/>
        </w:rPr>
        <w:t xml:space="preserve">A second family enforces explicit constraints on tool use, with deterministic semantics. The approach inherits from the classical security literature on execution monitoring. Schneider (2000) characterized the class of security policies that can be enforced by a monitor observing a system's execution and halting it before a violation. That class consists of safety properties, which a monitor can check using only the execution observed so far. Agent policy enforcers are contemporary instances of this idea, adapted to tools and natural-language tasks.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Progent</w:t>
      </w:r>
      <w:r>
        <w:rPr>
          <w:rFonts w:ascii="Times New Roman" w:cs="Times New Roman" w:eastAsia="Times New Roman" w:hAnsi="Times New Roman"/>
          <w:sz w:val="24"/>
          <w:szCs w:val="24"/>
        </w:rPr>
        <w:t xml:space="preserve"> represents privilege as symbolic rules over tool names and arguments, expressed in a domain-specific language. Policy updates are checked with a satisfiability-modulo-theories solver: narrowings of privilege are applied automatically, while expansions require explicit approval. This yields monotonic confinement. Its authors reported reducing attack success from 39.9% to 1.0% on AgentDojo and from 70.3% to 3.9% on ASB while maintaining functionality (Shi et al.,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AgentSpec</w:t>
      </w:r>
      <w:r>
        <w:rPr>
          <w:rFonts w:ascii="Times New Roman" w:cs="Times New Roman" w:eastAsia="Times New Roman" w:hAnsi="Times New Roman"/>
          <w:sz w:val="24"/>
          <w:szCs w:val="24"/>
        </w:rPr>
        <w:t xml:space="preserve"> provides a lightweight language of triggers, predicates and enforcement actions. Its authors reported preventing unsafe executions in over 90% of code-agent cases, eliminating all hazardous actions in their embodied-agent tasks, and enforcing full compliance for autonomous vehicles, with overheads in milliseconds (H. Wang et al., 2026).</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Conseca</w:t>
      </w:r>
      <w:r>
        <w:rPr>
          <w:rFonts w:ascii="Times New Roman" w:cs="Times New Roman" w:eastAsia="Times New Roman" w:hAnsi="Times New Roman"/>
          <w:sz w:val="24"/>
          <w:szCs w:val="24"/>
        </w:rPr>
        <w:t xml:space="preserve"> argues that policies should be generated just in time for the specific task context and then enforced deterministically (Tsai &amp; Bagdasarian,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CaMeL</w:t>
      </w:r>
      <w:r>
        <w:rPr>
          <w:rFonts w:ascii="Times New Roman" w:cs="Times New Roman" w:eastAsia="Times New Roman" w:hAnsi="Times New Roman"/>
          <w:sz w:val="24"/>
          <w:szCs w:val="24"/>
        </w:rPr>
        <w:t xml:space="preserve"> goes further and restructures the agent itself. It extracts control and data flow from the trusted user query, so that untrusted data retrieved during execution cannot alter the program flow, and it enforces capability-based policies at each tool call. Its authors reported that CaMeL solved 77% of AgentDojo tasks with provable security, compared with 84% for the undefended system (Debenedetti et al., 2025, arXiv v2; an earlier version reported 67%).</w:t>
      </w:r>
    </w:p>
    <w:p>
      <w:pPr>
        <w:spacing w:after="120" w:line="360"/>
        <w:jc w:val="both"/>
      </w:pPr>
      <w:r>
        <w:rPr>
          <w:rFonts w:ascii="Times New Roman" w:cs="Times New Roman" w:eastAsia="Times New Roman" w:hAnsi="Times New Roman"/>
          <w:sz w:val="24"/>
          <w:szCs w:val="24"/>
        </w:rPr>
        <w:t xml:space="preserve">This family is fast, auditable and, in CaMeL's case, provably secure for the attacks it addresses. Two recurring limitations matter for REM.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The question is binary.</w:t>
      </w:r>
      <w:r>
        <w:rPr>
          <w:rFonts w:ascii="Times New Roman" w:cs="Times New Roman" w:eastAsia="Times New Roman" w:hAnsi="Times New Roman"/>
          <w:sz w:val="24"/>
          <w:szCs w:val="24"/>
        </w:rPr>
        <w:t xml:space="preserve"> Each enforcer answers whether an action is permitted under a specified policy. None estimates how likely a </w:t>
      </w:r>
      <w:r>
        <w:rPr>
          <w:rFonts w:ascii="Times New Roman" w:cs="Times New Roman" w:eastAsia="Times New Roman" w:hAnsi="Times New Roman"/>
          <w:i/>
          <w:iCs/>
          <w:sz w:val="24"/>
          <w:szCs w:val="24"/>
        </w:rPr>
        <w:t xml:space="preserve">permitted</w:t>
      </w:r>
      <w:r>
        <w:rPr>
          <w:rFonts w:ascii="Times New Roman" w:cs="Times New Roman" w:eastAsia="Times New Roman" w:hAnsi="Times New Roman"/>
          <w:sz w:val="24"/>
          <w:szCs w:val="24"/>
        </w:rPr>
        <w:t xml:space="preserve"> action is to have been induced by an adversary, which is the residual risk that remains once a policy is correctly specified.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Integration can be invasive.</w:t>
      </w:r>
      <w:r>
        <w:rPr>
          <w:rFonts w:ascii="Times New Roman" w:cs="Times New Roman" w:eastAsia="Times New Roman" w:hAnsi="Times New Roman"/>
          <w:sz w:val="24"/>
          <w:szCs w:val="24"/>
        </w:rPr>
        <w:t xml:space="preserve"> CaMeL obtains its guarantee by changing how the agent executes. Progent's authors present their mechanism as integrating without altering agent internals, and AgentSpec integrates as a runtime layer. How invasive the integration is therefore differs substantially across the family.</w:t>
      </w:r>
    </w:p>
    <w:p>
      <w:pPr>
        <w:pStyle w:val="Heading2"/>
        <w:keepNext/>
        <w:spacing w:after="120" w:before="240"/>
      </w:pPr>
      <w:r>
        <w:rPr>
          <w:rFonts w:ascii="Times New Roman" w:cs="Times New Roman" w:eastAsia="Times New Roman" w:hAnsi="Times New Roman"/>
          <w:b/>
          <w:bCs/>
          <w:i/>
          <w:iCs/>
          <w:sz w:val="24"/>
          <w:szCs w:val="24"/>
        </w:rPr>
        <w:t xml:space="preserve">2.5.4 Learned and LLM-based guardrails</w:t>
      </w:r>
    </w:p>
    <w:p>
      <w:pPr>
        <w:spacing w:after="120" w:line="360"/>
        <w:jc w:val="both"/>
      </w:pPr>
      <w:r>
        <w:rPr>
          <w:rFonts w:ascii="Times New Roman" w:cs="Times New Roman" w:eastAsia="Times New Roman" w:hAnsi="Times New Roman"/>
          <w:sz w:val="24"/>
          <w:szCs w:val="24"/>
        </w:rPr>
        <w:t xml:space="preserve">A third family uses learned classifiers or LLMs to judge actions or trajectories.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GuardAgent</w:t>
      </w:r>
      <w:r>
        <w:rPr>
          <w:rFonts w:ascii="Times New Roman" w:cs="Times New Roman" w:eastAsia="Times New Roman" w:hAnsi="Times New Roman"/>
          <w:sz w:val="24"/>
          <w:szCs w:val="24"/>
        </w:rPr>
        <w:t xml:space="preserve"> analyzes safety requests, generates a task plan, and maps it into guardrail code that checks whether a target agent's actions satisfy those requests (Xiang et al.,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ShieldAgent</w:t>
      </w:r>
      <w:r>
        <w:rPr>
          <w:rFonts w:ascii="Times New Roman" w:cs="Times New Roman" w:eastAsia="Times New Roman" w:hAnsi="Times New Roman"/>
          <w:sz w:val="24"/>
          <w:szCs w:val="24"/>
        </w:rPr>
        <w:t xml:space="preserve"> extracts verifiable rules from policy documents, structures them into action-based probabilistic rule circuits, and verifies compliance of the protected agent's action trajectory (Z. Chen, Kang, &amp; Li,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AGrail</w:t>
      </w:r>
      <w:r>
        <w:rPr>
          <w:rFonts w:ascii="Times New Roman" w:cs="Times New Roman" w:eastAsia="Times New Roman" w:hAnsi="Times New Roman"/>
          <w:sz w:val="24"/>
          <w:szCs w:val="24"/>
        </w:rPr>
        <w:t xml:space="preserve"> generates and optimizes adaptive safety checks and retains them in a lifelong memory across tasks (Luo et al.,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TrustAgent</w:t>
      </w:r>
      <w:r>
        <w:rPr>
          <w:rFonts w:ascii="Times New Roman" w:cs="Times New Roman" w:eastAsia="Times New Roman" w:hAnsi="Times New Roman"/>
          <w:sz w:val="24"/>
          <w:szCs w:val="24"/>
        </w:rPr>
        <w:t xml:space="preserve"> applies an agent "constitution" with safety strategies before, during and after planning (Hua et al., 2024).</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Thought-Aligner</w:t>
      </w:r>
      <w:r>
        <w:rPr>
          <w:rFonts w:ascii="Times New Roman" w:cs="Times New Roman" w:eastAsia="Times New Roman" w:hAnsi="Times New Roman"/>
          <w:sz w:val="24"/>
          <w:szCs w:val="24"/>
        </w:rPr>
        <w:t xml:space="preserve"> corrects unsafe intermediate thoughts before they become actions. Its authors reported raising behavioral safety from about 50% to about 90% on average across benchmarks and six LLMs, with low per-step latency (Jiang et al., 2025, accepted to ICML 2026).</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LlamaFirewall</w:t>
      </w:r>
      <w:r>
        <w:rPr>
          <w:rFonts w:ascii="Times New Roman" w:cs="Times New Roman" w:eastAsia="Times New Roman" w:hAnsi="Times New Roman"/>
          <w:sz w:val="24"/>
          <w:szCs w:val="24"/>
        </w:rPr>
        <w:t xml:space="preserve"> combines its input classifier with </w:t>
      </w:r>
      <w:r>
        <w:rPr>
          <w:rFonts w:ascii="Times New Roman" w:cs="Times New Roman" w:eastAsia="Times New Roman" w:hAnsi="Times New Roman"/>
          <w:i/>
          <w:iCs/>
          <w:sz w:val="24"/>
          <w:szCs w:val="24"/>
        </w:rPr>
        <w:t xml:space="preserve">AlignmentCheck</w:t>
      </w:r>
      <w:r>
        <w:rPr>
          <w:rFonts w:ascii="Times New Roman" w:cs="Times New Roman" w:eastAsia="Times New Roman" w:hAnsi="Times New Roman"/>
          <w:sz w:val="24"/>
          <w:szCs w:val="24"/>
        </w:rPr>
        <w:t xml:space="preserve">, a chain-of-thought auditor that compares an agent's proposed actions with the user's objective to detect goal hijacking, and with </w:t>
      </w:r>
      <w:r>
        <w:rPr>
          <w:rFonts w:ascii="Times New Roman" w:cs="Times New Roman" w:eastAsia="Times New Roman" w:hAnsi="Times New Roman"/>
          <w:i/>
          <w:iCs/>
          <w:sz w:val="24"/>
          <w:szCs w:val="24"/>
        </w:rPr>
        <w:t xml:space="preserve">CodeShield</w:t>
      </w:r>
      <w:r>
        <w:rPr>
          <w:rFonts w:ascii="Times New Roman" w:cs="Times New Roman" w:eastAsia="Times New Roman" w:hAnsi="Times New Roman"/>
          <w:sz w:val="24"/>
          <w:szCs w:val="24"/>
        </w:rPr>
        <w:t xml:space="preserve">, a static analyzer for generated code (Chennabasappa et al., 2025).</w:t>
      </w:r>
    </w:p>
    <w:p>
      <w:pPr>
        <w:spacing w:after="120" w:line="360"/>
        <w:jc w:val="both"/>
      </w:pPr>
      <w:r>
        <w:rPr>
          <w:rFonts w:ascii="Times New Roman" w:cs="Times New Roman" w:eastAsia="Times New Roman" w:hAnsi="Times New Roman"/>
          <w:sz w:val="24"/>
          <w:szCs w:val="24"/>
        </w:rPr>
        <w:t xml:space="preserve">Compared with deterministic enforcers, these systems cover a broader range of semantic violations without a hand-written policy for each case. Their shared limitations are also recurring. LLM-based judgment adds latency and can vary between runs. Reported accuracies are measured against known attack distributions, and the adaptive-attack evidence (Zhan et al., 2025) warns against reading them as robustness guarantees. Most importantly for REM, their outputs are verdicts or classifications. The reviewed papers do not report calibrated probabilities that could be combined with the consequence of an action in a cost-based decision.</w:t>
      </w:r>
    </w:p>
    <w:p>
      <w:pPr>
        <w:pStyle w:val="Heading2"/>
        <w:keepNext/>
        <w:spacing w:after="120" w:before="240"/>
      </w:pPr>
      <w:r>
        <w:rPr>
          <w:rFonts w:ascii="Times New Roman" w:cs="Times New Roman" w:eastAsia="Times New Roman" w:hAnsi="Times New Roman"/>
          <w:b/>
          <w:bCs/>
          <w:i/>
          <w:iCs/>
          <w:sz w:val="24"/>
          <w:szCs w:val="24"/>
        </w:rPr>
        <w:t xml:space="preserve">2.5.5 Goal–action consistency and provenance</w:t>
      </w:r>
    </w:p>
    <w:p>
      <w:pPr>
        <w:spacing w:after="120" w:line="360"/>
        <w:jc w:val="both"/>
      </w:pPr>
      <w:r>
        <w:rPr>
          <w:rFonts w:ascii="Times New Roman" w:cs="Times New Roman" w:eastAsia="Times New Roman" w:hAnsi="Times New Roman"/>
          <w:sz w:val="24"/>
          <w:szCs w:val="24"/>
        </w:rPr>
        <w:t xml:space="preserve">A fourth family, the most directly relevant to indirect injection, asks whether a proposed action is </w:t>
      </w:r>
      <w:r>
        <w:rPr>
          <w:rFonts w:ascii="Times New Roman" w:cs="Times New Roman" w:eastAsia="Times New Roman" w:hAnsi="Times New Roman"/>
          <w:i/>
          <w:iCs/>
          <w:sz w:val="24"/>
          <w:szCs w:val="24"/>
        </w:rPr>
        <w:t xml:space="preserve">justified</w:t>
      </w:r>
      <w:r>
        <w:rPr>
          <w:rFonts w:ascii="Times New Roman" w:cs="Times New Roman" w:eastAsia="Times New Roman" w:hAnsi="Times New Roman"/>
          <w:sz w:val="24"/>
          <w:szCs w:val="24"/>
        </w:rPr>
        <w:t xml:space="preserve"> by the user's task rather than whether it is harmful in itself.</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Task Shield</w:t>
      </w:r>
      <w:r>
        <w:rPr>
          <w:rFonts w:ascii="Times New Roman" w:cs="Times New Roman" w:eastAsia="Times New Roman" w:hAnsi="Times New Roman"/>
          <w:sz w:val="24"/>
          <w:szCs w:val="24"/>
        </w:rPr>
        <w:t xml:space="preserve"> verifies whether each instruction and tool call contributes to user-specified goals. On AgentDojo it reduced attack success to 2.07% while maintaining 69.79% task utility with GPT-4o (F. Jia et al.,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MELON</w:t>
      </w:r>
      <w:r>
        <w:rPr>
          <w:rFonts w:ascii="Times New Roman" w:cs="Times New Roman" w:eastAsia="Times New Roman" w:hAnsi="Times New Roman"/>
          <w:sz w:val="24"/>
          <w:szCs w:val="24"/>
        </w:rPr>
        <w:t xml:space="preserve"> re-executes the agent's trajectory with the user's prompt masked and compares the resulting actions with the original ones. The rationale is that, under a successful injection, the next action depends more on the injected task than on the user's task (Zhu et al., 2025).</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ProvenanceGuard</w:t>
      </w:r>
      <w:r>
        <w:rPr>
          <w:rFonts w:ascii="Times New Roman" w:cs="Times New Roman" w:eastAsia="Times New Roman" w:hAnsi="Times New Roman"/>
          <w:sz w:val="24"/>
          <w:szCs w:val="24"/>
        </w:rPr>
        <w:t xml:space="preserve"> formalizes misalignment detection as whether a proposed tool call is supported by traceable evidence in the agent's context. Relative to an LLM-as-judge baseline, it reduced the average error rate on misaligned traces from 44.3% to 2.1% on Agent-SafetyBench and from 32.4% to 18.7% on WorkBench. This came at a modest cost: the intervention rate on aligned traces was 14.5%, compared with 10.9% for the baseline (She et al., 2026).</w:t>
      </w:r>
    </w:p>
    <w:p>
      <w:pPr>
        <w:spacing w:after="120" w:line="360"/>
        <w:jc w:val="both"/>
      </w:pPr>
      <w:r>
        <w:rPr>
          <w:rFonts w:ascii="Times New Roman" w:cs="Times New Roman" w:eastAsia="Times New Roman" w:hAnsi="Times New Roman"/>
          <w:sz w:val="24"/>
          <w:szCs w:val="24"/>
        </w:rPr>
        <w:t xml:space="preserve">These approaches share an insight: under indirect injection, the useful evidence concerns the </w:t>
      </w:r>
      <w:r>
        <w:rPr>
          <w:rFonts w:ascii="Times New Roman" w:cs="Times New Roman" w:eastAsia="Times New Roman" w:hAnsi="Times New Roman"/>
          <w:i/>
          <w:iCs/>
          <w:sz w:val="24"/>
          <w:szCs w:val="24"/>
        </w:rPr>
        <w:t xml:space="preserve">relation</w:t>
      </w:r>
      <w:r>
        <w:rPr>
          <w:rFonts w:ascii="Times New Roman" w:cs="Times New Roman" w:eastAsia="Times New Roman" w:hAnsi="Times New Roman"/>
          <w:sz w:val="24"/>
          <w:szCs w:val="24"/>
        </w:rPr>
        <w:t xml:space="preserve"> between an action and its sources, not the action alone. They also differ in cost. MELON requires an additional execution. Task Shield and ProvenanceGuard require LLM reasoning over the context. ProvenanceGuard's own results show a small trade-off between detecting misaligned actions and intervening unnecessarily on aligned ones.</w:t>
      </w: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Organized by intervention point, the defense literature shows a clear progression.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Input-level detection is cheap but cannot see the observation channel.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Model-level protection addresses the root cause but requires model access.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Policy enforcement is deterministic but binary and dependent on the policy.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Learned guardrails are broad but produce uncalibrated verdicts.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Provenance and goal-consistency methods target the relational character of injected actions, a property of particular relevance to indirect injection.</w:t>
      </w:r>
    </w:p>
    <w:p>
      <w:pPr>
        <w:spacing w:after="120" w:line="360"/>
        <w:jc w:val="both"/>
      </w:pPr>
      <w:r>
        <w:rPr>
          <w:rFonts w:ascii="Times New Roman" w:cs="Times New Roman" w:eastAsia="Times New Roman" w:hAnsi="Times New Roman"/>
          <w:sz w:val="24"/>
          <w:szCs w:val="24"/>
        </w:rPr>
        <w:t xml:space="preserve">Organized by what they observe, most defenses evaluate either an isolated request or an individual action. Fewer reason over the trajectory, and fewer still combine an estimate of adversarial induction with the </w:t>
      </w:r>
      <w:r>
        <w:rPr>
          <w:rFonts w:ascii="Times New Roman" w:cs="Times New Roman" w:eastAsia="Times New Roman" w:hAnsi="Times New Roman"/>
          <w:i/>
          <w:iCs/>
          <w:sz w:val="24"/>
          <w:szCs w:val="24"/>
        </w:rPr>
        <w:t xml:space="preserve">consequence</w:t>
      </w:r>
      <w:r>
        <w:rPr>
          <w:rFonts w:ascii="Times New Roman" w:cs="Times New Roman" w:eastAsia="Times New Roman" w:hAnsi="Times New Roman"/>
          <w:sz w:val="24"/>
          <w:szCs w:val="24"/>
        </w:rPr>
        <w:t xml:space="preserve"> of the action. These last two dimensions are examined in Sections 2.6 and 2.8.</w:t>
      </w:r>
    </w:p>
    <w:p>
      <w:pPr>
        <w:pStyle w:val="Heading1"/>
        <w:keepNext/>
        <w:spacing w:after="120" w:before="360"/>
      </w:pPr>
      <w:r>
        <w:rPr>
          <w:rFonts w:ascii="Times New Roman" w:cs="Times New Roman" w:eastAsia="Times New Roman" w:hAnsi="Times New Roman"/>
          <w:b/>
          <w:bCs/>
          <w:i w:val="false"/>
          <w:iCs w:val="false"/>
          <w:sz w:val="28"/>
          <w:szCs w:val="28"/>
        </w:rPr>
        <w:t xml:space="preserve">2.6 Runtime Monitoring and Behavioral Analysis</w:t>
      </w:r>
    </w:p>
    <w:p>
      <w:pPr>
        <w:spacing w:after="120" w:line="360"/>
        <w:jc w:val="both"/>
      </w:pPr>
      <w:r>
        <w:rPr>
          <w:rFonts w:ascii="Times New Roman" w:cs="Times New Roman" w:eastAsia="Times New Roman" w:hAnsi="Times New Roman"/>
          <w:sz w:val="24"/>
          <w:szCs w:val="24"/>
        </w:rPr>
        <w:t xml:space="preserve">This section concerns the evidence a runtime layer can extract from the agent's behavior, as distinct from the text it receives. That evidence is the domain of REM's Behavioral Analysis Layer. Three questions structure the section: at what granularity behavior is monitored; what the established anomaly-detection literature contributes; and what is currently known about the empirical value of trajectory-level evidence.</w:t>
      </w:r>
    </w:p>
    <w:p>
      <w:pPr>
        <w:pStyle w:val="Heading2"/>
        <w:keepNext/>
        <w:spacing w:after="120" w:before="240"/>
      </w:pPr>
      <w:r>
        <w:rPr>
          <w:rFonts w:ascii="Times New Roman" w:cs="Times New Roman" w:eastAsia="Times New Roman" w:hAnsi="Times New Roman"/>
          <w:b/>
          <w:bCs/>
          <w:i/>
          <w:iCs/>
          <w:sz w:val="24"/>
          <w:szCs w:val="24"/>
        </w:rPr>
        <w:t xml:space="preserve">2.6.1 Step-level and sequence-level monitoring</w:t>
      </w:r>
    </w:p>
    <w:p>
      <w:pPr>
        <w:spacing w:after="120" w:line="360"/>
        <w:jc w:val="both"/>
      </w:pPr>
      <w:r>
        <w:rPr>
          <w:rFonts w:ascii="Times New Roman" w:cs="Times New Roman" w:eastAsia="Times New Roman" w:hAnsi="Times New Roman"/>
          <w:sz w:val="24"/>
          <w:szCs w:val="24"/>
        </w:rPr>
        <w:t xml:space="preserve">Runtime monitors differ in the temporal scope of their judgment.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Step-level monitors</w:t>
      </w:r>
      <w:r>
        <w:rPr>
          <w:rFonts w:ascii="Times New Roman" w:cs="Times New Roman" w:eastAsia="Times New Roman" w:hAnsi="Times New Roman"/>
          <w:sz w:val="24"/>
          <w:szCs w:val="24"/>
        </w:rPr>
        <w:t xml:space="preserve"> evaluate each proposed action given the current context. Examples are AgentSpec's rules, Progent's policies, Task Shield's alignment check and ProvenanceGuard's evidence check. They are interpretable and fast, and they intervene at the action boundary.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Sequence-level monitors</w:t>
      </w:r>
      <w:r>
        <w:rPr>
          <w:rFonts w:ascii="Times New Roman" w:cs="Times New Roman" w:eastAsia="Times New Roman" w:hAnsi="Times New Roman"/>
          <w:sz w:val="24"/>
          <w:szCs w:val="24"/>
        </w:rPr>
        <w:t xml:space="preserve"> evaluate the action in the light of a model of the trajectory. MI9 enforces temporal behavioral patterns through finite-state-machine conformance engines and detects goal-conditioned deviations (C. L. Wang et al., 2025). ProbGuard abstracts agent executions into symbolic states, learns a discrete-time Markov chain from execution traces, and intervenes when the estimated probability of remaining safe falls below a user-defined threshold. Its authors reported PAC-style guarantees on the learned model under standard assumptions (H. Wang et al., 2025). DreamGuard maintains a recurrent latent state over the interaction history, predicts the successor state for each proposed action, and fuses an immediate-hazard score and a prefix-risk score into PASS, HOLD or BLOCK decisions, at an average of about 25 ms per call (Lin et al., 2026).</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Accumulating monitors</w:t>
      </w:r>
      <w:r>
        <w:rPr>
          <w:rFonts w:ascii="Times New Roman" w:cs="Times New Roman" w:eastAsia="Times New Roman" w:hAnsi="Times New Roman"/>
          <w:sz w:val="24"/>
          <w:szCs w:val="24"/>
        </w:rPr>
        <w:t xml:space="preserve"> sit between the two. PRISM accumulates risk over a conversation or session with time-to-live decay (F. Li, 2026). AgentTrust's session tracker applies seven order-aware detectors for multi-step attack chains (C. Yang, 2026).</w:t>
      </w:r>
    </w:p>
    <w:p>
      <w:pPr>
        <w:spacing w:after="120" w:line="360"/>
        <w:jc w:val="both"/>
      </w:pPr>
      <w:r>
        <w:rPr>
          <w:rFonts w:ascii="Times New Roman" w:cs="Times New Roman" w:eastAsia="Times New Roman" w:hAnsi="Times New Roman"/>
          <w:sz w:val="24"/>
          <w:szCs w:val="24"/>
        </w:rPr>
        <w:t xml:space="preserve">The distinction is not merely technical. A step-level monitor cannot, by construction, detect an attack whose individual steps are each acceptable. A sequence-level monitor can, but it requires either a model of normal trajectories, learned from traces as in ProbGuard and DreamGuard, or a specification of acceptable ones, as in MI9's conformance engines. Such a model must itself be trustworthy and representative.</w:t>
      </w:r>
    </w:p>
    <w:p>
      <w:pPr>
        <w:pStyle w:val="Heading2"/>
        <w:keepNext/>
        <w:spacing w:after="120" w:before="240"/>
      </w:pPr>
      <w:r>
        <w:rPr>
          <w:rFonts w:ascii="Times New Roman" w:cs="Times New Roman" w:eastAsia="Times New Roman" w:hAnsi="Times New Roman"/>
          <w:b/>
          <w:bCs/>
          <w:i/>
          <w:iCs/>
          <w:sz w:val="24"/>
          <w:szCs w:val="24"/>
        </w:rPr>
        <w:t xml:space="preserve">2.6.2 Provenance and goal–action consistency as behavioral evidence</w:t>
      </w:r>
    </w:p>
    <w:p>
      <w:pPr>
        <w:spacing w:after="120" w:line="360"/>
        <w:jc w:val="both"/>
      </w:pPr>
      <w:r>
        <w:rPr>
          <w:rFonts w:ascii="Times New Roman" w:cs="Times New Roman" w:eastAsia="Times New Roman" w:hAnsi="Times New Roman"/>
          <w:sz w:val="24"/>
          <w:szCs w:val="24"/>
        </w:rPr>
        <w:t xml:space="preserve">A second line of evidence concerns where an action's content comes from rather than how it fits a sequence. ProvenanceGuard's formulation (She et al., 2026) is especially relevant to financial agents. In an indirect injection against a banking agent, the attacker typically supplies the decisive argument values, such as a recipient account identifier, an amount or a new payee, inside untrusted content. Whether an argument can be traced to the user's request or to trusted state, rather than to a tool output under attacker influence, is therefore strong evidence about adversarial induction. Task Shield (F. Jia et al., 2025) and MELON (Zhu et al., 2025) approach the same question from the side of the task: does the action serve the user's goal, and would it be proposed without the user's instruction? LlamaFirewall's AlignmentCheck (Chennabasappa et al., 2025) and FinHarness's tool monitor (H. Jia et al., 2026) perform related goal–action checks with LLM judges.</w:t>
      </w:r>
    </w:p>
    <w:p>
      <w:pPr>
        <w:spacing w:after="120" w:line="360"/>
        <w:jc w:val="both"/>
      </w:pPr>
      <w:r>
        <w:rPr>
          <w:rFonts w:ascii="Times New Roman" w:cs="Times New Roman" w:eastAsia="Times New Roman" w:hAnsi="Times New Roman"/>
          <w:sz w:val="24"/>
          <w:szCs w:val="24"/>
        </w:rPr>
        <w:t xml:space="preserve">Collectively, the results reported for ProvenanceGuard and Task Shield on their own benchmarks suggest that provenance and goal consistency are informative signals at the action boundary under indirect injection, although no reviewed study compares them directly on a common financial workload. They also show that the signals can be computed in different ways, by LLM reasoning, by re-execution, or by evidence tracing, with different costs.</w:t>
      </w:r>
    </w:p>
    <w:p>
      <w:pPr>
        <w:pStyle w:val="Heading2"/>
        <w:keepNext/>
        <w:spacing w:after="120" w:before="240"/>
      </w:pPr>
      <w:r>
        <w:rPr>
          <w:rFonts w:ascii="Times New Roman" w:cs="Times New Roman" w:eastAsia="Times New Roman" w:hAnsi="Times New Roman"/>
          <w:b/>
          <w:bCs/>
          <w:i/>
          <w:iCs/>
          <w:sz w:val="24"/>
          <w:szCs w:val="24"/>
        </w:rPr>
        <w:t xml:space="preserve">2.6.3 Foundations: anomaly detection over behavior and sequences</w:t>
      </w:r>
    </w:p>
    <w:p>
      <w:pPr>
        <w:spacing w:after="120" w:line="360"/>
        <w:jc w:val="both"/>
      </w:pPr>
      <w:r>
        <w:rPr>
          <w:rFonts w:ascii="Times New Roman" w:cs="Times New Roman" w:eastAsia="Times New Roman" w:hAnsi="Times New Roman"/>
          <w:sz w:val="24"/>
          <w:szCs w:val="24"/>
        </w:rPr>
        <w:t xml:space="preserve">The idea of detecting compromise from behavior predates LLM agents by decades. Forrest et al. (1996) proposed a "sense of self" for Unix processes. They built a profile of normal behavior from short sequences of system calls and flagged sequences absent from the profile as potential intrusions. This original formulation of behavioral anomaly detection over action sequences is the closest classical analogue to monitoring an agent's tool-call sequence.</w:t>
      </w:r>
    </w:p>
    <w:p>
      <w:pPr>
        <w:spacing w:after="120" w:line="360"/>
        <w:jc w:val="both"/>
      </w:pPr>
      <w:r>
        <w:rPr>
          <w:rFonts w:ascii="Times New Roman" w:cs="Times New Roman" w:eastAsia="Times New Roman" w:hAnsi="Times New Roman"/>
          <w:sz w:val="24"/>
          <w:szCs w:val="24"/>
        </w:rPr>
        <w:t xml:space="preserve">Chandola et al. (2009) systematized anomaly detection and distinguished three kinds of anomaly:</w:t>
      </w:r>
    </w:p>
    <w:p>
      <w:pPr>
        <w:pStyle w:val="ListParagraph"/>
        <w:numPr>
          <w:ilvl w:val="0"/>
          <w:numId w:val="3"/>
        </w:numPr>
        <w:spacing w:after="80" w:line="360"/>
        <w:jc w:val="both"/>
      </w:pPr>
      <w:r>
        <w:rPr>
          <w:rFonts w:ascii="Times New Roman" w:cs="Times New Roman" w:eastAsia="Times New Roman" w:hAnsi="Times New Roman"/>
          <w:i/>
          <w:iCs/>
          <w:sz w:val="24"/>
          <w:szCs w:val="24"/>
        </w:rPr>
        <w:t xml:space="preserve">point</w:t>
      </w:r>
      <w:r>
        <w:rPr>
          <w:rFonts w:ascii="Times New Roman" w:cs="Times New Roman" w:eastAsia="Times New Roman" w:hAnsi="Times New Roman"/>
          <w:sz w:val="24"/>
          <w:szCs w:val="24"/>
        </w:rPr>
        <w:t xml:space="preserve"> anomalies, where a single instance deviates;</w:t>
      </w:r>
    </w:p>
    <w:p>
      <w:pPr>
        <w:pStyle w:val="ListParagraph"/>
        <w:numPr>
          <w:ilvl w:val="0"/>
          <w:numId w:val="3"/>
        </w:numPr>
        <w:spacing w:after="80" w:line="360"/>
        <w:jc w:val="both"/>
      </w:pPr>
      <w:r>
        <w:rPr>
          <w:rFonts w:ascii="Times New Roman" w:cs="Times New Roman" w:eastAsia="Times New Roman" w:hAnsi="Times New Roman"/>
          <w:i/>
          <w:iCs/>
          <w:sz w:val="24"/>
          <w:szCs w:val="24"/>
        </w:rPr>
        <w:t xml:space="preserve">contextual</w:t>
      </w:r>
      <w:r>
        <w:rPr>
          <w:rFonts w:ascii="Times New Roman" w:cs="Times New Roman" w:eastAsia="Times New Roman" w:hAnsi="Times New Roman"/>
          <w:sz w:val="24"/>
          <w:szCs w:val="24"/>
        </w:rPr>
        <w:t xml:space="preserve"> anomalies, where an instance is anomalous only in a given context;</w:t>
      </w:r>
    </w:p>
    <w:p>
      <w:pPr>
        <w:pStyle w:val="ListParagraph"/>
        <w:numPr>
          <w:ilvl w:val="0"/>
          <w:numId w:val="3"/>
        </w:numPr>
        <w:spacing w:after="80" w:line="360"/>
        <w:jc w:val="both"/>
      </w:pPr>
      <w:r>
        <w:rPr>
          <w:rFonts w:ascii="Times New Roman" w:cs="Times New Roman" w:eastAsia="Times New Roman" w:hAnsi="Times New Roman"/>
          <w:i/>
          <w:iCs/>
          <w:sz w:val="24"/>
          <w:szCs w:val="24"/>
        </w:rPr>
        <w:t xml:space="preserve">collective</w:t>
      </w:r>
      <w:r>
        <w:rPr>
          <w:rFonts w:ascii="Times New Roman" w:cs="Times New Roman" w:eastAsia="Times New Roman" w:hAnsi="Times New Roman"/>
          <w:sz w:val="24"/>
          <w:szCs w:val="24"/>
        </w:rPr>
        <w:t xml:space="preserve"> anomalies, where a set of related instances is anomalous although no individual instance is.</w:t>
      </w:r>
    </w:p>
    <w:p>
      <w:pPr>
        <w:spacing w:after="120" w:line="360"/>
        <w:jc w:val="both"/>
      </w:pPr>
      <w:r>
        <w:rPr>
          <w:rFonts w:ascii="Times New Roman" w:cs="Times New Roman" w:eastAsia="Times New Roman" w:hAnsi="Times New Roman"/>
          <w:sz w:val="24"/>
          <w:szCs w:val="24"/>
        </w:rPr>
        <w:t xml:space="preserve">Their later survey of anomaly detection for discrete sequences distinguishes further problem formulations: detecting anomalous whole sequences, anomalous subsequences within a long sequence, and sequences whose pattern frequency is anomalous (Chandola et al., 2012). In this vocabulary: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single out-of-policy tool call is a point anomaly;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transfer that is normal in general but anomalous given its provenance is a contextual anomaly;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goal drift and multi-step injection chains are collective anomalies.</w:t>
      </w:r>
    </w:p>
    <w:p>
      <w:pPr>
        <w:spacing w:after="120" w:line="360"/>
        <w:jc w:val="both"/>
      </w:pPr>
      <w:r>
        <w:rPr>
          <w:rFonts w:ascii="Times New Roman" w:cs="Times New Roman" w:eastAsia="Times New Roman" w:hAnsi="Times New Roman"/>
          <w:sz w:val="24"/>
          <w:szCs w:val="24"/>
        </w:rPr>
        <w:t xml:space="preserve">The classification clarifies why step-level monitors address the first two classes but not the third.</w:t>
      </w:r>
    </w:p>
    <w:p>
      <w:pPr>
        <w:spacing w:after="120" w:line="360"/>
        <w:jc w:val="both"/>
      </w:pPr>
      <w:r>
        <w:rPr>
          <w:rFonts w:ascii="Times New Roman" w:cs="Times New Roman" w:eastAsia="Times New Roman" w:hAnsi="Times New Roman"/>
          <w:sz w:val="24"/>
          <w:szCs w:val="24"/>
        </w:rPr>
        <w:t xml:space="preserve">The same literature carries cautions that transfer directly. Sommer and Paxson (2010) argued that finding attacks differs fundamentally from the tasks in which machine learning usually succeeds. They pointed to the high cost of errors, the diversity of normal behavior, a semantic gap between a statistical deviation and an actionable security judgment, and the difficulty of sound evaluation. Arp et al. (2022) later catalogued recurring pitfalls, including sampling bias, data snooping, inappropriate baselines, base-rate neglect and lab-only evaluation. For an agent-monitoring layer, these cautions have three concrete implications: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representative </w:t>
      </w:r>
      <w:r>
        <w:rPr>
          <w:rFonts w:ascii="Times New Roman" w:cs="Times New Roman" w:eastAsia="Times New Roman" w:hAnsi="Times New Roman"/>
          <w:i/>
          <w:iCs/>
          <w:sz w:val="24"/>
          <w:szCs w:val="24"/>
        </w:rPr>
        <w:t xml:space="preserve">benign</w:t>
      </w:r>
      <w:r>
        <w:rPr>
          <w:rFonts w:ascii="Times New Roman" w:cs="Times New Roman" w:eastAsia="Times New Roman" w:hAnsi="Times New Roman"/>
          <w:sz w:val="24"/>
          <w:szCs w:val="24"/>
        </w:rPr>
        <w:t xml:space="preserve"> workload is needed to estimate false interventions;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deviations must be interpreted in terms of their security meaning, not only their statistical rarity;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models of "normal" agent behavior must be learned from data that resemble deployment.</w:t>
      </w:r>
    </w:p>
    <w:p>
      <w:pPr>
        <w:pStyle w:val="Heading2"/>
        <w:keepNext/>
        <w:spacing w:after="120" w:before="240"/>
      </w:pPr>
      <w:r>
        <w:rPr>
          <w:rFonts w:ascii="Times New Roman" w:cs="Times New Roman" w:eastAsia="Times New Roman" w:hAnsi="Times New Roman"/>
          <w:b/>
          <w:bCs/>
          <w:i/>
          <w:iCs/>
          <w:sz w:val="24"/>
          <w:szCs w:val="24"/>
        </w:rPr>
        <w:t xml:space="preserve">2.6.4 Sequential accumulation of behavioral evidence</w:t>
      </w:r>
    </w:p>
    <w:p>
      <w:pPr>
        <w:spacing w:after="120" w:line="360"/>
        <w:jc w:val="both"/>
      </w:pPr>
      <w:r>
        <w:rPr>
          <w:rFonts w:ascii="Times New Roman" w:cs="Times New Roman" w:eastAsia="Times New Roman" w:hAnsi="Times New Roman"/>
          <w:sz w:val="24"/>
          <w:szCs w:val="24"/>
        </w:rPr>
        <w:t xml:space="preserve">A distinct methodological question is how evidence observed at successive steps should be </w:t>
      </w:r>
      <w:r>
        <w:rPr>
          <w:rFonts w:ascii="Times New Roman" w:cs="Times New Roman" w:eastAsia="Times New Roman" w:hAnsi="Times New Roman"/>
          <w:i/>
          <w:iCs/>
          <w:sz w:val="24"/>
          <w:szCs w:val="24"/>
        </w:rPr>
        <w:t xml:space="preserve">accumulated</w:t>
      </w:r>
      <w:r>
        <w:rPr>
          <w:rFonts w:ascii="Times New Roman" w:cs="Times New Roman" w:eastAsia="Times New Roman" w:hAnsi="Times New Roman"/>
          <w:sz w:val="24"/>
          <w:szCs w:val="24"/>
        </w:rPr>
        <w:t xml:space="preserve">. Several agent systems accumulate evidence heuristically: PRISM through session-scoped risk with time-to-live decay (F. Li, 2026), and FinHarness through a cascade that integrates per-step risk and escalates verification when accumulated risk crosses a threshold (H. Jia et al., 2026). Classical sequential change detection provides a statistically grounded alternative for the same task. Its foundations are reviewed in Section 2.7.4, because they belong to the algorithmic basis of the thesis rather than to the agent-security literature.</w:t>
      </w:r>
    </w:p>
    <w:p>
      <w:pPr>
        <w:pStyle w:val="Heading2"/>
        <w:keepNext/>
        <w:spacing w:after="120" w:before="240"/>
      </w:pPr>
      <w:r>
        <w:rPr>
          <w:rFonts w:ascii="Times New Roman" w:cs="Times New Roman" w:eastAsia="Times New Roman" w:hAnsi="Times New Roman"/>
          <w:b/>
          <w:bCs/>
          <w:i/>
          <w:iCs/>
          <w:sz w:val="24"/>
          <w:szCs w:val="24"/>
        </w:rPr>
        <w:t xml:space="preserve">2.6.5 What is known about the empirical value of trajectory evidence</w:t>
      </w:r>
    </w:p>
    <w:p>
      <w:pPr>
        <w:spacing w:after="120" w:line="360"/>
        <w:jc w:val="both"/>
      </w:pPr>
      <w:r>
        <w:rPr>
          <w:rFonts w:ascii="Times New Roman" w:cs="Times New Roman" w:eastAsia="Times New Roman" w:hAnsi="Times New Roman"/>
          <w:sz w:val="24"/>
          <w:szCs w:val="24"/>
        </w:rPr>
        <w:t xml:space="preserve">The evidence that trajectory components improve protection </w:t>
      </w:r>
      <w:r>
        <w:rPr>
          <w:rFonts w:ascii="Times New Roman" w:cs="Times New Roman" w:eastAsia="Times New Roman" w:hAnsi="Times New Roman"/>
          <w:i/>
          <w:iCs/>
          <w:sz w:val="24"/>
          <w:szCs w:val="24"/>
        </w:rPr>
        <w:t xml:space="preserve">in practice</w:t>
      </w:r>
      <w:r>
        <w:rPr>
          <w:rFonts w:ascii="Times New Roman" w:cs="Times New Roman" w:eastAsia="Times New Roman" w:hAnsi="Times New Roman"/>
          <w:sz w:val="24"/>
          <w:szCs w:val="24"/>
        </w:rPr>
        <w:t xml:space="preserve"> is thinner than the number of trajectory-aware systems suggests. AgentTrust's ablation is a direct example. Its author reported that disabling the session tracker left verdict accuracy unchanged on both of the benchmarks used, attributing the remaining gap to four benchmark-compatibility rules (C. Yang, 2026). This suggests that single-action signals dominated the scenarios tested. MI9's evaluation used synthetic scenarios (C. L. Wang et al., 2025). ProbGuard's reported gains were obtained in autonomous-driving and embodied-agent settings rather than in tool-using financial agents (H. Wang et al., 2025). The benchmark audits in Section 2.4 add that the number of genuinely multi-step attack tasks in common benchmarks may be small (M. Q. Li et al., 2026; Y. Wang et al., 2026).</w:t>
      </w: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Trajectory-aware protection is an active and well-populated area. REM cannot claim trajectory monitoring, session accumulation or provenance analysis as new. Three observations nevertheless emerge.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Sequence evidence and provenance evidence are complementary.</w:t>
      </w:r>
      <w:r>
        <w:rPr>
          <w:rFonts w:ascii="Times New Roman" w:cs="Times New Roman" w:eastAsia="Times New Roman" w:hAnsi="Times New Roman"/>
          <w:sz w:val="24"/>
          <w:szCs w:val="24"/>
        </w:rPr>
        <w:t xml:space="preserve"> The first targets collective anomalies such as drift and multi-step chains. The second targets the contextual anomaly that is characteristic of indirect injection: a well-formed action whose decisive arguments come from untrusted content.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The classical anomaly-detection literature imposes discipline.</w:t>
      </w:r>
      <w:r>
        <w:rPr>
          <w:rFonts w:ascii="Times New Roman" w:cs="Times New Roman" w:eastAsia="Times New Roman" w:hAnsi="Times New Roman"/>
          <w:sz w:val="24"/>
          <w:szCs w:val="24"/>
        </w:rPr>
        <w:t xml:space="preserve"> It requires benign-workload evaluation, attention to base rates, and interpretation of deviations. Several agent studies apply this discipline unevenly.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The empirical value of trajectory components is uncertain.</w:t>
      </w:r>
      <w:r>
        <w:rPr>
          <w:rFonts w:ascii="Times New Roman" w:cs="Times New Roman" w:eastAsia="Times New Roman" w:hAnsi="Times New Roman"/>
          <w:sz w:val="24"/>
          <w:szCs w:val="24"/>
        </w:rPr>
        <w:t xml:space="preserve"> One ablation found no measurable effect. A thesis that includes behavioral analysis must therefore show that its evaluation contains the behavior the analysis is meant to detect, and must report the component's contribution rather than assume it.</w:t>
      </w:r>
    </w:p>
    <w:p>
      <w:pPr>
        <w:pStyle w:val="Heading1"/>
        <w:keepNext/>
        <w:spacing w:after="120" w:before="360"/>
      </w:pPr>
      <w:r>
        <w:rPr>
          <w:rFonts w:ascii="Times New Roman" w:cs="Times New Roman" w:eastAsia="Times New Roman" w:hAnsi="Times New Roman"/>
          <w:b/>
          <w:bCs/>
          <w:i w:val="false"/>
          <w:iCs w:val="false"/>
          <w:sz w:val="28"/>
          <w:szCs w:val="28"/>
        </w:rPr>
        <w:t xml:space="preserve">2.7 Statistical and Algorithmic Foundations Relevant to REM</w:t>
      </w:r>
    </w:p>
    <w:p>
      <w:pPr>
        <w:spacing w:after="120" w:line="360"/>
        <w:jc w:val="both"/>
      </w:pPr>
      <w:r>
        <w:rPr>
          <w:rFonts w:ascii="Times New Roman" w:cs="Times New Roman" w:eastAsia="Times New Roman" w:hAnsi="Times New Roman"/>
          <w:sz w:val="24"/>
          <w:szCs w:val="24"/>
        </w:rPr>
        <w:t xml:space="preserve">A runtime decision layer that assigns graduated responses must solve three methodological problems. It must turn evidence into an estimate of how likely an action is to be adversarially induced. It must make that estimate interpretable as a probability. And it must turn the probability, together with the consequence of the action, into a decision. A layer that observes several steps must additionally decide how to accumulate evidence over time. This section reviews the established methods for each problem that are used or considered in this thesis. For each method it states the problem addressed, the assumptions, the strengths and the limitations, citing the original sources. The methods are established. None is presented as a contribution of this thesis. Only equations needed to understand a reviewed method are reproduced, with notation kept consistent across the section: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a feature vector,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 score,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{0, 1} a binary label (1 = adversarially induced),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an estimated probability.</w:t>
      </w:r>
    </w:p>
    <w:p>
      <w:pPr>
        <w:pStyle w:val="Heading2"/>
        <w:keepNext/>
        <w:spacing w:after="120" w:before="240"/>
      </w:pPr>
      <w:r>
        <w:rPr>
          <w:rFonts w:ascii="Times New Roman" w:cs="Times New Roman" w:eastAsia="Times New Roman" w:hAnsi="Times New Roman"/>
          <w:b/>
          <w:bCs/>
          <w:i/>
          <w:iCs/>
          <w:sz w:val="24"/>
          <w:szCs w:val="24"/>
        </w:rPr>
        <w:t xml:space="preserve">2.7.1 Logistic regression as a probabilistic risk scorer</w:t>
      </w:r>
    </w:p>
    <w:p>
      <w:pPr>
        <w:spacing w:after="120" w:line="360"/>
        <w:jc w:val="both"/>
      </w:pPr>
      <w:r>
        <w:rPr>
          <w:rFonts w:ascii="Times New Roman" w:cs="Times New Roman" w:eastAsia="Times New Roman" w:hAnsi="Times New Roman"/>
          <w:sz w:val="24"/>
          <w:szCs w:val="24"/>
        </w:rPr>
        <w:t xml:space="preserve">Logistic regression models the probability of a binary outcome as a logistic function of a linear combination of explanatory variables. Its original statistical formulation for binary data is due to Cox (1958):</w:t>
      </w:r>
    </w:p>
    <w:p>
      <w:pPr>
        <w:tabs>
          <w:tab w:val="right" w:pos="9026"/>
        </w:tabs>
        <w:spacing w:after="160" w:before="120"/>
        <w:jc w:val="center"/>
      </w:pPr>
      <w:r>
        <w:rPr>
          <w:rFonts w:ascii="Cambria Math" w:cs="Cambria Math" w:eastAsia="Cambria Math" w:hAnsi="Cambria Math"/>
          <w:sz w:val="24"/>
          <w:szCs w:val="24"/>
        </w:rPr>
        <w:t xml:space="preserve">Pr(y = 1 | x) = 1 / (1 + exp(−(β₀ + βᵀx)))</w:t>
      </w:r>
      <w:r>
        <w:rPr>
          <w:rFonts w:ascii="Times New Roman" w:cs="Times New Roman" w:eastAsia="Times New Roman" w:hAnsi="Times New Roman"/>
          <w:sz w:val="24"/>
          <w:szCs w:val="24"/>
        </w:rPr>
        <w:t xml:space="preserve">	(2.1)</w:t>
      </w:r>
    </w:p>
    <w:p>
      <w:pPr>
        <w:spacing w:after="120" w:line="360"/>
        <w:jc w:val="both"/>
      </w:pPr>
      <w:r>
        <w:rPr>
          <w:rFonts w:ascii="Times New Roman" w:cs="Times New Roman" w:eastAsia="Times New Roman" w:hAnsi="Times New Roman"/>
          <w:sz w:val="24"/>
          <w:szCs w:val="24"/>
        </w:rPr>
        <w:t xml:space="preserve">The model's assumptions are that the log-odds are linear in the features and that observations are conditionally independent given the features. Its strengths for runtime security are practical. Evaluation costs one inner product. Coefficients are directly inspectable. Because the model is fitted by maximizing likelihood, its outputs are intended as probabilities rather than arbitrary scores. Its limitations are equally clear. It cannot represent interactions or nonlinear effects unless they are engineered into the features, and a model fitted on one distribution of attacks may be miscalibrated on another. When some indicators occur only in one class, as is likely when adversarial examples are scarce and features are binary, the unpenalized maximum-likelihood estimate can fail to be finite. Ridge estimators for logistic regression add a quadratic penalty on the coefficients to address this (le Cessie &amp; van Houwelingen, 1992). An established alternative estimator with the same linear form is naive Bayes, the generative counterpart of logistic regression. Ng and Jordan (2002) showed that, although logistic regression attains a lower asymptotic error, naive Bayes may approach its own (higher) asymptotic error with far fewer training examples. The literature therefore offers a principled alternative estimator for small-data regimes; it is noted here as an alternative and is not part of REM. The use of logistic regression for agent safety is not new. NEXUS combines deterministic rules and argument-level inspection with a calibrated logistic-regression risk score over structured plans whose tool calls carry irreversibility, sensitivity and cost annotations (Hossain et al., 2026).</w:t>
      </w:r>
    </w:p>
    <w:p>
      <w:pPr>
        <w:pStyle w:val="Heading2"/>
        <w:keepNext/>
        <w:spacing w:after="120" w:before="240"/>
      </w:pPr>
      <w:r>
        <w:rPr>
          <w:rFonts w:ascii="Times New Roman" w:cs="Times New Roman" w:eastAsia="Times New Roman" w:hAnsi="Times New Roman"/>
          <w:b/>
          <w:bCs/>
          <w:i/>
          <w:iCs/>
          <w:sz w:val="24"/>
          <w:szCs w:val="24"/>
        </w:rPr>
        <w:t xml:space="preserve">2.7.2 Probability calibration</w:t>
      </w:r>
    </w:p>
    <w:p>
      <w:pPr>
        <w:spacing w:after="120" w:line="360"/>
        <w:jc w:val="both"/>
      </w:pPr>
      <w:r>
        <w:rPr>
          <w:rFonts w:ascii="Times New Roman" w:cs="Times New Roman" w:eastAsia="Times New Roman" w:hAnsi="Times New Roman"/>
          <w:sz w:val="24"/>
          <w:szCs w:val="24"/>
        </w:rPr>
        <w:t xml:space="preserve">A classifier is </w:t>
      </w:r>
      <w:r>
        <w:rPr>
          <w:rFonts w:ascii="Times New Roman" w:cs="Times New Roman" w:eastAsia="Times New Roman" w:hAnsi="Times New Roman"/>
          <w:i/>
          <w:iCs/>
          <w:sz w:val="24"/>
          <w:szCs w:val="24"/>
        </w:rPr>
        <w:t xml:space="preserve">calibrated</w:t>
      </w:r>
      <w:r>
        <w:rPr>
          <w:rFonts w:ascii="Times New Roman" w:cs="Times New Roman" w:eastAsia="Times New Roman" w:hAnsi="Times New Roman"/>
          <w:sz w:val="24"/>
          <w:szCs w:val="24"/>
        </w:rPr>
        <w:t xml:space="preserve"> when its predicted probabilities agree with observed frequencies: among all cases assigned probability 0.8, about 80% should be positive. Calibration matters whenever a probability is multiplied by a cost, as in the decision rules of Section 2.7.5, because a miscalibrated probability distorts the comparison between actions.</w:t>
      </w:r>
    </w:p>
    <w:p>
      <w:pPr>
        <w:spacing w:after="120" w:line="360"/>
        <w:jc w:val="both"/>
      </w:pPr>
      <w:r>
        <w:rPr>
          <w:rFonts w:ascii="Times New Roman" w:cs="Times New Roman" w:eastAsia="Times New Roman" w:hAnsi="Times New Roman"/>
          <w:b/>
          <w:bCs/>
          <w:sz w:val="24"/>
          <w:szCs w:val="24"/>
        </w:rPr>
        <w:t xml:space="preserve">Post-hoc methods.</w:t>
      </w:r>
      <w:r>
        <w:rPr>
          <w:rFonts w:ascii="Times New Roman" w:cs="Times New Roman" w:eastAsia="Times New Roman" w:hAnsi="Times New Roman"/>
          <w:sz w:val="24"/>
          <w:szCs w:val="24"/>
        </w:rPr>
        <w:t xml:space="preserve"> Several methods learn a map from a model's score to a calibrated probability on held-out data.</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Platt scaling.</w:t>
      </w:r>
      <w:r>
        <w:rPr>
          <w:rFonts w:ascii="Times New Roman" w:cs="Times New Roman" w:eastAsia="Times New Roman" w:hAnsi="Times New Roman"/>
          <w:sz w:val="24"/>
          <w:szCs w:val="24"/>
        </w:rPr>
        <w:t xml:space="preserve"> Platt (1999) fitted a sigmoid to the outputs of a support vector machine:</w:t>
      </w:r>
    </w:p>
    <w:p>
      <w:pPr>
        <w:tabs>
          <w:tab w:val="right" w:pos="9026"/>
        </w:tabs>
        <w:spacing w:after="160" w:before="120"/>
        <w:jc w:val="center"/>
      </w:pPr>
      <w:r>
        <w:rPr>
          <w:rFonts w:ascii="Cambria Math" w:cs="Cambria Math" w:eastAsia="Cambria Math" w:hAnsi="Cambria Math"/>
          <w:sz w:val="24"/>
          <w:szCs w:val="24"/>
        </w:rPr>
        <w:t xml:space="preserve">p̂ = Pr(y = 1 | s) = 1 / (1 + exp(A·s + B))</w:t>
      </w:r>
      <w:r>
        <w:rPr>
          <w:rFonts w:ascii="Times New Roman" w:cs="Times New Roman" w:eastAsia="Times New Roman" w:hAnsi="Times New Roman"/>
          <w:sz w:val="24"/>
          <w:szCs w:val="24"/>
        </w:rPr>
        <w:t xml:space="preserve">	(2.2)</w:t>
      </w:r>
    </w:p>
    <w:p>
      <w:pPr>
        <w:spacing w:after="120" w:line="360"/>
        <w:ind w:left="720"/>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are fitted by maximum likelihood on a calibration set. The transformation is monotone, so it preserves the ranking of predictions.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Temperature scaling.</w:t>
      </w:r>
      <w:r>
        <w:rPr>
          <w:rFonts w:ascii="Times New Roman" w:cs="Times New Roman" w:eastAsia="Times New Roman" w:hAnsi="Times New Roman"/>
          <w:sz w:val="24"/>
          <w:szCs w:val="24"/>
        </w:rPr>
        <w:t xml:space="preserve"> Guo et al. (2017) found modern neural networks to be poorly calibrated and described temperature scaling as a single-parameter variant of Platt scaling that is effective on many datasets.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Isotonic regression.</w:t>
      </w:r>
      <w:r>
        <w:rPr>
          <w:rFonts w:ascii="Times New Roman" w:cs="Times New Roman" w:eastAsia="Times New Roman" w:hAnsi="Times New Roman"/>
          <w:sz w:val="24"/>
          <w:szCs w:val="24"/>
        </w:rPr>
        <w:t xml:space="preserve"> Zadrozny and Elkan (2002) introduced isotonic regression for classifier calibration, a nonparametric monotone mapping. Niculescu-Mizil and Caruana (2005) compared Platt scaling with isotonic regression across seven learning algorithms. They found that Platt scaling performed better when the calibration set was small, because the less constrained isotonic mapping overfits more easily, whereas isotonic regression performed as well or better once calibration data were plentiful.</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Beta calibration.</w:t>
      </w:r>
      <w:r>
        <w:rPr>
          <w:rFonts w:ascii="Times New Roman" w:cs="Times New Roman" w:eastAsia="Times New Roman" w:hAnsi="Times New Roman"/>
          <w:sz w:val="24"/>
          <w:szCs w:val="24"/>
        </w:rPr>
        <w:t xml:space="preserve"> Kull et al. (2017) observed that the logistic family applied to scores in the unit interval does not contain the identity function. Logistic calibration can therefore </w:t>
      </w:r>
      <w:r>
        <w:rPr>
          <w:rFonts w:ascii="Times New Roman" w:cs="Times New Roman" w:eastAsia="Times New Roman" w:hAnsi="Times New Roman"/>
          <w:i/>
          <w:iCs/>
          <w:sz w:val="24"/>
          <w:szCs w:val="24"/>
        </w:rPr>
        <w:t xml:space="preserve">uncalibrate</w:t>
      </w:r>
      <w:r>
        <w:rPr>
          <w:rFonts w:ascii="Times New Roman" w:cs="Times New Roman" w:eastAsia="Times New Roman" w:hAnsi="Times New Roman"/>
          <w:sz w:val="24"/>
          <w:szCs w:val="24"/>
        </w:rPr>
        <w:t xml:space="preserve"> an already calibrated classifier. They proposed beta calibration, a logistic model in the features ln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and ln(1 −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It follows from this functional form that, when the coefficients on ln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and ln(1 −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are equal in magnitude, beta calibration reduces to logistic calibration applied to the log-odds of the score. This matters whenever the model being calibrated is itself logistic, because its log-odds are its natural score.</w:t>
      </w:r>
    </w:p>
    <w:p>
      <w:pPr>
        <w:spacing w:after="120" w:line="360"/>
        <w:jc w:val="both"/>
      </w:pPr>
      <w:r>
        <w:rPr>
          <w:rFonts w:ascii="Times New Roman" w:cs="Times New Roman" w:eastAsia="Times New Roman" w:hAnsi="Times New Roman"/>
          <w:b/>
          <w:bCs/>
          <w:sz w:val="24"/>
          <w:szCs w:val="24"/>
        </w:rPr>
        <w:t xml:space="preserve">Measuring calibration.</w:t>
      </w:r>
      <w:r>
        <w:rPr>
          <w:rFonts w:ascii="Times New Roman" w:cs="Times New Roman" w:eastAsia="Times New Roman" w:hAnsi="Times New Roman"/>
          <w:sz w:val="24"/>
          <w:szCs w:val="24"/>
        </w:rPr>
        <w:t xml:space="preserve"> The </w:t>
      </w:r>
      <w:r>
        <w:rPr>
          <w:rFonts w:ascii="Times New Roman" w:cs="Times New Roman" w:eastAsia="Times New Roman" w:hAnsi="Times New Roman"/>
          <w:i/>
          <w:iCs/>
          <w:sz w:val="24"/>
          <w:szCs w:val="24"/>
        </w:rPr>
        <w:t xml:space="preserve">expected calibration error</w:t>
      </w:r>
      <w:r>
        <w:rPr>
          <w:rFonts w:ascii="Times New Roman" w:cs="Times New Roman" w:eastAsia="Times New Roman" w:hAnsi="Times New Roman"/>
          <w:sz w:val="24"/>
          <w:szCs w:val="24"/>
        </w:rPr>
        <w:t xml:space="preserve"> (ECE) was defined, together with the maximum calibration error, by Naeini et al. (2015). In the confidence-based form given by Guo et al. (2017), predictions are partitioned into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equal-width bins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*m*</w:t>
      </w:r>
      <w:r>
        <w:rPr>
          <w:rFonts w:ascii="Times New Roman" w:cs="Times New Roman" w:eastAsia="Times New Roman" w:hAnsi="Times New Roman"/>
          <w:sz w:val="24"/>
          <w:szCs w:val="24"/>
        </w:rPr>
        <w:t xml:space="preserve">, and the gap between accuracy and confidence is averaged, weighted by bin size:</w:t>
      </w:r>
    </w:p>
    <w:p>
      <w:pPr>
        <w:tabs>
          <w:tab w:val="right" w:pos="9026"/>
        </w:tabs>
        <w:spacing w:after="160" w:before="120"/>
        <w:jc w:val="center"/>
      </w:pPr>
      <w:r>
        <w:rPr>
          <w:rFonts w:ascii="Cambria Math" w:cs="Cambria Math" w:eastAsia="Cambria Math" w:hAnsi="Cambria Math"/>
          <w:sz w:val="24"/>
          <w:szCs w:val="24"/>
        </w:rPr>
        <w:t xml:space="preserve">ECE = Σₘ₌₁ᴹ (|Bₘ| / n) · |acc(Bₘ) − conf(Bₘ)|</w:t>
      </w:r>
      <w:r>
        <w:rPr>
          <w:rFonts w:ascii="Times New Roman" w:cs="Times New Roman" w:eastAsia="Times New Roman" w:hAnsi="Times New Roman"/>
          <w:sz w:val="24"/>
          <w:szCs w:val="24"/>
        </w:rPr>
        <w:t xml:space="preserve">	(2.3)</w:t>
      </w:r>
    </w:p>
    <w:p>
      <w:pPr>
        <w:spacing w:after="120" w:line="360"/>
        <w:jc w:val="both"/>
      </w:pPr>
      <w:r>
        <w:rPr>
          <w:rFonts w:ascii="Times New Roman" w:cs="Times New Roman" w:eastAsia="Times New Roman" w:hAnsi="Times New Roman"/>
          <w:sz w:val="24"/>
          <w:szCs w:val="24"/>
        </w:rPr>
        <w:t xml:space="preserve">In the binary formulation of Naeini et al. (2015), the same quantity is computed on the probability of the positive class: the weighted absolute difference between the observed fraction of positives and the mean predicted probability in each bin. ECE depends on the binning and on the number of calibration instances. It is best reported together with reliability diagrams and a proper scoring rule, as NEXUS does (Hossain et al., 2026).</w:t>
      </w:r>
    </w:p>
    <w:p>
      <w:pPr>
        <w:spacing w:after="120" w:line="360"/>
        <w:jc w:val="both"/>
      </w:pPr>
      <w:r>
        <w:rPr>
          <w:rFonts w:ascii="Times New Roman" w:cs="Times New Roman" w:eastAsia="Times New Roman" w:hAnsi="Times New Roman"/>
          <w:b/>
          <w:bCs/>
          <w:sz w:val="24"/>
          <w:szCs w:val="24"/>
        </w:rPr>
        <w:t xml:space="preserve">Use in agent safety.</w:t>
      </w:r>
      <w:r>
        <w:rPr>
          <w:rFonts w:ascii="Times New Roman" w:cs="Times New Roman" w:eastAsia="Times New Roman" w:hAnsi="Times New Roman"/>
          <w:sz w:val="24"/>
          <w:szCs w:val="24"/>
        </w:rPr>
        <w:t xml:space="preserve"> Calibration of agent-safety scores is established practice. NEXUS calibrates its logistic-regression score with Platt scaling and also evaluates isotonic regression. Its authors report that Platt scaling achieved the lowest ECE among their settings and was less prone to overfitting on the small calibration split, while isotonic regression achieved the lowest Brier score. ECE fell from 0.085 for the raw model to 0.013 after Platt scaling (Hossain et al., 2026). DreamGuard likewise converts its scores into decisions through a calibrated fusion rule (Lin et al., 2026).</w:t>
      </w:r>
    </w:p>
    <w:p>
      <w:pPr>
        <w:pStyle w:val="Heading2"/>
        <w:keepNext/>
        <w:spacing w:after="120" w:before="240"/>
      </w:pPr>
      <w:r>
        <w:rPr>
          <w:rFonts w:ascii="Times New Roman" w:cs="Times New Roman" w:eastAsia="Times New Roman" w:hAnsi="Times New Roman"/>
          <w:b/>
          <w:bCs/>
          <w:i/>
          <w:iCs/>
          <w:sz w:val="24"/>
          <w:szCs w:val="24"/>
        </w:rPr>
        <w:t xml:space="preserve">2.7.3 The limits of calibration for control</w:t>
      </w:r>
    </w:p>
    <w:p>
      <w:pPr>
        <w:spacing w:after="120" w:line="360"/>
        <w:jc w:val="both"/>
      </w:pPr>
      <w:r>
        <w:rPr>
          <w:rFonts w:ascii="Times New Roman" w:cs="Times New Roman" w:eastAsia="Times New Roman" w:hAnsi="Times New Roman"/>
          <w:sz w:val="24"/>
          <w:szCs w:val="24"/>
        </w:rPr>
        <w:t xml:space="preserve">Calibration makes a score interpretable as a probability. It does not make the score the right quantity for choosing an intervention. C. Zhang et al. (2026) argued that runtime oversight framed as scalar risk prediction, with intervention once a score crosses a threshold, targets the wrong object for control. The decision-relevant quantity is the </w:t>
      </w:r>
      <w:r>
        <w:rPr>
          <w:rFonts w:ascii="Times New Roman" w:cs="Times New Roman" w:eastAsia="Times New Roman" w:hAnsi="Times New Roman"/>
          <w:i/>
          <w:iCs/>
          <w:sz w:val="24"/>
          <w:szCs w:val="24"/>
        </w:rPr>
        <w:t xml:space="preserve">intervention advantage</w:t>
      </w:r>
      <w:r>
        <w:rPr>
          <w:rFonts w:ascii="Times New Roman" w:cs="Times New Roman" w:eastAsia="Times New Roman" w:hAnsi="Times New Roman"/>
          <w:sz w:val="24"/>
          <w:szCs w:val="24"/>
        </w:rPr>
        <w:t xml:space="preserve">: the expected utility gain from intervening rather than continuing. Two trajectory prefixes can share the same risk estimate while differing in whether they remain recoverable. The authors measured this "target error" with a counterfactual protocol that executes candidate actions from identical trajectory states. On ALFWorld, Platt scaling reduced the ECE of a confidence score from 0.463 to 0.006, while control regret under threshold routing remained unchanged at 0.318. Across four benchmarks, action-conditioned control produced regime-dependent gains over scalar routing.</w:t>
      </w:r>
    </w:p>
    <w:p>
      <w:pPr>
        <w:spacing w:after="120" w:line="360"/>
        <w:jc w:val="both"/>
      </w:pPr>
      <w:r>
        <w:rPr>
          <w:rFonts w:ascii="Times New Roman" w:cs="Times New Roman" w:eastAsia="Times New Roman" w:hAnsi="Times New Roman"/>
          <w:sz w:val="24"/>
          <w:szCs w:val="24"/>
        </w:rPr>
        <w:t xml:space="preserve">This finding constrains any design that uses a calibrated probability. It implies that calibration quality and control quality must be reported separately. It also implies that a scalar probability, however well calibrated, does not by itself represent whether an adversarial trajectory can still be recovered. A decision rule that multiplies the probability by consequence-dependent losses addresses part of this limitation, because different consequences can then receive different responses at the same probability. It does not address recoverability of the trajectory, and it should not be presented as doing so.</w:t>
      </w:r>
    </w:p>
    <w:p>
      <w:pPr>
        <w:pStyle w:val="Heading2"/>
        <w:keepNext/>
        <w:spacing w:after="120" w:before="240"/>
      </w:pPr>
      <w:r>
        <w:rPr>
          <w:rFonts w:ascii="Times New Roman" w:cs="Times New Roman" w:eastAsia="Times New Roman" w:hAnsi="Times New Roman"/>
          <w:b/>
          <w:bCs/>
          <w:i/>
          <w:iCs/>
          <w:sz w:val="24"/>
          <w:szCs w:val="24"/>
        </w:rPr>
        <w:t xml:space="preserve">2.7.4 Sequential change detection</w:t>
      </w:r>
    </w:p>
    <w:p>
      <w:pPr>
        <w:spacing w:after="120" w:line="360"/>
        <w:jc w:val="both"/>
      </w:pPr>
      <w:r>
        <w:rPr>
          <w:rFonts w:ascii="Times New Roman" w:cs="Times New Roman" w:eastAsia="Times New Roman" w:hAnsi="Times New Roman"/>
          <w:sz w:val="24"/>
          <w:szCs w:val="24"/>
        </w:rPr>
        <w:t xml:space="preserve">When evidence arrives step by step, a monitor must decide when accumulated evidence justifies an alarm. Sequential analysis provides the classical answer. Page (1954) introduced the cumulative sum (CUSUM) procedure for continuous inspection. Equation 2.4 writes Page's procedure in the recursive log-likelihood-ratio form presented by Basseville and Nikiforov (1993). Let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be the log-likelihood ratio of observation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under a post-change density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sz w:val="24"/>
          <w:szCs w:val="24"/>
        </w:rPr>
        <w:t xml:space="preserve"> relative to a pre-change density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w:t>
      </w:r>
      <w:r>
        <w:rPr>
          <w:rFonts w:ascii="Times New Roman" w:cs="Times New Roman" w:eastAsia="Times New Roman" w:hAnsi="Times New Roman"/>
          <w:sz w:val="24"/>
          <w:szCs w:val="24"/>
        </w:rPr>
        <w:t xml:space="preserve">. CUSUM maintains the statistic</w:t>
      </w:r>
    </w:p>
    <w:p>
      <w:pPr>
        <w:tabs>
          <w:tab w:val="right" w:pos="9026"/>
        </w:tabs>
        <w:spacing w:after="160" w:before="120"/>
        <w:jc w:val="center"/>
      </w:pPr>
      <w:r>
        <w:rPr>
          <w:rFonts w:ascii="Cambria Math" w:cs="Cambria Math" w:eastAsia="Cambria Math" w:hAnsi="Cambria Math"/>
          <w:sz w:val="24"/>
          <w:szCs w:val="24"/>
        </w:rPr>
        <w:t xml:space="preserve">gₜ = max(0, gₜ₋₁ + sₜ),   sₜ = ln[ p₁(zₜ) / p₀(zₜ) ],   g₀ = 0</w:t>
      </w:r>
      <w:r>
        <w:rPr>
          <w:rFonts w:ascii="Times New Roman" w:cs="Times New Roman" w:eastAsia="Times New Roman" w:hAnsi="Times New Roman"/>
          <w:sz w:val="24"/>
          <w:szCs w:val="24"/>
        </w:rPr>
        <w:t xml:space="preserve">	(2.4)</w:t>
      </w:r>
    </w:p>
    <w:p>
      <w:pPr>
        <w:spacing w:after="120" w:line="360"/>
        <w:jc w:val="both"/>
      </w:pPr>
      <w:r>
        <w:rPr>
          <w:rFonts w:ascii="Times New Roman" w:cs="Times New Roman" w:eastAsia="Times New Roman" w:hAnsi="Times New Roman"/>
          <w:sz w:val="24"/>
          <w:szCs w:val="24"/>
        </w:rPr>
        <w:t xml:space="preserve">and raises an alarm at the first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for which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for a threshold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Mechanism.</w:t>
      </w:r>
      <w:r>
        <w:rPr>
          <w:rFonts w:ascii="Times New Roman" w:cs="Times New Roman" w:eastAsia="Times New Roman" w:hAnsi="Times New Roman"/>
          <w:sz w:val="24"/>
          <w:szCs w:val="24"/>
        </w:rPr>
        <w:t xml:space="preserve"> Evidence consistent with the pre-change regime drives the statistic back toward zero. Evidence consistent with the post-change regime accumulates.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Tuning.</w:t>
      </w:r>
      <w:r>
        <w:rPr>
          <w:rFonts w:ascii="Times New Roman" w:cs="Times New Roman" w:eastAsia="Times New Roman" w:hAnsi="Times New Roman"/>
          <w:sz w:val="24"/>
          <w:szCs w:val="24"/>
        </w:rPr>
        <w:t xml:space="preserve"> The threshold trades detection delay against the rate of false alarms.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Optimality.</w:t>
      </w:r>
      <w:r>
        <w:rPr>
          <w:rFonts w:ascii="Times New Roman" w:cs="Times New Roman" w:eastAsia="Times New Roman" w:hAnsi="Times New Roman"/>
          <w:sz w:val="24"/>
          <w:szCs w:val="24"/>
        </w:rPr>
        <w:t xml:space="preserve"> Lorden (1971) established an asymptotic optimality property of this kind of procedure within the classical change-point model, in which observations are independent before and after the change: the worst-case expected detection delay is minimized for a given false-alarm constraint, asymptotically. These conditions are not claimed to hold for agent trajectories.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Assumptions.</w:t>
      </w:r>
      <w:r>
        <w:rPr>
          <w:rFonts w:ascii="Times New Roman" w:cs="Times New Roman" w:eastAsia="Times New Roman" w:hAnsi="Times New Roman"/>
          <w:sz w:val="24"/>
          <w:szCs w:val="24"/>
        </w:rPr>
        <w:t xml:space="preserve"> The pre- and post-change distributions are known or estimated, and observations are independent given the regime.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Limitations for agents.</w:t>
      </w:r>
      <w:r>
        <w:rPr>
          <w:rFonts w:ascii="Times New Roman" w:cs="Times New Roman" w:eastAsia="Times New Roman" w:hAnsi="Times New Roman"/>
          <w:sz w:val="24"/>
          <w:szCs w:val="24"/>
        </w:rPr>
        <w:t xml:space="preserve"> Both assumptions are only approximately satisfied by tool-call sequences, and adversaries can pace an attack to stay below a threshold. The procedure detects a </w:t>
      </w:r>
      <w:r>
        <w:rPr>
          <w:rFonts w:ascii="Times New Roman" w:cs="Times New Roman" w:eastAsia="Times New Roman" w:hAnsi="Times New Roman"/>
          <w:i/>
          <w:iCs/>
          <w:sz w:val="24"/>
          <w:szCs w:val="24"/>
        </w:rPr>
        <w:t xml:space="preserve">change</w:t>
      </w:r>
      <w:r>
        <w:rPr>
          <w:rFonts w:ascii="Times New Roman" w:cs="Times New Roman" w:eastAsia="Times New Roman" w:hAnsi="Times New Roman"/>
          <w:sz w:val="24"/>
          <w:szCs w:val="24"/>
        </w:rPr>
        <w:t xml:space="preserve">, whereas an agent episode may be adversarial from its first injected observation.</w:t>
      </w:r>
    </w:p>
    <w:p>
      <w:pPr>
        <w:spacing w:after="120" w:line="360"/>
        <w:jc w:val="both"/>
      </w:pPr>
      <w:r>
        <w:rPr>
          <w:rFonts w:ascii="Times New Roman" w:cs="Times New Roman" w:eastAsia="Times New Roman" w:hAnsi="Times New Roman"/>
          <w:sz w:val="24"/>
          <w:szCs w:val="24"/>
        </w:rPr>
        <w:t xml:space="preserve">Compared with heuristic accumulation schemes such as session risk with time-to-live decay (F. Li, 2026) or cascaded escalation (H. Jia et al., 2026), CUSUM is statistically grounded and has a transparent tuning parameter. In this thesis, however, sequential change detection is </w:t>
      </w:r>
      <w:r>
        <w:rPr>
          <w:rFonts w:ascii="Times New Roman" w:cs="Times New Roman" w:eastAsia="Times New Roman" w:hAnsi="Times New Roman"/>
          <w:b/>
          <w:bCs/>
          <w:sz w:val="24"/>
          <w:szCs w:val="24"/>
        </w:rPr>
        <w:t xml:space="preserve">not part of REM's verdict path</w:t>
      </w:r>
      <w:r>
        <w:rPr>
          <w:rFonts w:ascii="Times New Roman" w:cs="Times New Roman" w:eastAsia="Times New Roman" w:hAnsi="Times New Roman"/>
          <w:sz w:val="24"/>
          <w:szCs w:val="24"/>
        </w:rPr>
        <w:t xml:space="preserve">. Chapter 3 treats CUSUM only as an optional, offline, observe-only analysis of logged behavioral indicators that never influences a verdict. It is reviewed here as an established method and is not a contribution.</w:t>
      </w:r>
    </w:p>
    <w:p>
      <w:pPr>
        <w:pStyle w:val="Heading2"/>
        <w:keepNext/>
        <w:spacing w:after="120" w:before="240"/>
      </w:pPr>
      <w:r>
        <w:rPr>
          <w:rFonts w:ascii="Times New Roman" w:cs="Times New Roman" w:eastAsia="Times New Roman" w:hAnsi="Times New Roman"/>
          <w:b/>
          <w:bCs/>
          <w:i/>
          <w:iCs/>
          <w:sz w:val="24"/>
          <w:szCs w:val="24"/>
        </w:rPr>
        <w:t xml:space="preserve">2.7.5 Decision-theoretic selection among responses</w:t>
      </w:r>
    </w:p>
    <w:p>
      <w:pPr>
        <w:spacing w:after="120" w:line="360"/>
        <w:jc w:val="both"/>
      </w:pPr>
      <w:r>
        <w:rPr>
          <w:rFonts w:ascii="Times New Roman" w:cs="Times New Roman" w:eastAsia="Times New Roman" w:hAnsi="Times New Roman"/>
          <w:sz w:val="24"/>
          <w:szCs w:val="24"/>
        </w:rPr>
        <w:t xml:space="preserve">Once a probability is available, classical decision theory specifies how to choose among responses whose costs depend on the unknown state. Elkan (2001) stated the principle for cost-sensitive classification: an example should be assigned the prediction with the lowest expected cost, computed from the conditional probability of each class and a cost matrix whose entries give the cost of each prediction for each true class. For a set of actions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a binary state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w:t>
      </w:r>
    </w:p>
    <w:p>
      <w:pPr>
        <w:tabs>
          <w:tab w:val="right" w:pos="9026"/>
        </w:tabs>
        <w:spacing w:after="160" w:before="120"/>
        <w:jc w:val="center"/>
      </w:pPr>
      <w:r>
        <w:rPr>
          <w:rFonts w:ascii="Cambria Math" w:cs="Cambria Math" w:eastAsia="Cambria Math" w:hAnsi="Cambria Math"/>
          <w:sz w:val="24"/>
          <w:szCs w:val="24"/>
        </w:rPr>
        <w:t xml:space="preserve">a*(x) = arg minₐ  Σ_{y ∈ {0,1}}  Pr(y | x) · C(a, y)</w:t>
      </w:r>
      <w:r>
        <w:rPr>
          <w:rFonts w:ascii="Times New Roman" w:cs="Times New Roman" w:eastAsia="Times New Roman" w:hAnsi="Times New Roman"/>
          <w:sz w:val="24"/>
          <w:szCs w:val="24"/>
        </w:rPr>
        <w:t xml:space="preserve">	(2.5)</w:t>
      </w:r>
    </w:p>
    <w:p>
      <w:pPr>
        <w:spacing w:after="120" w:line="360"/>
        <w:jc w:val="both"/>
      </w:pPr>
      <w:r>
        <w:rPr>
          <w:rFonts w:ascii="Times New Roman" w:cs="Times New Roman" w:eastAsia="Times New Roman" w:hAnsi="Times New Roman"/>
          <w:sz w:val="24"/>
          <w:szCs w:val="24"/>
        </w:rPr>
        <w:t xml:space="preserve">Elkan also discussed when a cost matrix is "reasonable". This characterization matters because an incoherent cost matrix can make some responses never optimal. Chow (1970) analyzed the trade-off between recognition error and </w:t>
      </w:r>
      <w:r>
        <w:rPr>
          <w:rFonts w:ascii="Times New Roman" w:cs="Times New Roman" w:eastAsia="Times New Roman" w:hAnsi="Times New Roman"/>
          <w:i/>
          <w:iCs/>
          <w:sz w:val="24"/>
          <w:szCs w:val="24"/>
        </w:rPr>
        <w:t xml:space="preserve">rejection</w:t>
      </w:r>
      <w:r>
        <w:rPr>
          <w:rFonts w:ascii="Times New Roman" w:cs="Times New Roman" w:eastAsia="Times New Roman" w:hAnsi="Times New Roman"/>
          <w:sz w:val="24"/>
          <w:szCs w:val="24"/>
        </w:rPr>
        <w:t xml:space="preserve">. His analysis shows that withholding an automatic decision is optimal when the expected cost of deciding exceeds the cost of rejecting. This is the classical basis for routing uncertain cases to a human reviewer.</w:t>
      </w:r>
    </w:p>
    <w:p>
      <w:pPr>
        <w:spacing w:after="120" w:line="360"/>
        <w:jc w:val="both"/>
      </w:pPr>
      <w:r>
        <w:rPr>
          <w:rFonts w:ascii="Times New Roman" w:cs="Times New Roman" w:eastAsia="Times New Roman" w:hAnsi="Times New Roman"/>
          <w:sz w:val="24"/>
          <w:szCs w:val="24"/>
        </w:rPr>
        <w:t xml:space="preserve">The decision rule in Equation 2.5 is only as good as its two inputs. It requires the probability to be calibrated (Section 2.7.2). It requires the cost matrix to reflect real preferences, which in security settings are rarely known precisely. These two dependencies explain why the reviewed agent systems use cost-based decisions cautiously. NEXUS defines an expected-loss objective with fixed costs for each intervention and uses it to choose loss-optimal thresholds on its calibrated score. Those thresholds operate inside a rule-first intervention cascade rather than as an unrestricted per-decision minimization of Equation 2.5 (Hossain et al., 2026; see Section 2.8.4). The analysis of C. Zhang et al. (2026) adds that a cost-weighted probability still omits recoverability.</w:t>
      </w:r>
    </w:p>
    <w:p>
      <w:pPr>
        <w:pStyle w:val="Heading2"/>
        <w:keepNext/>
        <w:spacing w:after="120" w:before="240"/>
      </w:pPr>
      <w:r>
        <w:rPr>
          <w:rFonts w:ascii="Times New Roman" w:cs="Times New Roman" w:eastAsia="Times New Roman" w:hAnsi="Times New Roman"/>
          <w:b/>
          <w:bCs/>
          <w:i/>
          <w:iCs/>
          <w:sz w:val="24"/>
          <w:szCs w:val="24"/>
        </w:rPr>
        <w:t xml:space="preserve">2.7.6 Additive attribution for audit records</w:t>
      </w:r>
    </w:p>
    <w:p>
      <w:pPr>
        <w:spacing w:after="120" w:line="360"/>
        <w:jc w:val="both"/>
      </w:pPr>
      <w:r>
        <w:rPr>
          <w:rFonts w:ascii="Times New Roman" w:cs="Times New Roman" w:eastAsia="Times New Roman" w:hAnsi="Times New Roman"/>
          <w:sz w:val="24"/>
          <w:szCs w:val="24"/>
        </w:rPr>
        <w:t xml:space="preserve">Additive feature attribution explains a prediction as a sum of per-feature contributions. Lundberg and Lee (2017) unified such methods under Shapley values. They showed that for a linear model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0</w:t>
      </w:r>
      <w:r>
        <w:rPr>
          <w:rFonts w:ascii="Times New Roman" w:cs="Times New Roman" w:eastAsia="Times New Roman" w:hAnsi="Times New Roman"/>
          <w:sz w:val="24"/>
          <w:szCs w:val="24"/>
        </w:rPr>
        <w:t xml:space="preserve"> + Σ</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sz w:val="24"/>
          <w:szCs w:val="24"/>
        </w:rPr>
        <w:t xml:space="preserve">, under an assumption of feature independence, the attribution of feature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is</w:t>
      </w:r>
    </w:p>
    <w:p>
      <w:pPr>
        <w:tabs>
          <w:tab w:val="right" w:pos="9026"/>
        </w:tabs>
        <w:spacing w:after="160" w:before="120"/>
        <w:jc w:val="center"/>
      </w:pPr>
      <w:r>
        <w:rPr>
          <w:rFonts w:ascii="Cambria Math" w:cs="Cambria Math" w:eastAsia="Cambria Math" w:hAnsi="Cambria Math"/>
          <w:sz w:val="24"/>
          <w:szCs w:val="24"/>
        </w:rPr>
        <w:t xml:space="preserve">φⱼ = βⱼ · (xⱼ − E[xⱼ])</w:t>
      </w:r>
      <w:r>
        <w:rPr>
          <w:rFonts w:ascii="Times New Roman" w:cs="Times New Roman" w:eastAsia="Times New Roman" w:hAnsi="Times New Roman"/>
          <w:sz w:val="24"/>
          <w:szCs w:val="24"/>
        </w:rPr>
        <w:t xml:space="preserve">	(2.6)</w:t>
      </w:r>
    </w:p>
    <w:p>
      <w:pPr>
        <w:spacing w:after="120" w:line="360"/>
        <w:jc w:val="both"/>
      </w:pPr>
      <w:r>
        <w:rPr>
          <w:rFonts w:ascii="Times New Roman" w:cs="Times New Roman" w:eastAsia="Times New Roman" w:hAnsi="Times New Roman"/>
          <w:sz w:val="24"/>
          <w:szCs w:val="24"/>
        </w:rPr>
        <w:t xml:space="preserve">For a logistic model, applied to the log-odds, this decomposition is exact and costs no more than computing the score. It is therefore well suited to a runtime audit record that shows which evidence contributed to a decision. It is nevertheless an established technique, and several agent systems already provide auditable decision traces in other forms: the rule, finding or threshold behind a NEXUS decision (Hossain et al., 2026); the rules that fired in AgentTrust (C. Yang, 2026); verifiable rule circuits in ShieldAgent (Z. Chen, Kang, &amp; Li, 2025); traceable evidence in ProvenanceGuard (She et al., 2026); and PRISM's tamper-evident audit plane (F. Li, 2026). An additive attribution adds a numerical decomposition of a learned score. It does not constitute a distinguishing explanation mechanism.</w:t>
      </w:r>
    </w:p>
    <w:p>
      <w:pPr>
        <w:keepNext/>
        <w:spacing w:after="80" w:before="200"/>
      </w:pPr>
      <w:r>
        <w:rPr>
          <w:rFonts w:ascii="Times New Roman" w:cs="Times New Roman" w:eastAsia="Times New Roman" w:hAnsi="Times New Roman"/>
          <w:b/>
          <w:bCs/>
          <w:sz w:val="24"/>
          <w:szCs w:val="24"/>
        </w:rPr>
        <w:t xml:space="preserve">Table 2.4. Established methods reviewed as the algorithmic basis for 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2"/>
        <w:gridCol w:w="2084"/>
        <w:gridCol w:w="1242"/>
        <w:gridCol w:w="1524"/>
        <w:gridCol w:w="1924"/>
        <w:gridCol w:w="1510"/>
      </w:tblGrid>
      <w:tr>
        <w:trPr>
          <w:cantSplit/>
          <w:tblHeader/>
        </w:trPr>
        <w:tc>
          <w:tcPr>
            <w:tcW w:type="dxa" w:w="74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Problem</w:t>
            </w:r>
          </w:p>
        </w:tc>
        <w:tc>
          <w:tcPr>
            <w:tcW w:type="dxa" w:w="208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Method (original source)</w:t>
            </w:r>
          </w:p>
        </w:tc>
        <w:tc>
          <w:tcPr>
            <w:tcW w:type="dxa" w:w="124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Assumptions</w:t>
            </w:r>
          </w:p>
        </w:tc>
        <w:tc>
          <w:tcPr>
            <w:tcW w:type="dxa" w:w="152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Strengths</w:t>
            </w:r>
          </w:p>
        </w:tc>
        <w:tc>
          <w:tcPr>
            <w:tcW w:type="dxa" w:w="192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Limitations</w:t>
            </w:r>
          </w:p>
        </w:tc>
        <w:tc>
          <w:tcPr>
            <w:tcW w:type="dxa" w:w="151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Use in agent-security literature</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Probabilistic risk scoring</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Logistic regression (Cox, 1958); ridge penalty (le Cessie &amp; van Houwelingen, 1992); naive Bayes as an alternative (Ng &amp; Jordan, 2002)</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Linear log-odds; conditional independence</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Fast; inspectable; probabilistic output</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 interactions unless engineered; distribution shift</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risk score (Hossain et al., 2026)</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(parametric)</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Platt scaling (Platt, 1999); temperature scaling (Guo et al., 2017)</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Sigmoid-shaped miscalibration</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Few parameters; robust with little data; preserves ranking</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Cannot represent the identity on [0, 1] scores (Kull et al., 2017)</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(Platt); C. Zhang et al. (2026)</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(flexible)</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Isotonic regression (Zadrozny &amp; Elkan, 2002); beta calibration (Kull et al., 2017)</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Monotone map (isotonic); beta-distributed scores (beta)</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More flexible; beta contains the identity</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Isotonic needs more data (Niculescu-Mizil &amp; Caruana, 2005)</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evaluated isotonic</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measurement</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ECE (Guo et al., 2017; Naeini et al., 2015)</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Binning scheme</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Simple, interpretable</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Bin-dependent; unstable with small sets</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C. Zhang et al. (2026)</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Sequential evidence accumulation</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CUSUM (Page, 1954; Basseville &amp; Nikiforov, 1993); optimality (Lorden, 1971)</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Known or estimated pre/post-change distributions; independence</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Statistically grounded; asymptotic optimality in the classical model; one threshold</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Detects change, not adversarial-from-start; can be evaded by pacing; classical assumptions not met by agent trajectories</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Heuristic analogues: PRISM decay; FinHarness cascade. In REM: optional, observe-only (Chapter 3)</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Response selection</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Minimum expected cost (Elkan, 2001); reject option (Chow, 1970)</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Calibrated probabilities; coherent costs</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Principled use of consequences; explicit human-review region</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Costs uncertain; ignores recoverability (C. Zhang et al., 2026)</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objective (deployed as cascade)</w:t>
            </w:r>
          </w:p>
        </w:tc>
      </w:tr>
      <w:tr>
        <w:trPr>
          <w:cantSplit/>
          <w:tblHeader w:val="false"/>
        </w:trPr>
        <w:tc>
          <w:tcPr>
            <w:tcW w:type="dxa" w:w="7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Audit decomposition</w:t>
            </w:r>
          </w:p>
        </w:tc>
        <w:tc>
          <w:tcPr>
            <w:tcW w:type="dxa" w:w="208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Additive attribution / Linear SHAP (Lundberg &amp; Lee, 2017)</w:t>
            </w:r>
          </w:p>
        </w:tc>
        <w:tc>
          <w:tcPr>
            <w:tcW w:type="dxa" w:w="12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Linear model; feature independence</w:t>
            </w:r>
          </w:p>
        </w:tc>
        <w:tc>
          <w:tcPr>
            <w:tcW w:type="dxa" w:w="15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Exact for linear scores; negligible cost</w:t>
            </w:r>
          </w:p>
        </w:tc>
        <w:tc>
          <w:tcPr>
            <w:tcW w:type="dxa" w:w="1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 novel explanation mechanism</w:t>
            </w:r>
          </w:p>
        </w:tc>
        <w:tc>
          <w:tcPr>
            <w:tcW w:type="dxa" w:w="151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Audit traces in NEXUS, AgentTrust, ShieldAgent, PRISM</w:t>
            </w:r>
          </w:p>
        </w:tc>
      </w:tr>
    </w:tbl>
    <w:p>
      <w:pPr>
        <w:spacing w:after="120"/>
      </w:pP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Each methodological building block of a probabilistic runtime decision layer is established, well understood, and already applied in agent security. The literature also specifies the conditions each block needs.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logistic score needs representative training data.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Calibration needs held-out data, with the choice of method governed by the amount of data available.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cost-based decision needs both calibrated probabilities and coherent costs.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Sequential accumulation needs a defensible model of normal and abnormal regimes.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Calibration alone does not improve control.</w:t>
      </w:r>
    </w:p>
    <w:p>
      <w:pPr>
        <w:spacing w:after="120" w:line="360"/>
        <w:jc w:val="both"/>
      </w:pPr>
      <w:r>
        <w:rPr>
          <w:rFonts w:ascii="Times New Roman" w:cs="Times New Roman" w:eastAsia="Times New Roman" w:hAnsi="Times New Roman"/>
          <w:sz w:val="24"/>
          <w:szCs w:val="24"/>
        </w:rPr>
        <w:t xml:space="preserve">What the literature leaves open is not whether these methods work in general but how they perform in </w:t>
      </w:r>
      <w:r>
        <w:rPr>
          <w:rFonts w:ascii="Times New Roman" w:cs="Times New Roman" w:eastAsia="Times New Roman" w:hAnsi="Times New Roman"/>
          <w:i/>
          <w:iCs/>
          <w:sz w:val="24"/>
          <w:szCs w:val="24"/>
        </w:rPr>
        <w:t xml:space="preserve">combination</w:t>
      </w:r>
      <w:r>
        <w:rPr>
          <w:rFonts w:ascii="Times New Roman" w:cs="Times New Roman" w:eastAsia="Times New Roman" w:hAnsi="Times New Roman"/>
          <w:sz w:val="24"/>
          <w:szCs w:val="24"/>
        </w:rPr>
        <w:t xml:space="preserve">, at the action boundary of an executing agent, under indirect injection, when losses depend on the consequence of a financial action. That question is taken up in Section 2.12.</w:t>
      </w:r>
    </w:p>
    <w:p>
      <w:pPr>
        <w:pStyle w:val="Heading1"/>
        <w:keepNext/>
        <w:spacing w:after="120" w:before="360"/>
      </w:pPr>
      <w:r>
        <w:rPr>
          <w:rFonts w:ascii="Times New Roman" w:cs="Times New Roman" w:eastAsia="Times New Roman" w:hAnsi="Times New Roman"/>
          <w:b/>
          <w:bCs/>
          <w:i w:val="false"/>
          <w:iCs w:val="false"/>
          <w:sz w:val="28"/>
          <w:szCs w:val="28"/>
        </w:rPr>
        <w:t xml:space="preserve">2.8 Runtime Security and Mitigation</w:t>
      </w:r>
    </w:p>
    <w:p>
      <w:pPr>
        <w:spacing w:after="120" w:line="360"/>
        <w:jc w:val="both"/>
      </w:pPr>
      <w:r>
        <w:rPr>
          <w:rFonts w:ascii="Times New Roman" w:cs="Times New Roman" w:eastAsia="Times New Roman" w:hAnsi="Times New Roman"/>
          <w:sz w:val="24"/>
          <w:szCs w:val="24"/>
        </w:rPr>
        <w:t xml:space="preserve">This section examines how runtime systems </w:t>
      </w:r>
      <w:r>
        <w:rPr>
          <w:rFonts w:ascii="Times New Roman" w:cs="Times New Roman" w:eastAsia="Times New Roman" w:hAnsi="Times New Roman"/>
          <w:i/>
          <w:iCs/>
          <w:sz w:val="24"/>
          <w:szCs w:val="24"/>
        </w:rPr>
        <w:t xml:space="preserve">act</w:t>
      </w:r>
      <w:r>
        <w:rPr>
          <w:rFonts w:ascii="Times New Roman" w:cs="Times New Roman" w:eastAsia="Times New Roman" w:hAnsi="Times New Roman"/>
          <w:sz w:val="24"/>
          <w:szCs w:val="24"/>
        </w:rPr>
        <w:t xml:space="preserve"> on what they detect. Four functions are distinguished that the literature often conflates: </w:t>
      </w:r>
      <w:r>
        <w:rPr>
          <w:rFonts w:ascii="Times New Roman" w:cs="Times New Roman" w:eastAsia="Times New Roman" w:hAnsi="Times New Roman"/>
          <w:b/>
          <w:bCs/>
          <w:sz w:val="24"/>
          <w:szCs w:val="24"/>
        </w:rPr>
        <w:t xml:space="preserve">detection</w:t>
      </w:r>
      <w:r>
        <w:rPr>
          <w:rFonts w:ascii="Times New Roman" w:cs="Times New Roman" w:eastAsia="Times New Roman" w:hAnsi="Times New Roman"/>
          <w:sz w:val="24"/>
          <w:szCs w:val="24"/>
        </w:rPr>
        <w:t xml:space="preserve"> (recognizing that something may be wrong), </w:t>
      </w:r>
      <w:r>
        <w:rPr>
          <w:rFonts w:ascii="Times New Roman" w:cs="Times New Roman" w:eastAsia="Times New Roman" w:hAnsi="Times New Roman"/>
          <w:b/>
          <w:bCs/>
          <w:sz w:val="24"/>
          <w:szCs w:val="24"/>
        </w:rPr>
        <w:t xml:space="preserve">risk estimation</w:t>
      </w:r>
      <w:r>
        <w:rPr>
          <w:rFonts w:ascii="Times New Roman" w:cs="Times New Roman" w:eastAsia="Times New Roman" w:hAnsi="Times New Roman"/>
          <w:sz w:val="24"/>
          <w:szCs w:val="24"/>
        </w:rPr>
        <w:t xml:space="preserve"> (quantifying how likely or how severe), </w:t>
      </w:r>
      <w:r>
        <w:rPr>
          <w:rFonts w:ascii="Times New Roman" w:cs="Times New Roman" w:eastAsia="Times New Roman" w:hAnsi="Times New Roman"/>
          <w:b/>
          <w:bCs/>
          <w:sz w:val="24"/>
          <w:szCs w:val="24"/>
        </w:rPr>
        <w:t xml:space="preserve">decision</w:t>
      </w:r>
      <w:r>
        <w:rPr>
          <w:rFonts w:ascii="Times New Roman" w:cs="Times New Roman" w:eastAsia="Times New Roman" w:hAnsi="Times New Roman"/>
          <w:sz w:val="24"/>
          <w:szCs w:val="24"/>
        </w:rPr>
        <w:t xml:space="preserve"> (selecting a response), and </w:t>
      </w:r>
      <w:r>
        <w:rPr>
          <w:rFonts w:ascii="Times New Roman" w:cs="Times New Roman" w:eastAsia="Times New Roman" w:hAnsi="Times New Roman"/>
          <w:b/>
          <w:bCs/>
          <w:sz w:val="24"/>
          <w:szCs w:val="24"/>
        </w:rPr>
        <w:t xml:space="preserve">mitigation</w:t>
      </w:r>
      <w:r>
        <w:rPr>
          <w:rFonts w:ascii="Times New Roman" w:cs="Times New Roman" w:eastAsia="Times New Roman" w:hAnsi="Times New Roman"/>
          <w:sz w:val="24"/>
          <w:szCs w:val="24"/>
        </w:rPr>
        <w:t xml:space="preserve"> (executing it). The section also records where each system intervenes, and whether its decision is made per step or per episode where the source reports this.</w:t>
      </w:r>
    </w:p>
    <w:p>
      <w:pPr>
        <w:pStyle w:val="Heading2"/>
        <w:keepNext/>
        <w:spacing w:after="120" w:before="240"/>
      </w:pPr>
      <w:r>
        <w:rPr>
          <w:rFonts w:ascii="Times New Roman" w:cs="Times New Roman" w:eastAsia="Times New Roman" w:hAnsi="Times New Roman"/>
          <w:b/>
          <w:bCs/>
          <w:i/>
          <w:iCs/>
          <w:sz w:val="24"/>
          <w:szCs w:val="24"/>
        </w:rPr>
        <w:t xml:space="preserve">2.8.1 The space of runtime responses</w:t>
      </w:r>
    </w:p>
    <w:p>
      <w:pPr>
        <w:spacing w:after="120" w:line="360"/>
        <w:jc w:val="both"/>
      </w:pPr>
      <w:r>
        <w:rPr>
          <w:rFonts w:ascii="Times New Roman" w:cs="Times New Roman" w:eastAsia="Times New Roman" w:hAnsi="Times New Roman"/>
          <w:sz w:val="24"/>
          <w:szCs w:val="24"/>
        </w:rPr>
        <w:t xml:space="preserve">The reviewed systems use a common, graduated vocabulary of responses. Its elements are to allow the action; to block it; to </w:t>
      </w:r>
      <w:r>
        <w:rPr>
          <w:rFonts w:ascii="Times New Roman" w:cs="Times New Roman" w:eastAsia="Times New Roman" w:hAnsi="Times New Roman"/>
          <w:i/>
          <w:iCs/>
          <w:sz w:val="24"/>
          <w:szCs w:val="24"/>
        </w:rPr>
        <w:t xml:space="preserve">modify</w:t>
      </w:r>
      <w:r>
        <w:rPr>
          <w:rFonts w:ascii="Times New Roman" w:cs="Times New Roman" w:eastAsia="Times New Roman" w:hAnsi="Times New Roman"/>
          <w:sz w:val="24"/>
          <w:szCs w:val="24"/>
        </w:rPr>
        <w:t xml:space="preserve"> it (rewrite arguments, sanitize context, propose a safer alternative, request revision of a plan); to </w:t>
      </w:r>
      <w:r>
        <w:rPr>
          <w:rFonts w:ascii="Times New Roman" w:cs="Times New Roman" w:eastAsia="Times New Roman" w:hAnsi="Times New Roman"/>
          <w:i/>
          <w:iCs/>
          <w:sz w:val="24"/>
          <w:szCs w:val="24"/>
        </w:rPr>
        <w:t xml:space="preserve">escalate</w:t>
      </w:r>
      <w:r>
        <w:rPr>
          <w:rFonts w:ascii="Times New Roman" w:cs="Times New Roman" w:eastAsia="Times New Roman" w:hAnsi="Times New Roman"/>
          <w:sz w:val="24"/>
          <w:szCs w:val="24"/>
        </w:rPr>
        <w:t xml:space="preserve"> it (request confirmation or human review); to </w:t>
      </w:r>
      <w:r>
        <w:rPr>
          <w:rFonts w:ascii="Times New Roman" w:cs="Times New Roman" w:eastAsia="Times New Roman" w:hAnsi="Times New Roman"/>
          <w:i/>
          <w:iCs/>
          <w:sz w:val="24"/>
          <w:szCs w:val="24"/>
        </w:rPr>
        <w:t xml:space="preserve">restrict</w:t>
      </w:r>
      <w:r>
        <w:rPr>
          <w:rFonts w:ascii="Times New Roman" w:cs="Times New Roman" w:eastAsia="Times New Roman" w:hAnsi="Times New Roman"/>
          <w:sz w:val="24"/>
          <w:szCs w:val="24"/>
        </w:rPr>
        <w:t xml:space="preserve"> the agent's tools or privileges; to </w:t>
      </w:r>
      <w:r>
        <w:rPr>
          <w:rFonts w:ascii="Times New Roman" w:cs="Times New Roman" w:eastAsia="Times New Roman" w:hAnsi="Times New Roman"/>
          <w:i/>
          <w:iCs/>
          <w:sz w:val="24"/>
          <w:szCs w:val="24"/>
        </w:rPr>
        <w:t xml:space="preserve">interrupt or terminate</w:t>
      </w:r>
      <w:r>
        <w:rPr>
          <w:rFonts w:ascii="Times New Roman" w:cs="Times New Roman" w:eastAsia="Times New Roman" w:hAnsi="Times New Roman"/>
          <w:sz w:val="24"/>
          <w:szCs w:val="24"/>
        </w:rPr>
        <w:t xml:space="preserve"> the episode; and to </w:t>
      </w:r>
      <w:r>
        <w:rPr>
          <w:rFonts w:ascii="Times New Roman" w:cs="Times New Roman" w:eastAsia="Times New Roman" w:hAnsi="Times New Roman"/>
          <w:i/>
          <w:iCs/>
          <w:sz w:val="24"/>
          <w:szCs w:val="24"/>
        </w:rPr>
        <w:t xml:space="preserve">stage or roll back</w:t>
      </w:r>
      <w:r>
        <w:rPr>
          <w:rFonts w:ascii="Times New Roman" w:cs="Times New Roman" w:eastAsia="Times New Roman" w:hAnsi="Times New Roman"/>
          <w:sz w:val="24"/>
          <w:szCs w:val="24"/>
        </w:rPr>
        <w:t xml:space="preserve"> effects. Table 2.5 records which responses each system reports.</w:t>
      </w:r>
    </w:p>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2.5. Runtime responses reported by reviewed systems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5"/>
        <w:gridCol w:w="576"/>
        <w:gridCol w:w="525"/>
        <w:gridCol w:w="1917"/>
        <w:gridCol w:w="2056"/>
        <w:gridCol w:w="1494"/>
        <w:gridCol w:w="1334"/>
        <w:gridCol w:w="1327"/>
        <w:gridCol w:w="2534"/>
      </w:tblGrid>
      <w:tr>
        <w:trPr>
          <w:cantSplit/>
          <w:tblHeader/>
        </w:trPr>
        <w:tc>
          <w:tcPr>
            <w:tcW w:type="dxa" w:w="219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System</w:t>
            </w:r>
          </w:p>
        </w:tc>
        <w:tc>
          <w:tcPr>
            <w:tcW w:type="dxa" w:w="57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Allow</w:t>
            </w:r>
          </w:p>
        </w:tc>
        <w:tc>
          <w:tcPr>
            <w:tcW w:type="dxa" w:w="52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Block</w:t>
            </w:r>
          </w:p>
        </w:tc>
        <w:tc>
          <w:tcPr>
            <w:tcW w:type="dxa" w:w="191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Modify / sanitize / revise</w:t>
            </w:r>
          </w:p>
        </w:tc>
        <w:tc>
          <w:tcPr>
            <w:tcW w:type="dxa" w:w="205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Escalate / human review</w:t>
            </w:r>
          </w:p>
        </w:tc>
        <w:tc>
          <w:tcPr>
            <w:tcW w:type="dxa" w:w="149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Restrict tools or privileges</w:t>
            </w:r>
          </w:p>
        </w:tc>
        <w:tc>
          <w:tcPr>
            <w:tcW w:type="dxa" w:w="133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Interrupt / terminate</w:t>
            </w:r>
          </w:p>
        </w:tc>
        <w:tc>
          <w:tcPr>
            <w:tcW w:type="dxa" w:w="132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Stage / roll back</w:t>
            </w:r>
          </w:p>
        </w:tc>
        <w:tc>
          <w:tcPr>
            <w:tcW w:type="dxa" w:w="253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Decision granularity</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Progent (Shi et al., 2025)</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(approval for privilege expansion)</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call</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AgentSpec (H. Wang et al.,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Rule-defined enforcement actions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triggered event</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MI9 (C. L. Wang et al., 2025)</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(graduated containment)</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(graduated containment)</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Continuous, agent-level governance</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PRISM (F. Li,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(policy controls over tools, paths, networks)</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hook, with session accumulation</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SafeAgent (H. Liu et al.,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(context sanitization, replanning, tool-argument rewriting)</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(human-in-the-loop escalation)</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(session termination)</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(automatic rollback)</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step over session state</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AgentTrust (C. Yang,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(SafeFix safer alternatives)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(warn; review)</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call, with session chain detection</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NEXUS (Hossain et al.,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(request revision)</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(request confirmation)</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plan, before execution</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DreamGuard (Lin et al.,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(PASS)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(BLOCK)</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HOLD (semantics NOT VERIFIED)</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action, with trajectory state</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FinHarness (H. Jia et al.,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(approval)</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Escalation to an advanced LLM judge (not to a human)</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step, with cross-turn tracking</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Jackson (2025)</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(deny)</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(sanitize)</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(escalate)</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 (full text not accessed)</w:t>
            </w:r>
          </w:p>
        </w:tc>
      </w:tr>
      <w:tr>
        <w:trPr>
          <w:cantSplit/>
          <w:tblHeader w:val="false"/>
        </w:trPr>
        <w:tc>
          <w:tcPr>
            <w:tcW w:type="dxa" w:w="219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Cordon (Z. Chen et al., 2026)</w:t>
            </w:r>
          </w:p>
        </w:tc>
        <w:tc>
          <w:tcPr>
            <w:tcW w:type="dxa" w:w="57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 (substrate)</w:t>
            </w:r>
          </w:p>
        </w:tc>
        <w:tc>
          <w:tcPr>
            <w:tcW w:type="dxa" w:w="52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91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4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3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3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(shadow state; effect outbox)</w:t>
            </w:r>
          </w:p>
        </w:tc>
        <w:tc>
          <w:tcPr>
            <w:tcW w:type="dxa" w:w="25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task-level transaction</w:t>
            </w:r>
          </w:p>
        </w:tc>
      </w:tr>
    </w:tbl>
    <w:p>
      <w:pPr>
        <w:spacing w:after="120"/>
      </w:pPr>
    </w:p>
    <w:p>
      <w:pPr>
        <w:sectPr>
          <w:headerReference w:type="default" r:id="rId9"/>
          <w:footerReference w:type="default" r:id="rId10"/>
          <w:pgSz w:w="16838" w:h="11906" w:orient="landscape"/>
          <w:pgMar w:top="1440" w:right="1440" w:bottom="1440" w:left="1440" w:header="708" w:footer="708" w:gutter="0"/>
          <w:pgNumType/>
          <w:docGrid w:linePitch="360"/>
        </w:sectPr>
      </w:pPr>
    </w:p>
    <w:p>
      <w:pPr>
        <w:pStyle w:val="Heading2"/>
        <w:keepNext/>
        <w:spacing w:after="120" w:before="240"/>
      </w:pPr>
      <w:r>
        <w:rPr>
          <w:rFonts w:ascii="Times New Roman" w:cs="Times New Roman" w:eastAsia="Times New Roman" w:hAnsi="Times New Roman"/>
          <w:b/>
          <w:bCs/>
          <w:i/>
          <w:iCs/>
          <w:sz w:val="24"/>
          <w:szCs w:val="24"/>
        </w:rPr>
        <w:t xml:space="preserve">2.8.2 Integrated runtime layers</w:t>
      </w:r>
    </w:p>
    <w:p>
      <w:pPr>
        <w:spacing w:after="120" w:line="360"/>
        <w:jc w:val="both"/>
      </w:pPr>
      <w:r>
        <w:rPr>
          <w:rFonts w:ascii="Times New Roman" w:cs="Times New Roman" w:eastAsia="Times New Roman" w:hAnsi="Times New Roman"/>
          <w:sz w:val="24"/>
          <w:szCs w:val="24"/>
        </w:rPr>
        <w:t xml:space="preserve">Several systems place a dedicated layer around the agent that combines detection, risk estimation, decision and mitigation.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PRISM</w:t>
      </w:r>
      <w:r>
        <w:rPr>
          <w:rFonts w:ascii="Times New Roman" w:cs="Times New Roman" w:eastAsia="Times New Roman" w:hAnsi="Times New Roman"/>
          <w:sz w:val="24"/>
          <w:szCs w:val="24"/>
        </w:rPr>
        <w:t xml:space="preserve"> instruments ten lifecycle hooks, spanning message ingress, prompt construction, tool execution, tool-result persistence, outbound messaging, sub-agent spawning and gateway startup. It combines heuristic and LLM scanning with conversation- and session-scoped risk accumulation that decays over time, policy controls, and a tamper-evident audit plane (F. Li, 2026). It is tied to one agent-gateway ecosystem, and its author presents the reported results, including per-hook latency profiles, as preliminary benchmark evidence rather than a deployment-level study.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MI9</w:t>
      </w:r>
      <w:r>
        <w:rPr>
          <w:rFonts w:ascii="Times New Roman" w:cs="Times New Roman" w:eastAsia="Times New Roman" w:hAnsi="Times New Roman"/>
          <w:sz w:val="24"/>
          <w:szCs w:val="24"/>
        </w:rPr>
        <w:t xml:space="preserve"> is a runtime </w:t>
      </w:r>
      <w:r>
        <w:rPr>
          <w:rFonts w:ascii="Times New Roman" w:cs="Times New Roman" w:eastAsia="Times New Roman" w:hAnsi="Times New Roman"/>
          <w:i/>
          <w:iCs/>
          <w:sz w:val="24"/>
          <w:szCs w:val="24"/>
        </w:rPr>
        <w:t xml:space="preserve">governance</w:t>
      </w:r>
      <w:r>
        <w:rPr>
          <w:rFonts w:ascii="Times New Roman" w:cs="Times New Roman" w:eastAsia="Times New Roman" w:hAnsi="Times New Roman"/>
          <w:sz w:val="24"/>
          <w:szCs w:val="24"/>
        </w:rPr>
        <w:t xml:space="preserve"> framework with six components: an agency-risk index, agent-semantic telemetry, continuous authorization monitoring, finite-state-machine conformance engines, goal-conditioned drift detection, and graduated containment. Its authors report a 99.81% detection rate across 1,033 synthetic scenarios (C. L. Wang et al., 2025). They also state its limitations: the evaluation is synthetic and needs validation in live production environments; effectiveness depends on comprehensive instrumentation, so agents behind opaque APIs create blind spots; real-time monitoring adds computational overhead; and dedicated adversarial evaluation of the governance mechanisms is left for future work. Its agency-risk index calibrates governance intensity across </w:t>
      </w:r>
      <w:r>
        <w:rPr>
          <w:rFonts w:ascii="Times New Roman" w:cs="Times New Roman" w:eastAsia="Times New Roman" w:hAnsi="Times New Roman"/>
          <w:i/>
          <w:iCs/>
          <w:sz w:val="24"/>
          <w:szCs w:val="24"/>
        </w:rPr>
        <w:t xml:space="preserve">agent populations</w:t>
      </w:r>
      <w:r>
        <w:rPr>
          <w:rFonts w:ascii="Times New Roman" w:cs="Times New Roman" w:eastAsia="Times New Roman" w:hAnsi="Times New Roman"/>
          <w:sz w:val="24"/>
          <w:szCs w:val="24"/>
        </w:rPr>
        <w:t xml:space="preserve"> rather than scoring individual actions.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SafeAgent</w:t>
      </w:r>
      <w:r>
        <w:rPr>
          <w:rFonts w:ascii="Times New Roman" w:cs="Times New Roman" w:eastAsia="Times New Roman" w:hAnsi="Times New Roman"/>
          <w:sz w:val="24"/>
          <w:szCs w:val="24"/>
        </w:rPr>
        <w:t xml:space="preserve"> treats agent safety as a stateful decision problem over evolving trajectories. A runtime controller mediates actions around the agent loop, and a context-aware decision core operates over persistent session state through operators for risk encoding, utility–cost evaluation, consequence modeling, policy arbitration and state synchronization. According to retrieved excerpts of the paper (full text not accessed; partially verified), when a threat is detected its controller can sanitize context, trigger a constrained replanning step, rewrite unsafe tool arguments, escalate to a human, roll back automatically or terminate the session. It was evaluated on ASB and InjecAgent, and its ablations show that recovery confidence and policy weighting determine distinct safety–utility operating points (H. Liu et al., 2026). Its consequence reasoning and arbitration are realized through LLM reasoning rather than through an explicit probabilistic model. Whether it reports calibration or latency could not be verified from the consulted material.</w:t>
      </w:r>
    </w:p>
    <w:p>
      <w:pPr>
        <w:spacing w:after="120" w:line="360"/>
        <w:jc w:val="both"/>
      </w:pPr>
      <w:r>
        <w:rPr>
          <w:rFonts w:ascii="Times New Roman" w:cs="Times New Roman" w:eastAsia="Times New Roman" w:hAnsi="Times New Roman"/>
          <w:sz w:val="24"/>
          <w:szCs w:val="24"/>
        </w:rPr>
        <w:t xml:space="preserve">These systems establish that integrated runtime mediation, graduated mitigation and stateful reasoning are already present in the literature.</w:t>
      </w:r>
    </w:p>
    <w:p>
      <w:pPr>
        <w:pStyle w:val="Heading2"/>
        <w:keepNext/>
        <w:spacing w:after="120" w:before="240"/>
      </w:pPr>
      <w:r>
        <w:rPr>
          <w:rFonts w:ascii="Times New Roman" w:cs="Times New Roman" w:eastAsia="Times New Roman" w:hAnsi="Times New Roman"/>
          <w:b/>
          <w:bCs/>
          <w:i/>
          <w:iCs/>
          <w:sz w:val="24"/>
          <w:szCs w:val="24"/>
        </w:rPr>
        <w:t xml:space="preserve">2.8.3 AgentTrust: runtime interception with graduated verdicts</w:t>
      </w:r>
    </w:p>
    <w:p>
      <w:pPr>
        <w:spacing w:after="120" w:line="360"/>
        <w:jc w:val="both"/>
      </w:pPr>
      <w:r>
        <w:rPr>
          <w:rFonts w:ascii="Times New Roman" w:cs="Times New Roman" w:eastAsia="Times New Roman" w:hAnsi="Times New Roman"/>
          <w:sz w:val="24"/>
          <w:szCs w:val="24"/>
        </w:rPr>
        <w:t xml:space="preserve">AgentTrust (C. Yang, 2026) is among the closest prior art to REM and is described in detail. The components, verdicts and headline accuracies below are stated in its abstract. The latency figures, the worst-case aggregation over normalized variants, the judge's five dimensions and the session-tracker ablation were confirmed only through retrieved excerpts of the paper, whose full text could not be accessed, and are marked partially verified. It is a runtime safety layer that intercepts agent tool calls </w:t>
      </w:r>
      <w:r>
        <w:rPr>
          <w:rFonts w:ascii="Times New Roman" w:cs="Times New Roman" w:eastAsia="Times New Roman" w:hAnsi="Times New Roman"/>
          <w:i/>
          <w:iCs/>
          <w:sz w:val="24"/>
          <w:szCs w:val="24"/>
        </w:rPr>
        <w:t xml:space="preserve">before execution</w:t>
      </w:r>
      <w:r>
        <w:rPr>
          <w:rFonts w:ascii="Times New Roman" w:cs="Times New Roman" w:eastAsia="Times New Roman" w:hAnsi="Times New Roman"/>
          <w:sz w:val="24"/>
          <w:szCs w:val="24"/>
        </w:rPr>
        <w:t xml:space="preserve"> and returns one of four verdicts: </w:t>
      </w:r>
      <w:r>
        <w:rPr>
          <w:rFonts w:ascii="Times New Roman" w:cs="Times New Roman" w:eastAsia="Times New Roman" w:hAnsi="Times New Roman"/>
          <w:b/>
          <w:bCs/>
          <w:sz w:val="24"/>
          <w:szCs w:val="24"/>
        </w:rPr>
        <w:t xml:space="preserve">allow, warn, block or review</w:t>
      </w:r>
      <w:r>
        <w:rPr>
          <w:rFonts w:ascii="Times New Roman" w:cs="Times New Roman" w:eastAsia="Times New Roman" w:hAnsi="Times New Roman"/>
          <w:sz w:val="24"/>
          <w:szCs w:val="24"/>
        </w:rPr>
        <w:t xml:space="preserve">. Its components are: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normalizer that deobfuscates shell input through nine syntactic strategies;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action analyzer that extracts risk-relevant features with 42 regular-expression patterns;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policy engine with 170 configurable rules;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reporter that produces human-readable explanations;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i/>
          <w:iCs/>
          <w:sz w:val="24"/>
          <w:szCs w:val="24"/>
        </w:rPr>
        <w:t xml:space="preserve">SafeFix</w:t>
      </w:r>
      <w:r>
        <w:rPr>
          <w:rFonts w:ascii="Times New Roman" w:cs="Times New Roman" w:eastAsia="Times New Roman" w:hAnsi="Times New Roman"/>
          <w:sz w:val="24"/>
          <w:szCs w:val="24"/>
        </w:rPr>
        <w:t xml:space="preserve"> engine with 37 rules that propose safer alternatives to dangerous actions;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session tracker (</w:t>
      </w:r>
      <w:r>
        <w:rPr>
          <w:rFonts w:ascii="Times New Roman" w:cs="Times New Roman" w:eastAsia="Times New Roman" w:hAnsi="Times New Roman"/>
          <w:i/>
          <w:iCs/>
          <w:sz w:val="24"/>
          <w:szCs w:val="24"/>
        </w:rPr>
        <w:t xml:space="preserve">RiskChain</w:t>
      </w:r>
      <w:r>
        <w:rPr>
          <w:rFonts w:ascii="Times New Roman" w:cs="Times New Roman" w:eastAsia="Times New Roman" w:hAnsi="Times New Roman"/>
          <w:sz w:val="24"/>
          <w:szCs w:val="24"/>
        </w:rPr>
        <w:t xml:space="preserve">) with seven order-aware detectors for multi-step attack chains;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cache-aware LLM judge for ambiguous inputs, which assesses actions along five risk dimensions: data exposure, system impact, credential risk, scope creep and reversibility.</w:t>
      </w:r>
    </w:p>
    <w:p>
      <w:pPr>
        <w:spacing w:after="120" w:line="360"/>
        <w:jc w:val="both"/>
      </w:pPr>
      <w:r>
        <w:rPr>
          <w:rFonts w:ascii="Times New Roman" w:cs="Times New Roman" w:eastAsia="Times New Roman" w:hAnsi="Times New Roman"/>
          <w:sz w:val="24"/>
          <w:szCs w:val="24"/>
        </w:rPr>
        <w:t xml:space="preserve">The system is exposed as a Model Context Protocol server. On its 300-scenario internal benchmark, a production-only rule set achieved 95.0% verdict accuracy and 73.7% risk-level accuracy at low-millisecond end-to-end latency. On an additional 630 externally constructed adversarial scenarios, the author reported 96.7% verdict accuracy under a </w:t>
      </w:r>
      <w:r>
        <w:rPr>
          <w:rFonts w:ascii="Times New Roman" w:cs="Times New Roman" w:eastAsia="Times New Roman" w:hAnsi="Times New Roman"/>
          <w:i/>
          <w:iCs/>
          <w:sz w:val="24"/>
          <w:szCs w:val="24"/>
        </w:rPr>
        <w:t xml:space="preserve">patched</w:t>
      </w:r>
      <w:r>
        <w:rPr>
          <w:rFonts w:ascii="Times New Roman" w:cs="Times New Roman" w:eastAsia="Times New Roman" w:hAnsi="Times New Roman"/>
          <w:sz w:val="24"/>
          <w:szCs w:val="24"/>
        </w:rPr>
        <w:t xml:space="preserve"> rule set, explicitly not claimed as zero-shot. The author attributes the bulk of performance to the analyzer and the 170 policy rules, and reports an end-to-end latency of about 1.72 ms, against about 1.35 s for a zero-shot LLM-judge baseline. As noted in Section 2.6.5, disabling the session tracker left verdict accuracy unchanged on both benchmarks.</w:t>
      </w:r>
    </w:p>
    <w:p>
      <w:pPr>
        <w:spacing w:after="120" w:line="360"/>
        <w:jc w:val="both"/>
      </w:pPr>
      <w:r>
        <w:rPr>
          <w:rFonts w:ascii="Times New Roman" w:cs="Times New Roman" w:eastAsia="Times New Roman" w:hAnsi="Times New Roman"/>
          <w:sz w:val="24"/>
          <w:szCs w:val="24"/>
        </w:rPr>
        <w:t xml:space="preserve">Measured against REM's design, AgentTrust already provides: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pre-execution interception of each tool call;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four-way graduated verdict set that includes human review;</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mechanism for proposing safer alternatives, which is comparable to a "modify" response;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session-level multi-step detection;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component ablations reporting accuracy, error rates and latency.</w:t>
      </w:r>
    </w:p>
    <w:p>
      <w:pPr>
        <w:spacing w:after="120" w:line="360"/>
        <w:jc w:val="both"/>
      </w:pPr>
      <w:r>
        <w:rPr>
          <w:rFonts w:ascii="Times New Roman" w:cs="Times New Roman" w:eastAsia="Times New Roman" w:hAnsi="Times New Roman"/>
          <w:sz w:val="24"/>
          <w:szCs w:val="24"/>
        </w:rPr>
        <w:t xml:space="preserve">These capabilities cannot be claimed as new by REM. The dimensions on which a defensible distinction can be drawn are narrower, and they are stated as differences rather than improvements: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Evidence-to-verdict mechanism.</w:t>
      </w:r>
      <w:r>
        <w:rPr>
          <w:rFonts w:ascii="Times New Roman" w:cs="Times New Roman" w:eastAsia="Times New Roman" w:hAnsi="Times New Roman"/>
          <w:sz w:val="24"/>
          <w:szCs w:val="24"/>
        </w:rPr>
        <w:t xml:space="preserve"> In AgentTrust, verdicts come from analyzer features and policy rules, with the worst-case verdict taken over the normalized variants of an input and an LLM judge consulted for ambiguous cases. The consulted material does not report a calibrated probability of adversarial induction. (An earlier draft of this chapter described the aggregation as a maximum over fired signals, with step-function confidence. That description could not be confirmed against the primary source and is not relied 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Use of consequence.</w:t>
      </w:r>
      <w:r>
        <w:rPr>
          <w:rFonts w:ascii="Times New Roman" w:cs="Times New Roman" w:eastAsia="Times New Roman" w:hAnsi="Times New Roman"/>
          <w:sz w:val="24"/>
          <w:szCs w:val="24"/>
        </w:rPr>
        <w:t xml:space="preserve"> Reversibility enters AgentTrust as one of the LLM judge's five assessment dimensions. It is not reported as an explicit loss that varies the decision at a fixed probability.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Threat and domain.</w:t>
      </w:r>
      <w:r>
        <w:rPr>
          <w:rFonts w:ascii="Times New Roman" w:cs="Times New Roman" w:eastAsia="Times New Roman" w:hAnsi="Times New Roman"/>
          <w:sz w:val="24"/>
          <w:szCs w:val="24"/>
        </w:rPr>
        <w:t xml:space="preserve"> AgentTrust targets side effects of coding and shell-oriented agents (file operations, shell commands, HTTP requests, credential exposure). It does not report evaluation on indirect injection against a financial tool-using agent.</w:t>
      </w:r>
    </w:p>
    <w:p>
      <w:pPr>
        <w:pStyle w:val="Heading2"/>
        <w:keepNext/>
        <w:spacing w:after="120" w:before="240"/>
      </w:pPr>
      <w:r>
        <w:rPr>
          <w:rFonts w:ascii="Times New Roman" w:cs="Times New Roman" w:eastAsia="Times New Roman" w:hAnsi="Times New Roman"/>
          <w:b/>
          <w:bCs/>
          <w:i/>
          <w:iCs/>
          <w:sz w:val="24"/>
          <w:szCs w:val="24"/>
        </w:rPr>
        <w:t xml:space="preserve">2.8.4 NEXUS: calibrated risk scoring with a four-way intervention set</w:t>
      </w:r>
    </w:p>
    <w:p>
      <w:pPr>
        <w:spacing w:after="120" w:line="360"/>
        <w:jc w:val="both"/>
      </w:pPr>
      <w:r>
        <w:rPr>
          <w:rFonts w:ascii="Times New Roman" w:cs="Times New Roman" w:eastAsia="Times New Roman" w:hAnsi="Times New Roman"/>
          <w:sz w:val="24"/>
          <w:szCs w:val="24"/>
        </w:rPr>
        <w:t xml:space="preserve">NEXUS (Hossain et al., 2026) is the closest prior art to REM's </w:t>
      </w:r>
      <w:r>
        <w:rPr>
          <w:rFonts w:ascii="Times New Roman" w:cs="Times New Roman" w:eastAsia="Times New Roman" w:hAnsi="Times New Roman"/>
          <w:i/>
          <w:iCs/>
          <w:sz w:val="24"/>
          <w:szCs w:val="24"/>
        </w:rPr>
        <w:t xml:space="preserve">decision</w:t>
      </w:r>
      <w:r>
        <w:rPr>
          <w:rFonts w:ascii="Times New Roman" w:cs="Times New Roman" w:eastAsia="Times New Roman" w:hAnsi="Times New Roman"/>
          <w:sz w:val="24"/>
          <w:szCs w:val="24"/>
        </w:rPr>
        <w:t xml:space="preserve"> component. It is a structured-plan safety monitor that evaluates the plan an agent proposes </w:t>
      </w:r>
      <w:r>
        <w:rPr>
          <w:rFonts w:ascii="Times New Roman" w:cs="Times New Roman" w:eastAsia="Times New Roman" w:hAnsi="Times New Roman"/>
          <w:i/>
          <w:iCs/>
          <w:sz w:val="24"/>
          <w:szCs w:val="24"/>
        </w:rPr>
        <w:t xml:space="preserve">before execution</w:t>
      </w:r>
      <w:r>
        <w:rPr>
          <w:rFonts w:ascii="Times New Roman" w:cs="Times New Roman" w:eastAsia="Times New Roman" w:hAnsi="Times New Roman"/>
          <w:sz w:val="24"/>
          <w:szCs w:val="24"/>
        </w:rPr>
        <w:t xml:space="preserve"> and selects among four interventions: </w:t>
      </w:r>
      <w:r>
        <w:rPr>
          <w:rFonts w:ascii="Times New Roman" w:cs="Times New Roman" w:eastAsia="Times New Roman" w:hAnsi="Times New Roman"/>
          <w:b/>
          <w:bCs/>
          <w:sz w:val="24"/>
          <w:szCs w:val="24"/>
        </w:rPr>
        <w:t xml:space="preserve">allow, block, request confirmation, or request revision</w:t>
      </w:r>
      <w:r>
        <w:rPr>
          <w:rFonts w:ascii="Times New Roman" w:cs="Times New Roman" w:eastAsia="Times New Roman" w:hAnsi="Times New Roman"/>
          <w:sz w:val="24"/>
          <w:szCs w:val="24"/>
        </w:rPr>
        <w:t xml:space="preserve">. It has four components: deterministic safety rules, argument-level inspection, a logistic-regression risk score used for graded escalation, and a session manager for cross-turn state. The full text could not be accessed for this review. The abstract-level facts below are verified. The details of the cost values, the cascade, the calibration results and the authors' caveats were confirmed only through retrieved excerpts of the paper and are marked partially verified. The score is calibrated with Platt scaling, and isotonic regression is also evaluated (Section 2.7.2). The authors report the following on a 128-instance held-out synthetic benchmark: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an F1 score of 0.949 and a four-class intervention accuracy of 0.6406, outperforming rule-only intervention selection by 27.3 percentage points;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92% of GPT-4o's binary F1 and 78% of its intervention accuracy, while running about 4,800 times faster;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median decision latency of 0.205 ms.</w:t>
      </w:r>
    </w:p>
    <w:p>
      <w:pPr>
        <w:spacing w:after="120" w:line="360"/>
        <w:jc w:val="both"/>
      </w:pPr>
      <w:r>
        <w:rPr>
          <w:rFonts w:ascii="Times New Roman" w:cs="Times New Roman" w:eastAsia="Times New Roman" w:hAnsi="Times New Roman"/>
          <w:sz w:val="24"/>
          <w:szCs w:val="24"/>
        </w:rPr>
        <w:t xml:space="preserve">Three features of NEXUS must be represented precisely.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Objective versus deployed policy.</w:t>
      </w:r>
      <w:r>
        <w:rPr>
          <w:rFonts w:ascii="Times New Roman" w:cs="Times New Roman" w:eastAsia="Times New Roman" w:hAnsi="Times New Roman"/>
          <w:sz w:val="24"/>
          <w:szCs w:val="24"/>
        </w:rPr>
        <w:t xml:space="preserve"> The paper defines an expected-loss objective with fixed intervention costs, reported as 0 for allow, 0.1 for revise, 0.3 for confirm and 1 for block, and uses it to set loss-optimal thresholds on the calibrated score. The deployed policy is a top-down cascade. Deterministic rules and the argument inspector are evaluated first. Multiple critical violations always produce a block. With exactly one critical violation, the calibrated score decides between block and confirmation. Otherwise, threshold crossings on the score route plans to confirmation. The authors note that when no rule fires, the policy has no medium-severity signal for REVISE, so the scorer can only push borderline cases to CONFIRM.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Evaluation caveat.</w:t>
      </w:r>
      <w:r>
        <w:rPr>
          <w:rFonts w:ascii="Times New Roman" w:cs="Times New Roman" w:eastAsia="Times New Roman" w:hAnsi="Times New Roman"/>
          <w:sz w:val="24"/>
          <w:szCs w:val="24"/>
        </w:rPr>
        <w:t xml:space="preserve"> The authors state that several evaluations use author-generated templates, so in-distribution results should be viewed as upper bounds rather than deployment estimates. They report out-of-distribution F1 of 0.861 on R-Judge and 0.881 on a stress set, and leave evaluation on organic agent traces to future work.</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Consequence information.</w:t>
      </w:r>
      <w:r>
        <w:rPr>
          <w:rFonts w:ascii="Times New Roman" w:cs="Times New Roman" w:eastAsia="Times New Roman" w:hAnsi="Times New Roman"/>
          <w:sz w:val="24"/>
          <w:szCs w:val="24"/>
        </w:rPr>
        <w:t xml:space="preserve"> NEXUS's structured plan records, for each tool call, a side-effect category, an irreversibility flag, a sensitivity flag, required permissions and an estimated cost. Its nine deterministic rules cover, among other things, irreversible actions, sensitive access and budget limits. Consequence therefore enters through the plan representation and the rules. The reported intervention costs, by contrast, are constants per intervention; they do not vary with the consequence of the particular action.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Plan level.</w:t>
      </w:r>
      <w:r>
        <w:rPr>
          <w:rFonts w:ascii="Times New Roman" w:cs="Times New Roman" w:eastAsia="Times New Roman" w:hAnsi="Times New Roman"/>
          <w:sz w:val="24"/>
          <w:szCs w:val="24"/>
        </w:rPr>
        <w:t xml:space="preserve"> NEXUS evaluates a proposed plan, not each tool call as it is released during an executing trajectory. Its evaluation is on synthetic instances, not on an executable benchmark under indirect injection.</w:t>
      </w:r>
    </w:p>
    <w:p>
      <w:pPr>
        <w:spacing w:after="120" w:line="360"/>
        <w:jc w:val="both"/>
      </w:pPr>
      <w:r>
        <w:rPr>
          <w:rFonts w:ascii="Times New Roman" w:cs="Times New Roman" w:eastAsia="Times New Roman" w:hAnsi="Times New Roman"/>
          <w:sz w:val="24"/>
          <w:szCs w:val="24"/>
        </w:rPr>
        <w:t xml:space="preserve">Measured against REM's design, NEXUS already provides calibrated logistic risk scoring, a four-way intervention set that includes a human-confirmation route and a revision route, consequence information in its plan representation and rules, an expected-loss formulation with loss-optimal thresholds, and sub-millisecond latency. REM cannot claim any of these. The defensible differences are: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point of evaluation</w:t>
      </w:r>
      <w:r>
        <w:rPr>
          <w:rFonts w:ascii="Times New Roman" w:cs="Times New Roman" w:eastAsia="Times New Roman" w:hAnsi="Times New Roman"/>
          <w:sz w:val="24"/>
          <w:szCs w:val="24"/>
        </w:rPr>
        <w:t xml:space="preserve">: each proposed tool call at the action boundary of an executing agent, rather than a pre-execution plan;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threat model and setting</w:t>
      </w:r>
      <w:r>
        <w:rPr>
          <w:rFonts w:ascii="Times New Roman" w:cs="Times New Roman" w:eastAsia="Times New Roman" w:hAnsi="Times New Roman"/>
          <w:sz w:val="24"/>
          <w:szCs w:val="24"/>
        </w:rPr>
        <w:t xml:space="preserve">: indirect prompt injection in an executable banking environment, rather than synthetic plan templates;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decision rule</w:t>
      </w:r>
      <w:r>
        <w:rPr>
          <w:rFonts w:ascii="Times New Roman" w:cs="Times New Roman" w:eastAsia="Times New Roman" w:hAnsi="Times New Roman"/>
          <w:sz w:val="24"/>
          <w:szCs w:val="24"/>
        </w:rPr>
        <w:t xml:space="preserve">: per-step minimization of expected loss with losses indexed by the declared consequence tier of each action, rather than fixed intervention costs used to set score thresholds inside a rule-first cascade. Whether this difference produces different behavior is an empirical question, not a presumption.</w:t>
      </w:r>
    </w:p>
    <w:p>
      <w:pPr>
        <w:pStyle w:val="Heading2"/>
        <w:keepNext/>
        <w:spacing w:after="120" w:before="240"/>
      </w:pPr>
      <w:r>
        <w:rPr>
          <w:rFonts w:ascii="Times New Roman" w:cs="Times New Roman" w:eastAsia="Times New Roman" w:hAnsi="Times New Roman"/>
          <w:b/>
          <w:bCs/>
          <w:i/>
          <w:iCs/>
          <w:sz w:val="24"/>
          <w:szCs w:val="24"/>
        </w:rPr>
        <w:t xml:space="preserve">2.8.5 Governance-to-enforcement: Jackson (2025)</w:t>
      </w:r>
    </w:p>
    <w:p>
      <w:pPr>
        <w:spacing w:after="120" w:line="360"/>
        <w:jc w:val="both"/>
      </w:pPr>
      <w:r>
        <w:rPr>
          <w:rFonts w:ascii="Times New Roman" w:cs="Times New Roman" w:eastAsia="Times New Roman" w:hAnsi="Times New Roman"/>
          <w:sz w:val="24"/>
          <w:szCs w:val="24"/>
        </w:rPr>
        <w:t xml:space="preserve">A working paper by Jackson (2025) proposes a policy engine for agentic AI that maps governance requirements to runtime enforcement. According to its abstract, it classifies agent behavior into inference, tool usage, data access and external actuation. It computes a multi-dimensional risk score aligned with the NIST AI Risk Management Framework, and it uses a deterministic enforcement state machine that issues </w:t>
      </w:r>
      <w:r>
        <w:rPr>
          <w:rFonts w:ascii="Times New Roman" w:cs="Times New Roman" w:eastAsia="Times New Roman" w:hAnsi="Times New Roman"/>
          <w:b/>
          <w:bCs/>
          <w:sz w:val="24"/>
          <w:szCs w:val="24"/>
        </w:rPr>
        <w:t xml:space="preserve">allow, deny, sanitize or escalate</w:t>
      </w:r>
      <w:r>
        <w:rPr>
          <w:rFonts w:ascii="Times New Roman" w:cs="Times New Roman" w:eastAsia="Times New Roman" w:hAnsi="Times New Roman"/>
          <w:sz w:val="24"/>
          <w:szCs w:val="24"/>
        </w:rPr>
        <w:t xml:space="preserve"> decisions with auditable safety and liveness properties. The paper reports reductions in unsafe actions with minimal latency overhead. It is not peer reviewed, and its full text could not be accessed during the final verification pass. It is nevertheless recorded as prior art, because its decision set corresponds closely to REM's Allow, Block, Modify and Escalate. No claim about its calibration, attribution or ablation is made here, because none could be verified.</w:t>
      </w:r>
    </w:p>
    <w:p>
      <w:pPr>
        <w:pStyle w:val="Heading2"/>
        <w:keepNext/>
        <w:spacing w:after="120" w:before="240"/>
      </w:pPr>
      <w:r>
        <w:rPr>
          <w:rFonts w:ascii="Times New Roman" w:cs="Times New Roman" w:eastAsia="Times New Roman" w:hAnsi="Times New Roman"/>
          <w:b/>
          <w:bCs/>
          <w:i/>
          <w:iCs/>
          <w:sz w:val="24"/>
          <w:szCs w:val="24"/>
        </w:rPr>
        <w:t xml:space="preserve">2.8.6 Consequence-aware control of actions</w:t>
      </w:r>
    </w:p>
    <w:p>
      <w:pPr>
        <w:spacing w:after="120" w:line="360"/>
        <w:jc w:val="both"/>
      </w:pPr>
      <w:r>
        <w:rPr>
          <w:rFonts w:ascii="Times New Roman" w:cs="Times New Roman" w:eastAsia="Times New Roman" w:hAnsi="Times New Roman"/>
          <w:sz w:val="24"/>
          <w:szCs w:val="24"/>
        </w:rPr>
        <w:t xml:space="preserve">Two lines of work make the consequence of an action central to the decision. H.-H. Chen (2026) proposes an Actuarial Action Interface: a deterministic runtime contract that prices each side-effect-bearing action, such as a database mutation, refund or payment, against a safe default under a time-consistent risk mapping, and gates execution against a reserve capital budget. An "Authority Frontier" measures how much autonomous authority the runtime releases at each level of reserve capital. This establishes that pricing the consequence of an agent action </w:t>
      </w:r>
      <w:r>
        <w:rPr>
          <w:rFonts w:ascii="Times New Roman" w:cs="Times New Roman" w:eastAsia="Times New Roman" w:hAnsi="Times New Roman"/>
          <w:i/>
          <w:iCs/>
          <w:sz w:val="24"/>
          <w:szCs w:val="24"/>
        </w:rPr>
        <w:t xml:space="preserve">before execution</w:t>
      </w:r>
      <w:r>
        <w:rPr>
          <w:rFonts w:ascii="Times New Roman" w:cs="Times New Roman" w:eastAsia="Times New Roman" w:hAnsi="Times New Roman"/>
          <w:sz w:val="24"/>
          <w:szCs w:val="24"/>
        </w:rPr>
        <w:t xml:space="preserve"> is not new. What the work does not model is an estimated probability that a specific action was induced by an adversary. It prices the consequence of an action irrespective of how the action arose. SafeAgent's consequence-modeling operator (H. Liu et al., 2026) and the irreversibility annotations and rules of NEXUS (Hossain et al., 2026) are further instances of consequence-aware control, realized by LLM reasoning and by plan annotations and deterministic rules respectively.</w:t>
      </w:r>
    </w:p>
    <w:p>
      <w:pPr>
        <w:pStyle w:val="Heading2"/>
        <w:keepNext/>
        <w:spacing w:after="120" w:before="240"/>
      </w:pPr>
      <w:r>
        <w:rPr>
          <w:rFonts w:ascii="Times New Roman" w:cs="Times New Roman" w:eastAsia="Times New Roman" w:hAnsi="Times New Roman"/>
          <w:b/>
          <w:bCs/>
          <w:i/>
          <w:iCs/>
          <w:sz w:val="24"/>
          <w:szCs w:val="24"/>
        </w:rPr>
        <w:t xml:space="preserve">2.8.7 Transactional mitigation</w:t>
      </w:r>
    </w:p>
    <w:p>
      <w:pPr>
        <w:spacing w:after="120" w:line="360"/>
        <w:jc w:val="both"/>
      </w:pPr>
      <w:r>
        <w:rPr>
          <w:rFonts w:ascii="Times New Roman" w:cs="Times New Roman" w:eastAsia="Times New Roman" w:hAnsi="Times New Roman"/>
          <w:sz w:val="24"/>
          <w:szCs w:val="24"/>
        </w:rPr>
        <w:t xml:space="preserve">Mitigation need not be limited to allowing or blocking. Cordon provides a transactional runtime in which tool intents and result lineage are bound to reversible local state. Reversible mutations execute in shadow state, and outward-facing actions are staged in an effect outbox before commitment. Its authors report that it exposes cross-step violations missed by existing defenses and reduces irreversible-effect failures while preserving benign task completion (Z. Chen et al., 2026). Such a substrate </w:t>
      </w:r>
      <w:r>
        <w:rPr>
          <w:rFonts w:ascii="Times New Roman" w:cs="Times New Roman" w:eastAsia="Times New Roman" w:hAnsi="Times New Roman"/>
          <w:i/>
          <w:iCs/>
          <w:sz w:val="24"/>
          <w:szCs w:val="24"/>
        </w:rPr>
        <w:t xml:space="preserve">consumes</w:t>
      </w:r>
      <w:r>
        <w:rPr>
          <w:rFonts w:ascii="Times New Roman" w:cs="Times New Roman" w:eastAsia="Times New Roman" w:hAnsi="Times New Roman"/>
          <w:sz w:val="24"/>
          <w:szCs w:val="24"/>
        </w:rPr>
        <w:t xml:space="preserve"> a decision rather than producing one. It is therefore complementary to a risk-based decision layer, for which it could supply the mechanics of a "hold" or "stage" response.</w:t>
      </w: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Across the reviewed mitigation literature, graduated responses are common. Human review appears in several systems (Progent, AgentTrust, NEXUS, SafeAgent, Jackson), action modification appears in several forms, and transactional staging is available. The systems differ mainly in </w:t>
      </w:r>
      <w:r>
        <w:rPr>
          <w:rFonts w:ascii="Times New Roman" w:cs="Times New Roman" w:eastAsia="Times New Roman" w:hAnsi="Times New Roman"/>
          <w:b/>
          <w:bCs/>
          <w:sz w:val="24"/>
          <w:szCs w:val="24"/>
        </w:rPr>
        <w:t xml:space="preserve">how evidence becomes a decision</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capability or privilege policy (CaMeL; Progent);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rule verdicts with severity aggregation (AgentTrust);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thresholds on a predicted probability of reaching unsafe states (ProbGuard);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a calibrated fusion of learned scores (DreamGuard);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a rule cascade gated by a calibrated score (NEXUS);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routing verification between LLM judges (FinHarness);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LLM-based arbitration (SafeAgent);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deterministic pricing of consequences (H.-H. Chen);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by action-conditioned estimates of intervention value (C. Zhang et al., 2026).</w:t>
      </w:r>
    </w:p>
    <w:p>
      <w:pPr>
        <w:spacing w:after="120" w:line="360"/>
        <w:jc w:val="both"/>
      </w:pPr>
      <w:r>
        <w:rPr>
          <w:rFonts w:ascii="Times New Roman" w:cs="Times New Roman" w:eastAsia="Times New Roman" w:hAnsi="Times New Roman"/>
          <w:sz w:val="24"/>
          <w:szCs w:val="24"/>
        </w:rPr>
        <w:t xml:space="preserve">Two questions remain comparatively open. The first is how an estimated probability of adversarial induction and a declared consequence should be </w:t>
      </w:r>
      <w:r>
        <w:rPr>
          <w:rFonts w:ascii="Times New Roman" w:cs="Times New Roman" w:eastAsia="Times New Roman" w:hAnsi="Times New Roman"/>
          <w:i/>
          <w:iCs/>
          <w:sz w:val="24"/>
          <w:szCs w:val="24"/>
        </w:rPr>
        <w:t xml:space="preserve">combined</w:t>
      </w:r>
      <w:r>
        <w:rPr>
          <w:rFonts w:ascii="Times New Roman" w:cs="Times New Roman" w:eastAsia="Times New Roman" w:hAnsi="Times New Roman"/>
          <w:sz w:val="24"/>
          <w:szCs w:val="24"/>
        </w:rPr>
        <w:t xml:space="preserve"> when choosing among graduated responses at the action boundary. The second is how effective each response actually is once chosen, which is the question C. Zhang et al. (2026) show that risk estimates alone cannot answer.</w:t>
      </w:r>
    </w:p>
    <w:p>
      <w:pPr>
        <w:pStyle w:val="Heading1"/>
        <w:keepNext/>
        <w:spacing w:after="120" w:before="360"/>
      </w:pPr>
      <w:r>
        <w:rPr>
          <w:rFonts w:ascii="Times New Roman" w:cs="Times New Roman" w:eastAsia="Times New Roman" w:hAnsi="Times New Roman"/>
          <w:b/>
          <w:bCs/>
          <w:i w:val="false"/>
          <w:iCs w:val="false"/>
          <w:sz w:val="28"/>
          <w:szCs w:val="28"/>
        </w:rPr>
        <w:t xml:space="preserve">2.9 Financial AI-Agent Security</w:t>
      </w:r>
    </w:p>
    <w:p>
      <w:pPr>
        <w:pStyle w:val="Heading2"/>
        <w:keepNext/>
        <w:spacing w:after="120" w:before="240"/>
      </w:pPr>
      <w:r>
        <w:rPr>
          <w:rFonts w:ascii="Times New Roman" w:cs="Times New Roman" w:eastAsia="Times New Roman" w:hAnsi="Times New Roman"/>
          <w:b/>
          <w:bCs/>
          <w:i/>
          <w:iCs/>
          <w:sz w:val="24"/>
          <w:szCs w:val="24"/>
        </w:rPr>
        <w:t xml:space="preserve">2.9.1 Why financial execution raises the stakes</w:t>
      </w:r>
    </w:p>
    <w:p>
      <w:pPr>
        <w:spacing w:after="120" w:line="360"/>
        <w:jc w:val="both"/>
      </w:pPr>
      <w:r>
        <w:rPr>
          <w:rFonts w:ascii="Times New Roman" w:cs="Times New Roman" w:eastAsia="Times New Roman" w:hAnsi="Times New Roman"/>
          <w:sz w:val="24"/>
          <w:szCs w:val="24"/>
        </w:rPr>
        <w:t xml:space="preserve">A financial tool-using agent turns a successful manipulation into a financial event. Its tools can initiate transfers, schedule or modify recurring payments, change payees or account settings, and read customer data. A systematization of knowledge on autonomous LLM agents in commerce and finance (Mao et al., 2026, preprint) organizes the resulting threats along five dimensions: agent integrity, transaction authorization, inter-agent trust, market manipulation and regulatory compliance. From a curated corpus of academic papers, protocol documents, industry reports and incident evidence, its authors derive twelve cross-layer attack vectors. They show how failures propagate from the reasoning and tooling layers into custody, settlement, market harm and compliance exposure. Their analysis is a systematization, not an empirical evaluation of a defense. Its relevance here is that it places </w:t>
      </w:r>
      <w:r>
        <w:rPr>
          <w:rFonts w:ascii="Times New Roman" w:cs="Times New Roman" w:eastAsia="Times New Roman" w:hAnsi="Times New Roman"/>
          <w:i/>
          <w:iCs/>
          <w:sz w:val="24"/>
          <w:szCs w:val="24"/>
        </w:rPr>
        <w:t xml:space="preserve">transaction authorization</w:t>
      </w:r>
      <w:r>
        <w:rPr>
          <w:rFonts w:ascii="Times New Roman" w:cs="Times New Roman" w:eastAsia="Times New Roman" w:hAnsi="Times New Roman"/>
          <w:sz w:val="24"/>
          <w:szCs w:val="24"/>
        </w:rPr>
        <w:t xml:space="preserve">, the question of whether a proposed payment action is sanctioned by its principal, at the center of the financial-agent threat model.</w:t>
      </w:r>
    </w:p>
    <w:p>
      <w:pPr>
        <w:spacing w:after="120" w:line="360"/>
        <w:jc w:val="both"/>
      </w:pPr>
      <w:r>
        <w:rPr>
          <w:rFonts w:ascii="Times New Roman" w:cs="Times New Roman" w:eastAsia="Times New Roman" w:hAnsi="Times New Roman"/>
          <w:sz w:val="24"/>
          <w:szCs w:val="24"/>
        </w:rPr>
        <w:t xml:space="preserve">Three properties of financial execution elevate the requirements on a runtime layer; the first two are established in the reviewed sources, and the third is this chapter's inference from them.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Irreversibility.</w:t>
      </w:r>
      <w:r>
        <w:rPr>
          <w:rFonts w:ascii="Times New Roman" w:cs="Times New Roman" w:eastAsia="Times New Roman" w:hAnsi="Times New Roman"/>
          <w:sz w:val="24"/>
          <w:szCs w:val="24"/>
        </w:rPr>
        <w:t xml:space="preserve"> Some financial actions cannot be recalled by the system that issued them. Several reviewed systems encode this property: in consequence pricing (H.-H. Chen, 2026), as an irreversibility flag checked by deterministic rules (Hossain et al., 2026), and as transactional staging (Z. Chen et al., 2026).</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Attacker-supplied arguments.</w:t>
      </w:r>
      <w:r>
        <w:rPr>
          <w:rFonts w:ascii="Times New Roman" w:cs="Times New Roman" w:eastAsia="Times New Roman" w:hAnsi="Times New Roman"/>
          <w:sz w:val="24"/>
          <w:szCs w:val="24"/>
        </w:rPr>
        <w:t xml:space="preserve"> Under indirect injection the decisive values, such as a recipient account or an amount, can be planted in the content the agent reads. This makes the provenance of arguments especially informative (Section 2.6.2).</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Heterogeneous consequences.</w:t>
      </w:r>
      <w:r>
        <w:rPr>
          <w:rFonts w:ascii="Times New Roman" w:cs="Times New Roman" w:eastAsia="Times New Roman" w:hAnsi="Times New Roman"/>
          <w:sz w:val="24"/>
          <w:szCs w:val="24"/>
        </w:rPr>
        <w:t xml:space="preserve"> Actions of the same </w:t>
      </w:r>
      <w:r>
        <w:rPr>
          <w:rFonts w:ascii="Times New Roman" w:cs="Times New Roman" w:eastAsia="Times New Roman" w:hAnsi="Times New Roman"/>
          <w:i/>
          <w:iCs/>
          <w:sz w:val="24"/>
          <w:szCs w:val="24"/>
        </w:rPr>
        <w:t xml:space="preserve">type</w:t>
      </w:r>
      <w:r>
        <w:rPr>
          <w:rFonts w:ascii="Times New Roman" w:cs="Times New Roman" w:eastAsia="Times New Roman" w:hAnsi="Times New Roman"/>
          <w:sz w:val="24"/>
          <w:szCs w:val="24"/>
        </w:rPr>
        <w:t xml:space="preserve"> can have very different consequences. Reading a balance and transferring funds may both be permitted, but they differ sharply in the harm an induced call could cause. It follows that the same estimated probability of adversarial induction need not warrant the same response for every action.</w:t>
      </w:r>
    </w:p>
    <w:p>
      <w:pPr>
        <w:pStyle w:val="Heading2"/>
        <w:keepNext/>
        <w:spacing w:after="120" w:before="240"/>
      </w:pPr>
      <w:r>
        <w:rPr>
          <w:rFonts w:ascii="Times New Roman" w:cs="Times New Roman" w:eastAsia="Times New Roman" w:hAnsi="Times New Roman"/>
          <w:b/>
          <w:bCs/>
          <w:i/>
          <w:iCs/>
          <w:sz w:val="24"/>
          <w:szCs w:val="24"/>
        </w:rPr>
        <w:t xml:space="preserve">2.9.2 Evidence on financial-agent security</w:t>
      </w:r>
    </w:p>
    <w:p>
      <w:pPr>
        <w:spacing w:after="120" w:line="360"/>
        <w:jc w:val="both"/>
      </w:pPr>
      <w:r>
        <w:rPr>
          <w:rFonts w:ascii="Times New Roman" w:cs="Times New Roman" w:eastAsia="Times New Roman" w:hAnsi="Times New Roman"/>
          <w:sz w:val="24"/>
          <w:szCs w:val="24"/>
        </w:rPr>
        <w:t xml:space="preserve">The finance-specific evidence base is small. Z. Chen, J. Chen, et al. (2025, preprint) argue that conventional evaluation of financial LLM agents, based on accuracy and return metrics, gives an illusion of reliability while overlooking vulnerabilities such as hallucinated facts, stale data and adversarial prompt manipulation. They propose a three-level agenda for stress-testing agents at the model, workflow and system levels, illustrated by an audit of six agents on three high-impact tasks. ASB includes a finance scenario among its ten (H. Zhang et al., 2025), and AgentDojo includes a Banking environment (Debenedetti et al., 2024). In both benchmarks, however, finance is one domain within a general evaluation rather than the object of analysis.</w:t>
      </w:r>
    </w:p>
    <w:p>
      <w:pPr>
        <w:spacing w:after="120" w:line="360"/>
        <w:jc w:val="both"/>
      </w:pPr>
      <w:r>
        <w:rPr>
          <w:rFonts w:ascii="Times New Roman" w:cs="Times New Roman" w:eastAsia="Times New Roman" w:hAnsi="Times New Roman"/>
          <w:sz w:val="24"/>
          <w:szCs w:val="24"/>
        </w:rPr>
        <w:t xml:space="preserve">FinHarness (H. Jia et al., 2026, preprint) is the closest domain-specific runtime system. It wraps a finance agent end-to-end with three components: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i/>
          <w:iCs/>
          <w:sz w:val="24"/>
          <w:szCs w:val="24"/>
        </w:rPr>
        <w:t xml:space="preserve">query monitor</w:t>
      </w:r>
      <w:r>
        <w:rPr>
          <w:rFonts w:ascii="Times New Roman" w:cs="Times New Roman" w:eastAsia="Times New Roman" w:hAnsi="Times New Roman"/>
          <w:sz w:val="24"/>
          <w:szCs w:val="24"/>
        </w:rPr>
        <w:t xml:space="preserve"> that fuses single-turn intent with cross-turn drift;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i/>
          <w:iCs/>
          <w:sz w:val="24"/>
          <w:szCs w:val="24"/>
        </w:rPr>
        <w:t xml:space="preserve">tool monitor</w:t>
      </w:r>
      <w:r>
        <w:rPr>
          <w:rFonts w:ascii="Times New Roman" w:cs="Times New Roman" w:eastAsia="Times New Roman" w:hAnsi="Times New Roman"/>
          <w:sz w:val="24"/>
          <w:szCs w:val="24"/>
        </w:rPr>
        <w:t xml:space="preserve"> that evaluates each prospective tool call;</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i/>
          <w:iCs/>
          <w:sz w:val="24"/>
          <w:szCs w:val="24"/>
        </w:rPr>
        <w:t xml:space="preserve">cascade</w:t>
      </w:r>
      <w:r>
        <w:rPr>
          <w:rFonts w:ascii="Times New Roman" w:cs="Times New Roman" w:eastAsia="Times New Roman" w:hAnsi="Times New Roman"/>
          <w:sz w:val="24"/>
          <w:szCs w:val="24"/>
        </w:rPr>
        <w:t xml:space="preserve"> that integrates per-step risk and routes verification between a lightweight and an advanced LLM judge.</w:t>
      </w:r>
    </w:p>
    <w:p>
      <w:pPr>
        <w:spacing w:after="120" w:line="360"/>
        <w:jc w:val="both"/>
      </w:pPr>
      <w:r>
        <w:rPr>
          <w:rFonts w:ascii="Times New Roman" w:cs="Times New Roman" w:eastAsia="Times New Roman" w:hAnsi="Times New Roman"/>
          <w:sz w:val="24"/>
          <w:szCs w:val="24"/>
        </w:rPr>
        <w:t xml:space="preserve">Its authors motivate the design by two observations: boundary filters miss irreversible mid-trajectory tool calls, and post-hoc judges act only after termination. They report that the routed configuration reduced attack success from 38.3% to 15.0% while largely preserving benign approval (41.1% to 39.3%), with 4.7 times fewer calls to the advanced judge. These results were obtained on FinVault (Z. Yang et al., 2026). FinVault was introduced as an execution-grounded financial-agent security benchmark, but its arXiv version has since been </w:t>
      </w:r>
      <w:r>
        <w:rPr>
          <w:rFonts w:ascii="Times New Roman" w:cs="Times New Roman" w:eastAsia="Times New Roman" w:hAnsi="Times New Roman"/>
          <w:b/>
          <w:bCs/>
          <w:sz w:val="24"/>
          <w:szCs w:val="24"/>
        </w:rPr>
        <w:t xml:space="preserve">withdrawn</w:t>
      </w:r>
      <w:r>
        <w:rPr>
          <w:rFonts w:ascii="Times New Roman" w:cs="Times New Roman" w:eastAsia="Times New Roman" w:hAnsi="Times New Roman"/>
          <w:sz w:val="24"/>
          <w:szCs w:val="24"/>
        </w:rPr>
        <w:t xml:space="preserve"> by its authors, who cited legal, intellectual-property and affiliation concerns. FinVault is therefore cited here only as a withdrawn preprint. Its results are not used as evidence in this thesis, and FinHarness's reported figures should be read with that dependency in mind.</w:t>
      </w:r>
    </w:p>
    <w:p>
      <w:pPr>
        <w:pStyle w:val="Heading2"/>
        <w:keepNext/>
        <w:spacing w:after="120" w:before="240"/>
      </w:pPr>
      <w:r>
        <w:rPr>
          <w:rFonts w:ascii="Times New Roman" w:cs="Times New Roman" w:eastAsia="Times New Roman" w:hAnsi="Times New Roman"/>
          <w:b/>
          <w:bCs/>
          <w:i/>
          <w:iCs/>
          <w:sz w:val="24"/>
          <w:szCs w:val="24"/>
        </w:rPr>
        <w:t xml:space="preserve">2.9.3 Regulatory requirements for record-keeping and oversight</w:t>
      </w:r>
    </w:p>
    <w:p>
      <w:pPr>
        <w:spacing w:after="120" w:line="360"/>
        <w:jc w:val="both"/>
      </w:pPr>
      <w:r>
        <w:rPr>
          <w:rFonts w:ascii="Times New Roman" w:cs="Times New Roman" w:eastAsia="Times New Roman" w:hAnsi="Times New Roman"/>
          <w:sz w:val="24"/>
          <w:szCs w:val="24"/>
        </w:rPr>
        <w:t xml:space="preserve">Regulation adds requirements that bear directly on runtime design. Regulation (EU) 2024/1689 requires that high-risk AI systems technically allow the automatic recording of events over their lifetime (Article 12). It also requires that such systems can be effectively overseen by natural persons, including the ability to intervene in or interrupt the system through a "stop" button or similar procedure that brings it to a halt in a safe state (Article 14) (European Parliament &amp; Council of the European Union, 2024). Whether a given financial agent falls into a high-risk category depends on its use and is not assessed in this thesis. The provisions are used only as motivation for two design properties: an audit record for every decision, and an explicit route to human review.</w:t>
      </w:r>
    </w:p>
    <w:p>
      <w:pPr>
        <w:pStyle w:val="Heading2"/>
        <w:keepNext/>
        <w:spacing w:after="120" w:before="240"/>
      </w:pPr>
      <w:r>
        <w:rPr>
          <w:rFonts w:ascii="Times New Roman" w:cs="Times New Roman" w:eastAsia="Times New Roman" w:hAnsi="Times New Roman"/>
          <w:b/>
          <w:bCs/>
          <w:i/>
          <w:iCs/>
          <w:sz w:val="24"/>
          <w:szCs w:val="24"/>
        </w:rPr>
        <w:t xml:space="preserve">2.9.4 Requirements for a runtime layer protecting a financial agent</w:t>
      </w:r>
    </w:p>
    <w:p>
      <w:pPr>
        <w:spacing w:after="120" w:line="360"/>
        <w:jc w:val="both"/>
      </w:pPr>
      <w:r>
        <w:rPr>
          <w:rFonts w:ascii="Times New Roman" w:cs="Times New Roman" w:eastAsia="Times New Roman" w:hAnsi="Times New Roman"/>
          <w:sz w:val="24"/>
          <w:szCs w:val="24"/>
        </w:rPr>
        <w:t xml:space="preserve">From Sections 2.3 to 2.9, six requirements can be stated for a runtime layer that protects a financial tool-using agent. Each is traceable to the literature above.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R1. Pre-execution mediation.</w:t>
      </w:r>
      <w:r>
        <w:rPr>
          <w:rFonts w:ascii="Times New Roman" w:cs="Times New Roman" w:eastAsia="Times New Roman" w:hAnsi="Times New Roman"/>
          <w:sz w:val="24"/>
          <w:szCs w:val="24"/>
        </w:rPr>
        <w:t xml:space="preserve"> Proposed actions are mediated before they are released to the environment (Sections 2.3, 2.5, 2.8).</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R2. Provenance evidence.</w:t>
      </w:r>
      <w:r>
        <w:rPr>
          <w:rFonts w:ascii="Times New Roman" w:cs="Times New Roman" w:eastAsia="Times New Roman" w:hAnsi="Times New Roman"/>
          <w:sz w:val="24"/>
          <w:szCs w:val="24"/>
        </w:rPr>
        <w:t xml:space="preserve"> The decision uses evidence about whether an action's arguments originate in untrusted content (Sections 2.3.2, 2.6.2).</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R3. Consequence-differentiated responses.</w:t>
      </w:r>
      <w:r>
        <w:rPr>
          <w:rFonts w:ascii="Times New Roman" w:cs="Times New Roman" w:eastAsia="Times New Roman" w:hAnsi="Times New Roman"/>
          <w:sz w:val="24"/>
          <w:szCs w:val="24"/>
        </w:rPr>
        <w:t xml:space="preserve"> Actions with different consequences can receive different responses at the same estimated probability (Sections 2.7.5, 2.8.6, 2.9.1).</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R4. Human review.</w:t>
      </w:r>
      <w:r>
        <w:rPr>
          <w:rFonts w:ascii="Times New Roman" w:cs="Times New Roman" w:eastAsia="Times New Roman" w:hAnsi="Times New Roman"/>
          <w:sz w:val="24"/>
          <w:szCs w:val="24"/>
        </w:rPr>
        <w:t xml:space="preserve"> Human review is available as a response (Sections 2.7.5, 2.8, 2.9.3).</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R5. Audit record.</w:t>
      </w:r>
      <w:r>
        <w:rPr>
          <w:rFonts w:ascii="Times New Roman" w:cs="Times New Roman" w:eastAsia="Times New Roman" w:hAnsi="Times New Roman"/>
          <w:sz w:val="24"/>
          <w:szCs w:val="24"/>
        </w:rPr>
        <w:t xml:space="preserve"> Every decision produces a record of the evidence and quantities behind it (Sections 2.7.6, 2.9.3).</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R6. Joint measurement of security and utility.</w:t>
      </w:r>
      <w:r>
        <w:rPr>
          <w:rFonts w:ascii="Times New Roman" w:cs="Times New Roman" w:eastAsia="Times New Roman" w:hAnsi="Times New Roman"/>
          <w:sz w:val="24"/>
          <w:szCs w:val="24"/>
        </w:rPr>
        <w:t xml:space="preserve"> Security is measured together with benign task utility, latency and calibration, so that a defense cannot appear effective merely by blocking legitimate work (Sections 2.4, 2.6.3, 2.7.3).</w:t>
      </w:r>
    </w:p>
    <w:p>
      <w:pPr>
        <w:spacing w:after="120" w:line="360"/>
        <w:jc w:val="both"/>
      </w:pPr>
      <w:r>
        <w:rPr>
          <w:rFonts w:ascii="Times New Roman" w:cs="Times New Roman" w:eastAsia="Times New Roman" w:hAnsi="Times New Roman"/>
          <w:b/>
          <w:bCs/>
          <w:sz w:val="24"/>
          <w:szCs w:val="24"/>
        </w:rPr>
        <w:t xml:space="preserve">Synthesis.</w:t>
      </w:r>
      <w:r>
        <w:rPr>
          <w:rFonts w:ascii="Times New Roman" w:cs="Times New Roman" w:eastAsia="Times New Roman" w:hAnsi="Times New Roman"/>
          <w:sz w:val="24"/>
          <w:szCs w:val="24"/>
        </w:rPr>
        <w:t xml:space="preserve"> Financial-agent runtime safety is not an unaddressed domain. FinHarness addresses it directly, consequence pricing has been proposed by H.-H. Chen (2026), and the commerce SoK systematizes the threat landscape. The verified evidence base is nevertheless small, preprint-dominated, and in one important case withdrawn. General-purpose benchmarks contain financial environments but are rarely analyzed at the level of financial actions and their consequences. This makes careful evaluation on an open, executable banking benchmark valuable in itself.</w:t>
      </w:r>
    </w:p>
    <w:p>
      <w:pPr>
        <w:pStyle w:val="Heading1"/>
        <w:keepNext/>
        <w:spacing w:after="120" w:before="360"/>
      </w:pPr>
      <w:r>
        <w:rPr>
          <w:rFonts w:ascii="Times New Roman" w:cs="Times New Roman" w:eastAsia="Times New Roman" w:hAnsi="Times New Roman"/>
          <w:b/>
          <w:bCs/>
          <w:i w:val="false"/>
          <w:iCs w:val="false"/>
          <w:sz w:val="28"/>
          <w:szCs w:val="28"/>
        </w:rPr>
        <w:t xml:space="preserve">2.10 Comparative Analysis of Existing Approaches</w:t>
      </w:r>
    </w:p>
    <w:p>
      <w:pPr>
        <w:spacing w:after="120" w:line="360"/>
        <w:jc w:val="both"/>
      </w:pPr>
      <w:r>
        <w:rPr>
          <w:rFonts w:ascii="Times New Roman" w:cs="Times New Roman" w:eastAsia="Times New Roman" w:hAnsi="Times New Roman"/>
          <w:sz w:val="24"/>
          <w:szCs w:val="24"/>
        </w:rPr>
        <w:t xml:space="preserve">Two tables compare the reviewed approaches. Table 2.6 records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each approach observes and does, using the columns required by the research problem. Table 2.7 records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each approach turns evidence into a decision. The entries follow the primary sources consulted for this review, with these conventions: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Yes (…)</w:t>
      </w:r>
      <w:r>
        <w:rPr>
          <w:rFonts w:ascii="Times New Roman" w:cs="Times New Roman" w:eastAsia="Times New Roman" w:hAnsi="Times New Roman"/>
          <w:sz w:val="24"/>
          <w:szCs w:val="24"/>
        </w:rPr>
        <w:t xml:space="preserve"> means the capability is reported, with a brief note.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NOT REPORTED</w:t>
      </w:r>
      <w:r>
        <w:rPr>
          <w:rFonts w:ascii="Times New Roman" w:cs="Times New Roman" w:eastAsia="Times New Roman" w:hAnsi="Times New Roman"/>
          <w:sz w:val="24"/>
          <w:szCs w:val="24"/>
        </w:rPr>
        <w:t xml:space="preserve"> means the consulted source does not report the capability. This is not a claim that the system lacks it.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NOT APPLICABLE</w:t>
      </w:r>
      <w:r>
        <w:rPr>
          <w:rFonts w:ascii="Times New Roman" w:cs="Times New Roman" w:eastAsia="Times New Roman" w:hAnsi="Times New Roman"/>
          <w:sz w:val="24"/>
          <w:szCs w:val="24"/>
        </w:rPr>
        <w:t xml:space="preserve"> means the capability falls outside the kind of artefact (for example, a benchmark or an analysis paper).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NOT VERIFIED</w:t>
      </w:r>
      <w:r>
        <w:rPr>
          <w:rFonts w:ascii="Times New Roman" w:cs="Times New Roman" w:eastAsia="Times New Roman" w:hAnsi="Times New Roman"/>
          <w:sz w:val="24"/>
          <w:szCs w:val="24"/>
        </w:rPr>
        <w:t xml:space="preserve"> means the capability was described in an earlier draft or a secondary source but could not be confirmed against the primary source in the final verification pass.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"Partial" is used only when the source describes a limited form of the capability, and the note says which.</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2.6. Capability comparison of reviewed approaches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2"/>
        <w:gridCol w:w="1753"/>
        <w:gridCol w:w="1307"/>
        <w:gridCol w:w="1404"/>
        <w:gridCol w:w="1245"/>
        <w:gridCol w:w="826"/>
        <w:gridCol w:w="1137"/>
        <w:gridCol w:w="1286"/>
        <w:gridCol w:w="924"/>
        <w:gridCol w:w="2634"/>
      </w:tblGrid>
      <w:tr>
        <w:trPr>
          <w:cantSplit/>
          <w:tblHeader/>
        </w:trPr>
        <w:tc>
          <w:tcPr>
            <w:tcW w:type="dxa" w:w="144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Study / system</w:t>
            </w:r>
          </w:p>
        </w:tc>
        <w:tc>
          <w:tcPr>
            <w:tcW w:type="dxa" w:w="175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Threat focus</w:t>
            </w:r>
          </w:p>
        </w:tc>
        <w:tc>
          <w:tcPr>
            <w:tcW w:type="dxa" w:w="130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Input / context monitoring</w:t>
            </w:r>
          </w:p>
        </w:tc>
        <w:tc>
          <w:tcPr>
            <w:tcW w:type="dxa" w:w="140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Behavioral monitoring</w:t>
            </w:r>
          </w:p>
        </w:tc>
        <w:tc>
          <w:tcPr>
            <w:tcW w:type="dxa" w:w="124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Tool / action monitoring</w:t>
            </w:r>
          </w:p>
        </w:tc>
        <w:tc>
          <w:tcPr>
            <w:tcW w:type="dxa" w:w="82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Runtime intervention</w:t>
            </w:r>
          </w:p>
        </w:tc>
        <w:tc>
          <w:tcPr>
            <w:tcW w:type="dxa" w:w="113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Multi-step awareness</w:t>
            </w:r>
          </w:p>
        </w:tc>
        <w:tc>
          <w:tcPr>
            <w:tcW w:type="dxa" w:w="128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Mitigation</w:t>
            </w:r>
          </w:p>
        </w:tc>
        <w:tc>
          <w:tcPr>
            <w:tcW w:type="dxa" w:w="92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Financial context</w:t>
            </w:r>
          </w:p>
        </w:tc>
        <w:tc>
          <w:tcPr>
            <w:tcW w:type="dxa" w:w="263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Main limitation (relative to the REM research problem)</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CaMeL (Debenedetti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data exfiltration</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(untrusted data isolated; control/data flow from trusted query)</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(capability policies at tool calls)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(custom interpreter)</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(data-flow tracking through the program)</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Policy-violating calls prevented</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 (AgentDojo includes Banking; no finance-specific analysis)</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Requires restructuring agent execution; utility 77% vs 84% undefended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Progent (Shi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injection; tool misuse</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 (operates on tool calls)</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(privilege rules over tool names and arguments)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(policy updated during execution)</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Block; approval required for privilege expansion</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Binary permission; depends on policy quality</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AgentSpec (H. Wang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actions (code, embodied, AV)</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(trigger–predicate–enforcement rules)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(ms overhead)</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Rule-defined enforcement</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Requires specified rules; answers permission, not likelihood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LlamaFirewall (Chennabasappa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Injection; jailbreak; goal misalignment; insecure code</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(PromptGuard 2)</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(AlignmentCheck audits reasoning and actions against objective)</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(AlignmentCheck; CodeShield for code)</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(reasoning audit over execution)</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Verdict outputs; calibration and consequence use NOT REPORTED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GuardAgent (Xiang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Violations of safety guard requests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(generated guardrail code checks actions)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Denies non-compliant actions</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Depends on specified requests; calibration NOT REPORTED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ShieldAgent (Z. Chen, Kang, &amp; Li,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Policy violations over trajectories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(trajectory compliance)</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(probabilistic rule circuits)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(action trajectory)</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Shielding of non-compliant actions</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Policy-compliance focus; requires policy documents</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Task Shield (F. Jia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injection</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(instructions checked against user goals)</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(goal–action consistency)</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(test time)</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(each instruction and call vs user goal)</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 (evaluated on AgentDojo)</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LLM-based verification cost</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MELON (Zhu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injection</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(masked user prompt)</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(masked re-execution comparison)</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(tool-call comparison)</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(re-executes trajectory)</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Requires additional execution per step</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ProvenanceGuard (She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Misaligned actions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(evidence provenance in context)</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(evidence support for actions)</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Intervention on unsupported calls</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Aligned-trace intervention rate 14.5% vs 10.9% baseline</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Thought-Aligner (Jiang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intermediate reasoning</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(thought-level)</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(before action)</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Thought correction</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Requires a trained correction model</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MI9 (C. L. Wang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Emergent agent behavior (governance)</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(semantic telemetry)</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(FSM conformance; goal-conditioned drift)</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(continuous authorization)</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Graduated containment</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Agent-level governance; synthetic evaluation</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PRISM (F. Li,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injection; unsafe tools; credential leakage; tampering</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(ingress and prompt-construction hooks)</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(session risk accumulation)</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(ten lifecycle hooks)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(session-scoped, TTL decay)</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Policy controls; audit</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Single gateway ecosystem; heuristic accumulation</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ProbGuard (H. Wang et al., 2025)</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Violations of safety specifications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(DTMC over symbolic states)</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(threshold on probability of remaining safe)</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Intervention when below threshold</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 (AV, embodied)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Requires state abstraction; non-financial evaluation</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DreamGuard (Lin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Long-horizon hazardous drift</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(recurrent latent trajectory state)</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(~25 ms per call)</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PASS / HOLD / BLOCK</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Learned world model; non-financial evaluation</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SafeAgent (H. Liu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across multi-step workflows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(persistent session state)</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(stateful decision core)</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(runtime controller)</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Graduated (see Table 2.5)</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LLM-realized operators; calibration and latency NOT VERIFIED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AgentTrust (C. Yang,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Side effects of tool use (shell, files, HTTP, credentials)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(command normalization; action content)</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(seven chain detectors)</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(pre-execution interception)</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(low ms)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(no measurable effect in its ablation)</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Allow / warn / block / review; safer alternatives</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Rule-based aggregation; calibrated probability NOT REPORTED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NEXUS (Hossain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plans of tool-using agents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(session manager for cross-turn state)</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(argument-level inspection of plans)</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(pre-execution, 0.205 ms median)</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(plan-level evaluation; cross-turn session state)</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Allow / block / confirm / revise</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Plan-level; in-distribution results on author-generated templates described by the authors as upper bounds</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FinHarness (H. Jia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Prompt-induced unauthorized financial actions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(query monitor: intent, cross-turn drift)</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(drift; accumulated per-step risk)</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(tool monitor)</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(inline)</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Block / approve; escalation to advanced judge</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Evaluated on a withdrawn benchmark; LLM-judge based</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H.-H. Chen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Consequence of side-effect-bearing actions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(each action priced)</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(gate against reserve capital)</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Gating</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(actuarial framing; payments and refunds as examples)</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Prices consequence; no estimate of adversarial induction</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Cordon (Z. Chen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Irreversible effects in multi-step workflows</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(tool intents and result lineage)</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(transaction manager)</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(task-level transactions)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Staging; rollback; recovery</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Consumes rather than produces a risk decision</w:t>
            </w:r>
          </w:p>
        </w:tc>
      </w:tr>
      <w:tr>
        <w:trPr>
          <w:cantSplit/>
          <w:tblHeader w:val="false"/>
        </w:trPr>
        <w:tc>
          <w:tcPr>
            <w:tcW w:type="dxa" w:w="14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 Zhang et al. (2026)</w:t>
            </w:r>
          </w:p>
        </w:tc>
        <w:tc>
          <w:tcPr>
            <w:tcW w:type="dxa" w:w="175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Oversight of agent failure</w:t>
            </w:r>
          </w:p>
        </w:tc>
        <w:tc>
          <w:tcPr>
            <w:tcW w:type="dxa" w:w="13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40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24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8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Analysis of intervention policies</w:t>
            </w:r>
          </w:p>
        </w:tc>
        <w:tc>
          <w:tcPr>
            <w:tcW w:type="dxa" w:w="113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(trajectory prefixes)</w:t>
            </w:r>
          </w:p>
        </w:tc>
        <w:tc>
          <w:tcPr>
            <w:tcW w:type="dxa" w:w="128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Action-conditioned control</w:t>
            </w:r>
          </w:p>
        </w:tc>
        <w:tc>
          <w:tcPr>
            <w:tcW w:type="dxa" w:w="92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6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Analysis and method paper; not a deployed layer</w:t>
            </w:r>
          </w:p>
        </w:tc>
      </w:tr>
    </w:tbl>
    <w:p>
      <w:pPr>
        <w:spacing w:after="120"/>
      </w:pPr>
    </w:p>
    <w:p>
      <w:pPr>
        <w:sectPr>
          <w:headerReference w:type="default" r:id="rId13"/>
          <w:footerReference w:type="default" r:id="rId14"/>
          <w:pgSz w:w="16838" w:h="11906" w:orient="landscape"/>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2.7. Decision mechanism, calibration, consequence and evaluation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3850"/>
        <w:gridCol w:w="1531"/>
        <w:gridCol w:w="1878"/>
        <w:gridCol w:w="1526"/>
        <w:gridCol w:w="1432"/>
        <w:gridCol w:w="1661"/>
        <w:gridCol w:w="1090"/>
      </w:tblGrid>
      <w:tr>
        <w:trPr>
          <w:cantSplit/>
          <w:tblHeader/>
        </w:trPr>
        <w:tc>
          <w:tcPr>
            <w:tcW w:type="dxa" w:w="99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Approach</w:t>
            </w:r>
          </w:p>
        </w:tc>
        <w:tc>
          <w:tcPr>
            <w:tcW w:type="dxa" w:w="38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Decision basis</w:t>
            </w:r>
          </w:p>
        </w:tc>
        <w:tc>
          <w:tcPr>
            <w:tcW w:type="dxa" w:w="153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Calibrated probability</w:t>
            </w:r>
          </w:p>
        </w:tc>
        <w:tc>
          <w:tcPr>
            <w:tcW w:type="dxa" w:w="187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Consequence or reversibility used</w:t>
            </w:r>
          </w:p>
        </w:tc>
        <w:tc>
          <w:tcPr>
            <w:tcW w:type="dxa" w:w="152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Human review / graduated response</w:t>
            </w:r>
          </w:p>
        </w:tc>
        <w:tc>
          <w:tcPr>
            <w:tcW w:type="dxa" w:w="143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Benign utility reported</w:t>
            </w:r>
          </w:p>
        </w:tc>
        <w:tc>
          <w:tcPr>
            <w:tcW w:type="dxa" w:w="166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Latency reported</w:t>
            </w:r>
          </w:p>
        </w:tc>
        <w:tc>
          <w:tcPr>
            <w:tcW w:type="dxa" w:w="109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Financial focus</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CaMeL</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Capability and data-flow policy</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APPLICABLE</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Progent</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Privilege policy (SMT-checked updates)</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APPLICABLE</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Approval for privilege expansion</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("maintaining functionality")</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AgentSpec</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Deterministic rules</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APPLICABLE</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(milliseconds)</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Task Shield</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 verification of task alignment</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(69.79% utility, GPT-4o)</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ProvenanceGuard</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Evidence support for tool calls</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Intervention (rates reported)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(aligned-trace intervention rate)</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(higher than baselines; tokens and cost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MI9</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Governance components; agency-risk index</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(graduated containment)</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Overhead acknowledged as a limitation</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PRISM</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Hooks, scanning, accumulated session risk</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Preliminary (per-hook profiling)</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ProbGuard</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Probability of remaining safe (learned DTMC) vs threshold</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 (PAC-style bounds on learned model)</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(task completion)</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DreamGuard</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Calibrated fusion of hazard and prefix-risk scores</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Partial ("calibrated fusion rule")</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HOLD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(safety–utility trade-off)</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(~25 ms)</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SafeAgent</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LLM-based operators and policy arbitration</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(LLM consequence modeling)</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AgentTrust</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Rules and analyzers; worst-case verdict over normalized variants; LLM judge for ambiguous cases</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Partial (reversibility as a judge dimension)</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(warn; review)</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(~1.72 ms)</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Rules and argument inspection first; calibrated logistic score with loss-optimal thresholds in a cascade</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(Platt; isotonic evaluated)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(irreversibility and cost recorded per tool call and used by rules; intervention costs fixed at 0 / 0.1 / 0.3 / 1)</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(confirm; revise)</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(paired benign cases)</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(0.205 ms median)</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FinHarness</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Monitors and a judge cascade</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Escalation to an advanced LLM judge</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(benign approval)</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 (judge-call counts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H.-H. Chen (2026)</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Deterministic pricing against reserve capital</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APPLICABLE</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Partial</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Jackson (2025)</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Multi-dimensional risk score; enforcement state machine</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(escalate; sanitize)</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Reported qualitatively ("minimal")</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 (enterprise framing)</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 Zhang et al. (2026)</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Action-conditioned intervention value</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Analyzed (calibration does not change regret)</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(recoverability)</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APPLICABLE</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Regret reported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r>
      <w:tr>
        <w:trPr>
          <w:cantSplit/>
          <w:tblHeader w:val="false"/>
        </w:trPr>
        <w:tc>
          <w:tcPr>
            <w:tcW w:type="dxa" w:w="9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REM (investigated in this thesis; not a result)</w:t>
            </w:r>
          </w:p>
        </w:tc>
        <w:tc>
          <w:tcPr>
            <w:tcW w:type="dxa" w:w="38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Calibrated per-step probability combined with consequence-tier losses in an expected-loss rule</w:t>
            </w:r>
          </w:p>
        </w:tc>
        <w:tc>
          <w:tcPr>
            <w:tcW w:type="dxa" w:w="1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Designed</w:t>
            </w:r>
          </w:p>
        </w:tc>
        <w:tc>
          <w:tcPr>
            <w:tcW w:type="dxa" w:w="18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Designed (declared consequence tiers)</w:t>
            </w:r>
          </w:p>
        </w:tc>
        <w:tc>
          <w:tcPr>
            <w:tcW w:type="dxa" w:w="152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Designed (Escalate; Modify)</w:t>
            </w:r>
          </w:p>
        </w:tc>
        <w:tc>
          <w:tcPr>
            <w:tcW w:type="dxa" w:w="1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Planned</w:t>
            </w:r>
          </w:p>
        </w:tc>
        <w:tc>
          <w:tcPr>
            <w:tcW w:type="dxa" w:w="166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Planned</w:t>
            </w:r>
          </w:p>
        </w:tc>
        <w:tc>
          <w:tcPr>
            <w:tcW w:type="dxa" w:w="10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Planned (AgentDojo Banking)</w:t>
            </w:r>
          </w:p>
        </w:tc>
      </w:tr>
    </w:tbl>
    <w:p>
      <w:pPr>
        <w:spacing w:after="120"/>
      </w:pPr>
    </w:p>
    <w:p>
      <w:pPr>
        <w:sectPr>
          <w:headerReference w:type="default" r:id="rId15"/>
          <w:footerReference w:type="default" r:id="rId16"/>
          <w:pgSz w:w="16838" w:h="11906" w:orient="landscape"/>
          <w:pgMar w:top="1440" w:right="1440" w:bottom="1440" w:left="1440" w:header="708" w:footer="708" w:gutter="0"/>
          <w:pgNumType/>
          <w:docGrid w:linePitch="360"/>
        </w:sectPr>
      </w:pPr>
    </w:p>
    <w:p>
      <w:pPr>
        <w:spacing w:after="120" w:line="360"/>
        <w:jc w:val="both"/>
      </w:pPr>
      <w:r>
        <w:rPr>
          <w:rFonts w:ascii="Times New Roman" w:cs="Times New Roman" w:eastAsia="Times New Roman" w:hAnsi="Times New Roman"/>
          <w:b/>
          <w:bCs/>
          <w:sz w:val="24"/>
          <w:szCs w:val="24"/>
        </w:rPr>
        <w:t xml:space="preserve">Reading the tables.</w:t>
      </w:r>
      <w:r>
        <w:rPr>
          <w:rFonts w:ascii="Times New Roman" w:cs="Times New Roman" w:eastAsia="Times New Roman" w:hAnsi="Times New Roman"/>
          <w:sz w:val="24"/>
          <w:szCs w:val="24"/>
        </w:rPr>
        <w:t xml:space="preserve"> Read row by row, the tables show that every individual property in REM's design already appears somewhere in prior work: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calibrated logistic risk scoring and a four-way intervention set: NEXUS;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pre-execution interception with graduated verdicts and human review: AgentTrust;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consequence-dependent control: H.-H. Chen, NEXUS, SafeAgent and AgentTrust;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provenance evidence: ProvenanceGuard;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trajectory-aware monitoring: MI9, PRISM, ProbGuard, DreamGuard, SafeAgent and AgentTrust;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latency and component ablations: AgentTrust and NEXUS;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financial runtime safety: FinHarness;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limits of calibration for control: C. Zhang et al.</w:t>
      </w:r>
    </w:p>
    <w:p>
      <w:pPr>
        <w:spacing w:after="120" w:line="360"/>
        <w:jc w:val="both"/>
      </w:pPr>
      <w:r>
        <w:rPr>
          <w:rFonts w:ascii="Times New Roman" w:cs="Times New Roman" w:eastAsia="Times New Roman" w:hAnsi="Times New Roman"/>
          <w:sz w:val="24"/>
          <w:szCs w:val="24"/>
        </w:rPr>
        <w:t xml:space="preserve">Read column by column, the tables show where the combinations thin out. Only NEXUS reports a calibrated probability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consequence information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a graduated response. It does so at the plan level, on author-generated templates, with fixed intervention costs setting score thresholds inside a rule-first cascade. Only FinHarness reports financial focus, and it relies on LLM judges and on a withdrawn benchmark. No reviewed approach reports all of the following together: a calibrated probability of adversarial induction per proposed tool call; declared consequence-dependent losses used to select among graduated responses; and evaluation on an executable financial environment with utility and latency reported.</w:t>
      </w:r>
    </w:p>
    <w:p>
      <w:pPr>
        <w:pStyle w:val="Heading1"/>
        <w:keepNext/>
        <w:spacing w:after="120" w:before="360"/>
      </w:pPr>
      <w:r>
        <w:rPr>
          <w:rFonts w:ascii="Times New Roman" w:cs="Times New Roman" w:eastAsia="Times New Roman" w:hAnsi="Times New Roman"/>
          <w:b/>
          <w:bCs/>
          <w:i w:val="false"/>
          <w:iCs w:val="false"/>
          <w:sz w:val="28"/>
          <w:szCs w:val="28"/>
        </w:rPr>
        <w:t xml:space="preserve">2.11 Critical Synthesis</w:t>
      </w:r>
    </w:p>
    <w:p>
      <w:pPr>
        <w:spacing w:after="120" w:line="360"/>
        <w:jc w:val="both"/>
      </w:pPr>
      <w:r>
        <w:rPr>
          <w:rFonts w:ascii="Times New Roman" w:cs="Times New Roman" w:eastAsia="Times New Roman" w:hAnsi="Times New Roman"/>
          <w:sz w:val="24"/>
          <w:szCs w:val="24"/>
        </w:rPr>
        <w:t xml:space="preserve">This section draws the comparison together rather than restating it.</w:t>
      </w:r>
    </w:p>
    <w:p>
      <w:pPr>
        <w:spacing w:after="120" w:line="360"/>
        <w:jc w:val="both"/>
      </w:pPr>
      <w:r>
        <w:rPr>
          <w:rFonts w:ascii="Times New Roman" w:cs="Times New Roman" w:eastAsia="Times New Roman" w:hAnsi="Times New Roman"/>
          <w:b/>
          <w:bCs/>
          <w:sz w:val="24"/>
          <w:szCs w:val="24"/>
        </w:rPr>
        <w:t xml:space="preserve">What is well addressed.</w:t>
      </w:r>
      <w:r>
        <w:rPr>
          <w:rFonts w:ascii="Times New Roman" w:cs="Times New Roman" w:eastAsia="Times New Roman" w:hAnsi="Times New Roman"/>
          <w:sz w:val="24"/>
          <w:szCs w:val="24"/>
        </w:rPr>
        <w:t xml:space="preserve"> The literature offers many implementations of the point of intervention. Pre-execution mediation of tool calls is implemented in several forms (Progent, AgentSpec, AgentTrust, PRISM, SafeAgent, NEXUS, FinHarness). Deterministic enforcement is fast and auditable. Graduated responses, including human review, are standard. Threats are well characterized and benchmarked, and indirect injection is recognized across the literature as the decisive threat for tool-using agents. Calibration methods are mature and have been applied to agent-safety scores.</w:t>
      </w:r>
    </w:p>
    <w:p>
      <w:pPr>
        <w:spacing w:after="120" w:line="360"/>
        <w:jc w:val="both"/>
      </w:pPr>
      <w:r>
        <w:rPr>
          <w:rFonts w:ascii="Times New Roman" w:cs="Times New Roman" w:eastAsia="Times New Roman" w:hAnsi="Times New Roman"/>
          <w:b/>
          <w:bCs/>
          <w:sz w:val="24"/>
          <w:szCs w:val="24"/>
        </w:rPr>
        <w:t xml:space="preserve">What remains fragmented.</w:t>
      </w:r>
      <w:r>
        <w:rPr>
          <w:rFonts w:ascii="Times New Roman" w:cs="Times New Roman" w:eastAsia="Times New Roman" w:hAnsi="Times New Roman"/>
          <w:sz w:val="24"/>
          <w:szCs w:val="24"/>
        </w:rPr>
        <w:t xml:space="preserve"> The pieces of a probabilistic, consequence-aware decision exist, but in different systems. A calibrated risk score with loss-optimal thresholds sits in a plan-level monitor evaluated mainly on author-generated templates (NEXUS). Consequence pricing sits in a deterministic actuarial gate that ignores how an action arose (H.-H. Chen). Consequence reasoning sits in LLM operators without reported calibration (SafeAgent). Provenance evidence sits in a detector that outputs interventions rather than probabilities (ProvenanceGuard). Financial focus sits in a judge cascade (FinHarness). No reviewed study reports their combination at the action boundary of an executing financial agent.</w:t>
      </w:r>
    </w:p>
    <w:p>
      <w:pPr>
        <w:spacing w:after="120" w:line="360"/>
        <w:jc w:val="both"/>
      </w:pPr>
      <w:r>
        <w:rPr>
          <w:rFonts w:ascii="Times New Roman" w:cs="Times New Roman" w:eastAsia="Times New Roman" w:hAnsi="Times New Roman"/>
          <w:b/>
          <w:bCs/>
          <w:sz w:val="24"/>
          <w:szCs w:val="24"/>
        </w:rPr>
        <w:t xml:space="preserve">Where current approaches stop.</w:t>
      </w:r>
      <w:r>
        <w:rPr>
          <w:rFonts w:ascii="Times New Roman" w:cs="Times New Roman" w:eastAsia="Times New Roman" w:hAnsi="Times New Roman"/>
          <w:sz w:val="24"/>
          <w:szCs w:val="24"/>
        </w:rPr>
        <w:t xml:space="preserve"> Most detectors and guardrails stop at a verdict. They do not produce a probability that could be traded off against the consequence of the action. Most consequence-aware systems stop at the consequence and do not estimate the likelihood of adversarial induction. Most trajectory-aware systems stop at detection and report little about whether their trajectory component changes outcomes; the one available ablation found no effect (C. Yang, 2026). Most evaluations stop at attack success. Benign utility, latency and calibration are reported unevenly, and C. Zhang et al. (2026) show that calibration and control quality must be reported separately.</w:t>
      </w:r>
    </w:p>
    <w:p>
      <w:pPr>
        <w:spacing w:after="120" w:line="360"/>
        <w:jc w:val="both"/>
      </w:pPr>
      <w:r>
        <w:rPr>
          <w:rFonts w:ascii="Times New Roman" w:cs="Times New Roman" w:eastAsia="Times New Roman" w:hAnsi="Times New Roman"/>
          <w:b/>
          <w:bCs/>
          <w:sz w:val="24"/>
          <w:szCs w:val="24"/>
        </w:rPr>
        <w:t xml:space="preserve">Promising combinations.</w:t>
      </w:r>
      <w:r>
        <w:rPr>
          <w:rFonts w:ascii="Times New Roman" w:cs="Times New Roman" w:eastAsia="Times New Roman" w:hAnsi="Times New Roman"/>
          <w:sz w:val="24"/>
          <w:szCs w:val="24"/>
        </w:rPr>
        <w:t xml:space="preserve"> Three combinations are suggested by the evidence, though none is established by it: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provenance evidence, which has shown strong reported results against misaligned or injected actions in the reviewed studies, used as input to a </w:t>
      </w:r>
      <w:r>
        <w:rPr>
          <w:rFonts w:ascii="Times New Roman" w:cs="Times New Roman" w:eastAsia="Times New Roman" w:hAnsi="Times New Roman"/>
          <w:i/>
          <w:iCs/>
          <w:sz w:val="24"/>
          <w:szCs w:val="24"/>
        </w:rPr>
        <w:t xml:space="preserve">calibrated</w:t>
      </w:r>
      <w:r>
        <w:rPr>
          <w:rFonts w:ascii="Times New Roman" w:cs="Times New Roman" w:eastAsia="Times New Roman" w:hAnsi="Times New Roman"/>
          <w:sz w:val="24"/>
          <w:szCs w:val="24"/>
        </w:rPr>
        <w:t xml:space="preserve"> probability rather than to a binary verdict;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that probability combined with </w:t>
      </w:r>
      <w:r>
        <w:rPr>
          <w:rFonts w:ascii="Times New Roman" w:cs="Times New Roman" w:eastAsia="Times New Roman" w:hAnsi="Times New Roman"/>
          <w:i/>
          <w:iCs/>
          <w:sz w:val="24"/>
          <w:szCs w:val="24"/>
        </w:rPr>
        <w:t xml:space="preserve">declared</w:t>
      </w:r>
      <w:r>
        <w:rPr>
          <w:rFonts w:ascii="Times New Roman" w:cs="Times New Roman" w:eastAsia="Times New Roman" w:hAnsi="Times New Roman"/>
          <w:sz w:val="24"/>
          <w:szCs w:val="24"/>
        </w:rPr>
        <w:t xml:space="preserve"> consequence-dependent losses, so that the same probability can yield different responses for a balance query and a transfer;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statistically grounded accumulation of evidence across steps (Section 2.7.4), as an analytical complement to heuristic session scores where multi-step behavior is present. In REM this is limited to an optional, observe-only analysis outside the verdict path.</w:t>
      </w:r>
    </w:p>
    <w:p>
      <w:pPr>
        <w:spacing w:after="120" w:line="360"/>
        <w:jc w:val="both"/>
      </w:pPr>
      <w:r>
        <w:rPr>
          <w:rFonts w:ascii="Times New Roman" w:cs="Times New Roman" w:eastAsia="Times New Roman" w:hAnsi="Times New Roman"/>
          <w:b/>
          <w:bCs/>
          <w:sz w:val="24"/>
          <w:szCs w:val="24"/>
        </w:rPr>
        <w:t xml:space="preserve">Recurring limitations.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Evaluation is often on synthetic or author-generated data (MI9; NEXUS).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Reported figures are author-reported and measured against fixed attacks, which adaptive attacks can overturn (Zhan et al., 2025).</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Benchmark results do not transfer across benchmarks (M. Q. Li et al., 2026; Y. Wang et al., 2026).</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finance-specific evidence depends in part on a withdrawn benchmark.</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Base-rate and benign-workload discipline is applied unevenly (Arp et al., 2022; Sommer &amp; Paxson, 2010).</w:t>
      </w:r>
    </w:p>
    <w:p>
      <w:pPr>
        <w:spacing w:after="120" w:line="360"/>
        <w:jc w:val="both"/>
      </w:pPr>
      <w:r>
        <w:rPr>
          <w:rFonts w:ascii="Times New Roman" w:cs="Times New Roman" w:eastAsia="Times New Roman" w:hAnsi="Times New Roman"/>
          <w:b/>
          <w:bCs/>
          <w:sz w:val="24"/>
          <w:szCs w:val="24"/>
        </w:rPr>
        <w:t xml:space="preserve">Missing evidence.</w:t>
      </w:r>
      <w:r>
        <w:rPr>
          <w:rFonts w:ascii="Times New Roman" w:cs="Times New Roman" w:eastAsia="Times New Roman" w:hAnsi="Times New Roman"/>
          <w:sz w:val="24"/>
          <w:szCs w:val="24"/>
        </w:rPr>
        <w:t xml:space="preserve"> The reviewed literature provides limited evidence on the following: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whether a probability-and-loss decision behaves differently from a consequence-independent threshold that uses the </w:t>
      </w:r>
      <w:r>
        <w:rPr>
          <w:rFonts w:ascii="Times New Roman" w:cs="Times New Roman" w:eastAsia="Times New Roman" w:hAnsi="Times New Roman"/>
          <w:i/>
          <w:iCs/>
          <w:sz w:val="24"/>
          <w:szCs w:val="24"/>
        </w:rPr>
        <w:t xml:space="preserve">same</w:t>
      </w:r>
      <w:r>
        <w:rPr>
          <w:rFonts w:ascii="Times New Roman" w:cs="Times New Roman" w:eastAsia="Times New Roman" w:hAnsi="Times New Roman"/>
          <w:sz w:val="24"/>
          <w:szCs w:val="24"/>
        </w:rPr>
        <w:t xml:space="preserve"> estimator, which is the comparison needed to isolate the contribution of consequence tiers;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how intervention behavior (the rates of Allow, Modify, Escalate and Block) changes with declared losses;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how provenance-based features perform as inputs to a calibrated estimator for financial actions under indirect injection;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how such a layer affects benign utility and latency in an executable banking environment.</w:t>
      </w:r>
    </w:p>
    <w:p>
      <w:pPr>
        <w:spacing w:after="12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REM cannot be positioned as introducing interception, graduated verdicts, calibration, consequence awareness, provenance analysis, trajectory monitoring or audit records. It can be positioned as an </w:t>
      </w:r>
      <w:r>
        <w:rPr>
          <w:rFonts w:ascii="Times New Roman" w:cs="Times New Roman" w:eastAsia="Times New Roman" w:hAnsi="Times New Roman"/>
          <w:i/>
          <w:iCs/>
          <w:sz w:val="24"/>
          <w:szCs w:val="24"/>
        </w:rPr>
        <w:t xml:space="preserve">integrative and empirical</w:t>
      </w:r>
      <w:r>
        <w:rPr>
          <w:rFonts w:ascii="Times New Roman" w:cs="Times New Roman" w:eastAsia="Times New Roman" w:hAnsi="Times New Roman"/>
          <w:sz w:val="24"/>
          <w:szCs w:val="24"/>
        </w:rPr>
        <w:t xml:space="preserve"> study of a specific combination of these established elements, at a specific point of intervention, under a specific threat, in a specific domain, evaluated in a way that separates the contributions of its parts.</w:t>
      </w:r>
    </w:p>
    <w:p>
      <w:pPr>
        <w:pStyle w:val="Heading1"/>
        <w:keepNext/>
        <w:spacing w:after="120" w:before="360"/>
      </w:pPr>
      <w:r>
        <w:rPr>
          <w:rFonts w:ascii="Times New Roman" w:cs="Times New Roman" w:eastAsia="Times New Roman" w:hAnsi="Times New Roman"/>
          <w:b/>
          <w:bCs/>
          <w:i w:val="false"/>
          <w:iCs w:val="false"/>
          <w:sz w:val="28"/>
          <w:szCs w:val="28"/>
        </w:rPr>
        <w:t xml:space="preserve">2.12 Research Gap and REM Positioning</w:t>
      </w:r>
    </w:p>
    <w:p>
      <w:pPr>
        <w:pStyle w:val="Heading2"/>
        <w:keepNext/>
        <w:spacing w:after="120" w:before="240"/>
      </w:pPr>
      <w:r>
        <w:rPr>
          <w:rFonts w:ascii="Times New Roman" w:cs="Times New Roman" w:eastAsia="Times New Roman" w:hAnsi="Times New Roman"/>
          <w:b/>
          <w:bCs/>
          <w:i/>
          <w:iCs/>
          <w:sz w:val="24"/>
          <w:szCs w:val="24"/>
        </w:rPr>
        <w:t xml:space="preserve">2.12.1 Structure of the gap</w:t>
      </w:r>
    </w:p>
    <w:p>
      <w:pPr>
        <w:spacing w:after="120" w:line="360"/>
        <w:jc w:val="both"/>
      </w:pPr>
      <w:r>
        <w:rPr>
          <w:rFonts w:ascii="Times New Roman" w:cs="Times New Roman" w:eastAsia="Times New Roman" w:hAnsi="Times New Roman"/>
          <w:sz w:val="24"/>
          <w:szCs w:val="24"/>
        </w:rPr>
        <w:t xml:space="preserve">The gap is derived from the comparison in Sections 2.10 and 2.11. It is stated in four parts, each bounded by the evidence reviewed.</w:t>
      </w:r>
    </w:p>
    <w:p>
      <w:pPr>
        <w:spacing w:after="120" w:line="360"/>
        <w:jc w:val="both"/>
      </w:pPr>
      <w:r>
        <w:rPr>
          <w:rFonts w:ascii="Times New Roman" w:cs="Times New Roman" w:eastAsia="Times New Roman" w:hAnsi="Times New Roman"/>
          <w:b/>
          <w:bCs/>
          <w:sz w:val="24"/>
          <w:szCs w:val="24"/>
        </w:rPr>
        <w:t xml:space="preserve">Gap 1 — Integration of a calibrated probability with declared consequences at the action boundary.</w:t>
      </w:r>
      <w:r>
        <w:rPr>
          <w:rFonts w:ascii="Times New Roman" w:cs="Times New Roman" w:eastAsia="Times New Roman" w:hAnsi="Times New Roman"/>
          <w:sz w:val="24"/>
          <w:szCs w:val="24"/>
        </w:rPr>
        <w:t xml:space="preserve"> Existing studies provide calibrated logistic risk scoring (NEXUS), consequence pricing (H.-H. Chen), consequence reasoning (SafeAgent) and graduated verdicts with human review (AgentTrust; NEXUS; Jackson). The reviewed literature, however, provides limited evidence on selecting among graduated responses by minimizing expected loss per proposed tool call, using a calibrated probability of adversarial induction together with losses declared per consequence tier. NEXUS, the closest study, uses an expected-loss objective with fixed intervention costs to set thresholds on its calibrated score within a rule-first cascade. It does so at the plan level, and its in-distribution results come from author-generated templates that its authors describe as upper bounds.</w:t>
      </w:r>
    </w:p>
    <w:p>
      <w:pPr>
        <w:spacing w:after="120" w:line="360"/>
        <w:jc w:val="both"/>
      </w:pPr>
      <w:r>
        <w:rPr>
          <w:rFonts w:ascii="Times New Roman" w:cs="Times New Roman" w:eastAsia="Times New Roman" w:hAnsi="Times New Roman"/>
          <w:b/>
          <w:bCs/>
          <w:sz w:val="24"/>
          <w:szCs w:val="24"/>
        </w:rPr>
        <w:t xml:space="preserve">Gap 2 — The measured value of behavioral evidence under indirect injection.</w:t>
      </w:r>
      <w:r>
        <w:rPr>
          <w:rFonts w:ascii="Times New Roman" w:cs="Times New Roman" w:eastAsia="Times New Roman" w:hAnsi="Times New Roman"/>
          <w:sz w:val="24"/>
          <w:szCs w:val="24"/>
        </w:rPr>
        <w:t xml:space="preserve"> Trajectory-aware and provenance-based monitoring are well represented, but evidence on their contribution is thin. One ablation found that a session tracker had no measurable effect (C. Yang, 2026). Several trajectory-aware systems were evaluated in non-financial or synthetic settings (C. L. Wang et al., 2025; H. Wang et al., 2025; Lin et al., 2026). Provenance evidence has been evaluated as a detector (She et al., 2026) rather than as input to a calibrated estimator for financial actions. The reviewed literature therefore provides limited evidence on how much behavioral and provenance evidence contributes to a runtime decision for a financial tool-using agent under indirect injection.</w:t>
      </w:r>
    </w:p>
    <w:p>
      <w:pPr>
        <w:spacing w:after="120" w:line="360"/>
        <w:jc w:val="both"/>
      </w:pPr>
      <w:r>
        <w:rPr>
          <w:rFonts w:ascii="Times New Roman" w:cs="Times New Roman" w:eastAsia="Times New Roman" w:hAnsi="Times New Roman"/>
          <w:b/>
          <w:bCs/>
          <w:sz w:val="24"/>
          <w:szCs w:val="24"/>
        </w:rPr>
        <w:t xml:space="preserve">Gap 3 — Financial execution.</w:t>
      </w:r>
      <w:r>
        <w:rPr>
          <w:rFonts w:ascii="Times New Roman" w:cs="Times New Roman" w:eastAsia="Times New Roman" w:hAnsi="Times New Roman"/>
          <w:sz w:val="24"/>
          <w:szCs w:val="24"/>
        </w:rPr>
        <w:t xml:space="preserve"> General agent-security research treats finance as one scenario among many (ASB; AgentDojo). The finance-specific runtime evidence consists mainly of one preprint system evaluated on a benchmark that has since been withdrawn (FinHarness; FinVault), together with a position paper and a systematization (Z. Chen, J. Chen, et al., 2025; Mao et al., 2026). The reviewed literature provides limited verified evidence on runtime protection evaluated at the level of individual financial actions and their consequences in an open, executable environment.</w:t>
      </w:r>
    </w:p>
    <w:p>
      <w:pPr>
        <w:spacing w:after="120" w:line="360"/>
        <w:jc w:val="both"/>
      </w:pPr>
      <w:r>
        <w:rPr>
          <w:rFonts w:ascii="Times New Roman" w:cs="Times New Roman" w:eastAsia="Times New Roman" w:hAnsi="Times New Roman"/>
          <w:b/>
          <w:bCs/>
          <w:sz w:val="24"/>
          <w:szCs w:val="24"/>
        </w:rPr>
        <w:t xml:space="preserve">Gap 4 — Evaluation that separates the parts.</w:t>
      </w:r>
      <w:r>
        <w:rPr>
          <w:rFonts w:ascii="Times New Roman" w:cs="Times New Roman" w:eastAsia="Times New Roman" w:hAnsi="Times New Roman"/>
          <w:sz w:val="24"/>
          <w:szCs w:val="24"/>
        </w:rPr>
        <w:t xml:space="preserve"> Latency, benign utility, intervention behavior and calibration are reported unevenly across the reviewed systems. C. Zhang et al. (2026) show that calibration and control must be measured separately. The benchmark audits show that results must be reported per benchmark and interpreted with caution (M. Q. Li et al., 2026; Y. Wang et al., 2026). Few reviewed studies compare a consequence-aware decision against a consequence-independent baseline that uses the same estimator, which is the comparison required to attribute any difference to the use of consequences.</w:t>
      </w:r>
    </w:p>
    <w:p>
      <w:pPr>
        <w:pStyle w:val="Heading2"/>
        <w:keepNext/>
        <w:spacing w:after="120" w:before="240"/>
      </w:pPr>
      <w:r>
        <w:rPr>
          <w:rFonts w:ascii="Times New Roman" w:cs="Times New Roman" w:eastAsia="Times New Roman" w:hAnsi="Times New Roman"/>
          <w:b/>
          <w:bCs/>
          <w:i/>
          <w:iCs/>
          <w:sz w:val="24"/>
          <w:szCs w:val="24"/>
        </w:rPr>
        <w:t xml:space="preserve">2.12.2 Statement of the research gap</w:t>
      </w:r>
    </w:p>
    <w:p>
      <w:pPr>
        <w:pBdr>
          <w:left w:val="single" w:color="4472C4" w:sz="12" w:space="8"/>
        </w:pBdr>
        <w:spacing w:after="160" w:before="120" w:line="300"/>
        <w:ind w:left="720" w:right="720"/>
        <w:jc w:val="both"/>
      </w:pPr>
      <w:r>
        <w:rPr>
          <w:rFonts w:ascii="Times New Roman" w:cs="Times New Roman" w:eastAsia="Times New Roman" w:hAnsi="Times New Roman"/>
          <w:sz w:val="24"/>
          <w:szCs w:val="24"/>
        </w:rPr>
        <w:t xml:space="preserve">Among the studies reviewed in this chapter, none reports an empirical evaluation of a non-invasive runtime layer for a financial tool-using agent that combines (i) provenance-based evidence about proposed financial actions, (ii) a calibrated per-step probability that the proposed action is adversarially induced, (iii) a decision that minimizes expected loss over Allow, Modify, Escalate and Block using losses declared per consequence tier, and (iv) deterministic mitigation whose effectiveness is measured, with attack success, benign utility, utility under attack, intervention behavior and latency measured separately, calibration quality reported separately from control outcomes, and results compared against a consequence-independent baseline that uses the same estimator.</w:t>
      </w:r>
    </w:p>
    <w:p>
      <w:pPr>
        <w:spacing w:after="120" w:line="360"/>
        <w:jc w:val="both"/>
      </w:pPr>
      <w:r>
        <w:rPr>
          <w:rFonts w:ascii="Times New Roman" w:cs="Times New Roman" w:eastAsia="Times New Roman" w:hAnsi="Times New Roman"/>
          <w:sz w:val="24"/>
          <w:szCs w:val="24"/>
        </w:rPr>
        <w:t xml:space="preserve">This is an </w:t>
      </w:r>
      <w:r>
        <w:rPr>
          <w:rFonts w:ascii="Times New Roman" w:cs="Times New Roman" w:eastAsia="Times New Roman" w:hAnsi="Times New Roman"/>
          <w:b/>
          <w:bCs/>
          <w:sz w:val="24"/>
          <w:szCs w:val="24"/>
        </w:rPr>
        <w:t xml:space="preserve">integrative and empirical</w:t>
      </w:r>
      <w:r>
        <w:rPr>
          <w:rFonts w:ascii="Times New Roman" w:cs="Times New Roman" w:eastAsia="Times New Roman" w:hAnsi="Times New Roman"/>
          <w:sz w:val="24"/>
          <w:szCs w:val="24"/>
        </w:rPr>
        <w:t xml:space="preserve"> gap. It concerns the combination and evaluation of established mechanisms under indirect prompt injection. It does not concern the absence of any of those mechanisms, and it does not concern a new learning algorithm. The statement is bounded by the sources reviewed and by the September 2026 verification pass. Identification of a study that reports this combination and evaluation would require the contribution of this thesis to be revised accordingly.</w:t>
      </w:r>
    </w:p>
    <w:p>
      <w:pPr>
        <w:pStyle w:val="Heading2"/>
        <w:keepNext/>
        <w:spacing w:after="120" w:before="240"/>
      </w:pPr>
      <w:r>
        <w:rPr>
          <w:rFonts w:ascii="Times New Roman" w:cs="Times New Roman" w:eastAsia="Times New Roman" w:hAnsi="Times New Roman"/>
          <w:b/>
          <w:bCs/>
          <w:i/>
          <w:iCs/>
          <w:sz w:val="24"/>
          <w:szCs w:val="24"/>
        </w:rPr>
        <w:t xml:space="preserve">2.12.3 Positioning of REM relative to the closest prior work</w:t>
      </w:r>
    </w:p>
    <w:p>
      <w:pPr>
        <w:spacing w:after="120" w:line="360"/>
        <w:jc w:val="both"/>
      </w:pPr>
      <w:r>
        <w:rPr>
          <w:rFonts w:ascii="Times New Roman" w:cs="Times New Roman" w:eastAsia="Times New Roman" w:hAnsi="Times New Roman"/>
          <w:sz w:val="24"/>
          <w:szCs w:val="24"/>
        </w:rPr>
        <w:t xml:space="preserve">REM is positioned as a runtime mediation layer between a financial tool-using agent and its environment, organized in five layers: </w:t>
      </w:r>
      <w:r>
        <w:rPr>
          <w:rFonts w:ascii="Times New Roman" w:cs="Times New Roman" w:eastAsia="Times New Roman" w:hAnsi="Times New Roman"/>
          <w:b/>
          <w:bCs/>
          <w:sz w:val="24"/>
          <w:szCs w:val="24"/>
        </w:rPr>
        <w:t xml:space="preserve">Input &amp; Context, Detection, Behavioral Analysis, Decision Engine, and Mitigation</w:t>
      </w:r>
      <w:r>
        <w:rPr>
          <w:rFonts w:ascii="Times New Roman" w:cs="Times New Roman" w:eastAsia="Times New Roman" w:hAnsi="Times New Roman"/>
          <w:sz w:val="24"/>
          <w:szCs w:val="24"/>
        </w:rPr>
        <w:t xml:space="preserve">. Its design reuses established mechanisms and attributes each to its source. The literature places the following constraints on how REM is studied and described.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NEXUS.</w:t>
      </w:r>
      <w:r>
        <w:rPr>
          <w:rFonts w:ascii="Times New Roman" w:cs="Times New Roman" w:eastAsia="Times New Roman" w:hAnsi="Times New Roman"/>
          <w:sz w:val="24"/>
          <w:szCs w:val="24"/>
        </w:rPr>
        <w:t xml:space="preserve"> REM does not claim calibrated logistic risk scoring, a four-way intervention set, consequence-related features or an expected-loss formulation. It differs in the point of evaluation (each proposed tool call at the action boundary of an executing agent), the threat model and setting (indirect injection in an executable banking environment), and the decision rule (per-step minimization of conditional expected loss with losses indexed by each action's consequence tier, rather than fixed intervention costs setting thresholds inside a rule-first cascade). Whether these differences change outcomes is to be tested, not assumed.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AgentTrust.</w:t>
      </w:r>
      <w:r>
        <w:rPr>
          <w:rFonts w:ascii="Times New Roman" w:cs="Times New Roman" w:eastAsia="Times New Roman" w:hAnsi="Times New Roman"/>
          <w:sz w:val="24"/>
          <w:szCs w:val="24"/>
        </w:rPr>
        <w:t xml:space="preserve"> REM does not claim pre-execution interception, graduated verdicts including human review, safer-alternative suggestions, session-level chain detection, or component ablation with latency. It differs in how evidence becomes a decision (a calibrated probability combined with declared losses, rather than rule-based aggregation) and in its threat model and domain.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Jackson (2025), SafeAgent and H.-H. Chen (2026).</w:t>
      </w:r>
      <w:r>
        <w:rPr>
          <w:rFonts w:ascii="Times New Roman" w:cs="Times New Roman" w:eastAsia="Times New Roman" w:hAnsi="Times New Roman"/>
          <w:sz w:val="24"/>
          <w:szCs w:val="24"/>
        </w:rPr>
        <w:t xml:space="preserve"> REM does not claim a risk-score-to-graduated-verdict pipeline, consequence-aware control or human escalation as new. Its consequence tiers are declared policy inputs, and its losses are reported across a declared grid rather than as fixed truths.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FinHarness.</w:t>
      </w:r>
      <w:r>
        <w:rPr>
          <w:rFonts w:ascii="Times New Roman" w:cs="Times New Roman" w:eastAsia="Times New Roman" w:hAnsi="Times New Roman"/>
          <w:sz w:val="24"/>
          <w:szCs w:val="24"/>
        </w:rPr>
        <w:t xml:space="preserve"> REM does not claim to be the first runtime protection for financial agents. It studies a different decision mechanism, based on a calibrated probability and declared losses rather than judge routing, on an open, executable benchmark.</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ProvenanceGuard, Task Shield and MELON.</w:t>
      </w:r>
      <w:r>
        <w:rPr>
          <w:rFonts w:ascii="Times New Roman" w:cs="Times New Roman" w:eastAsia="Times New Roman" w:hAnsi="Times New Roman"/>
          <w:sz w:val="24"/>
          <w:szCs w:val="24"/>
        </w:rPr>
        <w:t xml:space="preserve"> REM does not claim provenance or goal-consistency analysis. It uses action-provenance evidence as input to an estimator in its Behavioral Analysis Layer.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C. Zhang et al. (2026).</w:t>
      </w:r>
      <w:r>
        <w:rPr>
          <w:rFonts w:ascii="Times New Roman" w:cs="Times New Roman" w:eastAsia="Times New Roman" w:hAnsi="Times New Roman"/>
          <w:sz w:val="24"/>
          <w:szCs w:val="24"/>
        </w:rPr>
        <w:t xml:space="preserve"> REM does not claim that calibration improves control. It reports calibration quality and control outcomes separately. It acknowledges that a scalar probability, even when combined with consequence-dependent losses, does not represent whether an adversarial trajectory remains recoverable.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Relation to the sequential-detection literature.</w:t>
      </w:r>
      <w:r>
        <w:rPr>
          <w:rFonts w:ascii="Times New Roman" w:cs="Times New Roman" w:eastAsia="Times New Roman" w:hAnsi="Times New Roman"/>
          <w:sz w:val="24"/>
          <w:szCs w:val="24"/>
        </w:rPr>
        <w:t xml:space="preserve"> CUSUM (Page, 1954) appears in REM only as an optional, offline, observe-only analysis (Chapter 3). It never influences a verdict and is not a contribution. The operational semantics of the Modify response and the treatment of ties between responses of equal expected loss are addressed in Chapter 3.</w:t>
      </w:r>
    </w:p>
    <w:p>
      <w:pPr>
        <w:keepNext/>
        <w:spacing w:after="80" w:before="200"/>
      </w:pPr>
      <w:r>
        <w:rPr>
          <w:rFonts w:ascii="Times New Roman" w:cs="Times New Roman" w:eastAsia="Times New Roman" w:hAnsi="Times New Roman"/>
          <w:b/>
          <w:bCs/>
          <w:sz w:val="24"/>
          <w:szCs w:val="24"/>
        </w:rPr>
        <w:t xml:space="preserve">Table 2.8. What REM adopts from prior work and what constitutes the thesis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4"/>
        <w:gridCol w:w="1067"/>
        <w:gridCol w:w="2391"/>
        <w:gridCol w:w="2194"/>
      </w:tblGrid>
      <w:tr>
        <w:trPr>
          <w:cantSplit/>
          <w:tblHeader/>
        </w:trPr>
        <w:tc>
          <w:tcPr>
            <w:tcW w:type="dxa" w:w="337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Element</w:t>
            </w:r>
          </w:p>
        </w:tc>
        <w:tc>
          <w:tcPr>
            <w:tcW w:type="dxa" w:w="106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Status in the literature</w:t>
            </w:r>
          </w:p>
        </w:tc>
        <w:tc>
          <w:tcPr>
            <w:tcW w:type="dxa" w:w="239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Source(s)</w:t>
            </w:r>
          </w:p>
        </w:tc>
        <w:tc>
          <w:tcPr>
            <w:tcW w:type="dxa" w:w="219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Role in REM</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Pre-execution mediation of tool calls</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Progent; AgentSpec; AgentTrust; PRISM; SafeAgent</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Provenance / goal-consistency evidence</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ProvenanceGuard; Task Shield; MELON</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as estimator input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Ridge logistic risk scoring</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Cox (1958); le Cessie &amp; van Houwelingen (1992); NEXUS</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Platt calibration on the logit</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Platt (1999); Guo et al. (2017); Kull et al. (2017); NEXUS</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Beta and isotonic calibration</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Kull et al. (2017); Zadrozny &amp; Elkan (2002)</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Reviewed; </w:t>
            </w:r>
            <w:r>
              <w:rPr>
                <w:rFonts w:ascii="Times New Roman" w:cs="Times New Roman" w:eastAsia="Times New Roman" w:hAnsi="Times New Roman"/>
                <w:b/>
                <w:bCs/>
                <w:sz w:val="16"/>
                <w:szCs w:val="16"/>
              </w:rPr>
              <w:t xml:space="preserve">not adopted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Minimum expected-cost decision; reject option</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Elkan (2001); Chow (1970); NEXUS objective</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Consequence-dependent control</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H.-H. Chen (2026); NEXUS; SafeAgent; AgentTrust</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as declared tiers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Graduated responses incl. human review</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AgentTrust; NEXUS; SafeAgent; Jackson; MI9</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Sequential change detection (CUSUM)</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Page (1954); Basseville &amp; Nikiforov (1993); Lorden (1971)</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Optional, observe-only analysis outside the verdict path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Additive attribution for audit</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Established</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Lundberg &amp; Lee (2017)</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Audit record only; not used for the verdict (not claimed)</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Combination of (i)–(iv) in §2.12.2 at the action boundary, under indirect injection, on an open executable banking benchmark</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Not reported in reviewed corpus</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Thesis contribution (integrative)</w:t>
            </w:r>
          </w:p>
        </w:tc>
      </w:tr>
      <w:tr>
        <w:trPr>
          <w:cantSplit/>
          <w:tblHeader w:val="false"/>
        </w:trPr>
        <w:tc>
          <w:tcPr>
            <w:tcW w:type="dxa" w:w="337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Evaluation separating attack success, benign utility, intervention behavior, calibration and latency, against a consequence-independent baseline with the same estimator</w:t>
            </w:r>
          </w:p>
        </w:tc>
        <w:tc>
          <w:tcPr>
            <w:tcW w:type="dxa" w:w="10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Not reported in reviewed corpus</w:t>
            </w:r>
          </w:p>
        </w:tc>
        <w:tc>
          <w:tcPr>
            <w:tcW w:type="dxa" w:w="23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t>
            </w:r>
          </w:p>
        </w:tc>
        <w:tc>
          <w:tcPr>
            <w:tcW w:type="dxa" w:w="219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Thesis contribution (empirical)</w:t>
            </w:r>
          </w:p>
        </w:tc>
      </w:tr>
    </w:tbl>
    <w:p>
      <w:pPr>
        <w:spacing w:after="120"/>
      </w:pPr>
    </w:p>
    <w:p>
      <w:pPr>
        <w:keepNext/>
        <w:spacing w:after="80" w:before="200"/>
      </w:pPr>
      <w:r>
        <w:rPr>
          <w:rFonts w:ascii="Times New Roman" w:cs="Times New Roman" w:eastAsia="Times New Roman" w:hAnsi="Times New Roman"/>
          <w:b/>
          <w:bCs/>
          <w:sz w:val="24"/>
          <w:szCs w:val="24"/>
        </w:rPr>
        <w:t xml:space="preserve">Table 2.9. Requirements derived from the literature and their treatment in Chapter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1821"/>
        <w:gridCol w:w="4714"/>
      </w:tblGrid>
      <w:tr>
        <w:trPr>
          <w:cantSplit/>
          <w:tblHeader/>
        </w:trPr>
        <w:tc>
          <w:tcPr>
            <w:tcW w:type="dxa" w:w="249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Requirement</w:t>
            </w:r>
          </w:p>
        </w:tc>
        <w:tc>
          <w:tcPr>
            <w:tcW w:type="dxa" w:w="182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Literature basis</w:t>
            </w:r>
          </w:p>
        </w:tc>
        <w:tc>
          <w:tcPr>
            <w:tcW w:type="dxa" w:w="471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Treatment in Chapter 3</w:t>
            </w:r>
          </w:p>
        </w:tc>
      </w:tr>
      <w:tr>
        <w:trPr>
          <w:cantSplit/>
          <w:tblHeader w:val="false"/>
        </w:trPr>
        <w:tc>
          <w:tcPr>
            <w:tcW w:type="dxa" w:w="24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R1 Pre-execution mediation</w:t>
            </w:r>
          </w:p>
        </w:tc>
        <w:tc>
          <w:tcPr>
            <w:tcW w:type="dxa" w:w="182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Sections 2.5, 2.8</w:t>
            </w:r>
          </w:p>
        </w:tc>
        <w:tc>
          <w:tcPr>
            <w:tcW w:type="dxa" w:w="471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REM intercepts each proposed tool call before release (Sections 3.2, 3.10)</w:t>
            </w:r>
          </w:p>
        </w:tc>
      </w:tr>
      <w:tr>
        <w:trPr>
          <w:cantSplit/>
          <w:tblHeader w:val="false"/>
        </w:trPr>
        <w:tc>
          <w:tcPr>
            <w:tcW w:type="dxa" w:w="24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R2 Provenance evidence for action arguments</w:t>
            </w:r>
          </w:p>
        </w:tc>
        <w:tc>
          <w:tcPr>
            <w:tcW w:type="dxa" w:w="182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Sections 2.3.2, 2.6.2</w:t>
            </w:r>
          </w:p>
        </w:tc>
        <w:tc>
          <w:tcPr>
            <w:tcW w:type="dxa" w:w="471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Action-provenance features in the Behavioral Analysis Layer (Section 3.6)</w:t>
            </w:r>
          </w:p>
        </w:tc>
      </w:tr>
      <w:tr>
        <w:trPr>
          <w:cantSplit/>
          <w:tblHeader w:val="false"/>
        </w:trPr>
        <w:tc>
          <w:tcPr>
            <w:tcW w:type="dxa" w:w="24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R3 Consequence-differentiated responses</w:t>
            </w:r>
          </w:p>
        </w:tc>
        <w:tc>
          <w:tcPr>
            <w:tcW w:type="dxa" w:w="182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Sections 2.7.5, 2.8.6, 2.9.1</w:t>
            </w:r>
          </w:p>
        </w:tc>
        <w:tc>
          <w:tcPr>
            <w:tcW w:type="dxa" w:w="471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Consequence tiers and tier-indexed losses (Section 3.7)</w:t>
            </w:r>
          </w:p>
        </w:tc>
      </w:tr>
      <w:tr>
        <w:trPr>
          <w:cantSplit/>
          <w:tblHeader w:val="false"/>
        </w:trPr>
        <w:tc>
          <w:tcPr>
            <w:tcW w:type="dxa" w:w="24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R4 Human review</w:t>
            </w:r>
          </w:p>
        </w:tc>
        <w:tc>
          <w:tcPr>
            <w:tcW w:type="dxa" w:w="182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Sections 2.7.5, 2.8, 2.9.3</w:t>
            </w:r>
          </w:p>
        </w:tc>
        <w:tc>
          <w:tcPr>
            <w:tcW w:type="dxa" w:w="471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Escalate verdict (Sections 3.7, 3.8)</w:t>
            </w:r>
          </w:p>
        </w:tc>
      </w:tr>
      <w:tr>
        <w:trPr>
          <w:cantSplit/>
          <w:tblHeader w:val="false"/>
        </w:trPr>
        <w:tc>
          <w:tcPr>
            <w:tcW w:type="dxa" w:w="24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R5 Audit record</w:t>
            </w:r>
          </w:p>
        </w:tc>
        <w:tc>
          <w:tcPr>
            <w:tcW w:type="dxa" w:w="182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Sections 2.7.6, 2.9.3</w:t>
            </w:r>
          </w:p>
        </w:tc>
        <w:tc>
          <w:tcPr>
            <w:tcW w:type="dxa" w:w="471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Audit record with linear attribution, never used for the verdict (Section 3.7.6)</w:t>
            </w:r>
          </w:p>
        </w:tc>
      </w:tr>
      <w:tr>
        <w:trPr>
          <w:cantSplit/>
          <w:tblHeader w:val="false"/>
        </w:trPr>
        <w:tc>
          <w:tcPr>
            <w:tcW w:type="dxa" w:w="249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R6 Joint security, utility, calibration and latency measurement</w:t>
            </w:r>
          </w:p>
        </w:tc>
        <w:tc>
          <w:tcPr>
            <w:tcW w:type="dxa" w:w="182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Sections 2.4, 2.6.3, 2.7.3</w:t>
            </w:r>
          </w:p>
        </w:tc>
        <w:tc>
          <w:tcPr>
            <w:tcW w:type="dxa" w:w="471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Primary metrics and baseline comparison (Sections 3.11, 3.12)</w:t>
            </w:r>
          </w:p>
        </w:tc>
      </w:tr>
    </w:tbl>
    <w:p>
      <w:pPr>
        <w:spacing w:after="120"/>
      </w:pPr>
    </w:p>
    <w:p>
      <w:pPr>
        <w:pStyle w:val="Heading1"/>
        <w:keepNext/>
        <w:spacing w:after="120" w:before="360"/>
      </w:pPr>
      <w:r>
        <w:rPr>
          <w:rFonts w:ascii="Times New Roman" w:cs="Times New Roman" w:eastAsia="Times New Roman" w:hAnsi="Times New Roman"/>
          <w:b/>
          <w:bCs/>
          <w:i w:val="false"/>
          <w:iCs w:val="false"/>
          <w:sz w:val="28"/>
          <w:szCs w:val="28"/>
        </w:rPr>
        <w:t xml:space="preserve">2.13 Chapter Summary</w:t>
      </w:r>
    </w:p>
    <w:p>
      <w:pPr>
        <w:spacing w:after="120" w:line="360"/>
        <w:jc w:val="both"/>
      </w:pPr>
      <w:r>
        <w:rPr>
          <w:rFonts w:ascii="Times New Roman" w:cs="Times New Roman" w:eastAsia="Times New Roman" w:hAnsi="Times New Roman"/>
          <w:sz w:val="24"/>
          <w:szCs w:val="24"/>
        </w:rPr>
        <w:t xml:space="preserve">This chapter reviewed the literature on runtime protection of LLM agents, with a focus on financial tool use.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Threats.</w:t>
      </w:r>
      <w:r>
        <w:rPr>
          <w:rFonts w:ascii="Times New Roman" w:cs="Times New Roman" w:eastAsia="Times New Roman" w:hAnsi="Times New Roman"/>
          <w:sz w:val="24"/>
          <w:szCs w:val="24"/>
        </w:rPr>
        <w:t xml:space="preserve"> Agent architecture creates risk at the interaction between heterogeneous input channels, accumulated state and consequential tools. Indirect prompt injection enters through the observation channel, and its harm materializes at the proposed action, which is the last point at which harm can be prevented.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Defenses.</w:t>
      </w:r>
      <w:r>
        <w:rPr>
          <w:rFonts w:ascii="Times New Roman" w:cs="Times New Roman" w:eastAsia="Times New Roman" w:hAnsi="Times New Roman"/>
          <w:sz w:val="24"/>
          <w:szCs w:val="24"/>
        </w:rPr>
        <w:t xml:space="preserve"> Defenses differ in where they intervene and what they observe. Input and model-level defenses do not see the action boundary. Policy enforcers answer permission rather than likelihood. Guardrails produce uncalibrated verdicts. Provenance and goal-consistency methods target the relational character of injected actions.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Behavioral analysis.</w:t>
      </w:r>
      <w:r>
        <w:rPr>
          <w:rFonts w:ascii="Times New Roman" w:cs="Times New Roman" w:eastAsia="Times New Roman" w:hAnsi="Times New Roman"/>
          <w:sz w:val="24"/>
          <w:szCs w:val="24"/>
        </w:rPr>
        <w:t xml:space="preserve"> Trajectory-aware monitoring is well populated, but evidence on its measured contribution is thin, and the classical anomaly-detection literature imposes cautions on its evaluation.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Algorithmic foundations.</w:t>
      </w:r>
      <w:r>
        <w:rPr>
          <w:rFonts w:ascii="Times New Roman" w:cs="Times New Roman" w:eastAsia="Times New Roman" w:hAnsi="Times New Roman"/>
          <w:sz w:val="24"/>
          <w:szCs w:val="24"/>
        </w:rPr>
        <w:t xml:space="preserve"> The methods underlying a probabilistic decision layer are established: ridge logistic regression, Platt calibration (with beta and isotonic calibration as reviewed alternatives), expected-cost decisions with a reject option, and additive attribution. CUSUM is reviewed as an optional, observe-only analysis outside REM's verdict path, and naive Bayes as an alternative estimator. Calibration has been shown to be necessary for cost-based decisions but not sufficient for good control.</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Runtime systems.</w:t>
      </w:r>
      <w:r>
        <w:rPr>
          <w:rFonts w:ascii="Times New Roman" w:cs="Times New Roman" w:eastAsia="Times New Roman" w:hAnsi="Times New Roman"/>
          <w:sz w:val="24"/>
          <w:szCs w:val="24"/>
        </w:rPr>
        <w:t xml:space="preserve"> Interception, graduated verdicts, calibrated scoring, consequence awareness and transactional mitigation all have precedents, most directly in AgentTrust and NEXUS.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Financial agents.</w:t>
      </w:r>
      <w:r>
        <w:rPr>
          <w:rFonts w:ascii="Times New Roman" w:cs="Times New Roman" w:eastAsia="Times New Roman" w:hAnsi="Times New Roman"/>
          <w:sz w:val="24"/>
          <w:szCs w:val="24"/>
        </w:rPr>
        <w:t xml:space="preserve"> Financial-agent security has begun to be addressed, but on a small, preprint-dominated and partly withdrawn evidence base.</w:t>
      </w:r>
    </w:p>
    <w:p>
      <w:pPr>
        <w:spacing w:after="120" w:line="360"/>
        <w:jc w:val="both"/>
      </w:pPr>
      <w:r>
        <w:rPr>
          <w:rFonts w:ascii="Times New Roman" w:cs="Times New Roman" w:eastAsia="Times New Roman" w:hAnsi="Times New Roman"/>
          <w:sz w:val="24"/>
          <w:szCs w:val="24"/>
        </w:rPr>
        <w:t xml:space="preserve">The research gap is accordingly integrative and empirical. It concerns the evaluation, on an open, executable banking benchmark, of a runtime layer that combines provenance-based action evidence, a calibrated per-step probability, consequence-tiered expected-loss decisions and deterministic mitigation, measured separately for attack success, benign utility, utility under attack, intervention behavior and latency, with calibration reported separately from control outcomes, against a consequence-independent baseline. Chapter 3 specifies the methodology through which this gap is addressed.</w:t>
      </w:r>
    </w:p>
    <w:p>
      <w:pPr>
        <w:pStyle w:val="Heading1"/>
        <w:keepNext/>
        <w:spacing w:after="120" w:before="360"/>
      </w:pPr>
      <w:r>
        <w:rPr>
          <w:rFonts w:ascii="Times New Roman" w:cs="Times New Roman" w:eastAsia="Times New Roman" w:hAnsi="Times New Roman"/>
          <w:b/>
          <w:bCs/>
          <w:i w:val="false"/>
          <w:iCs w:val="false"/>
          <w:sz w:val="28"/>
          <w:szCs w:val="28"/>
        </w:rPr>
        <w:t xml:space="preserve">References</w:t>
      </w:r>
    </w:p>
    <w:p>
      <w:pPr>
        <w:spacing w:after="120" w:line="360"/>
        <w:ind w:left="720" w:hanging="720"/>
        <w:jc w:val="left"/>
      </w:pPr>
      <w:r>
        <w:rPr>
          <w:rFonts w:ascii="Times New Roman" w:cs="Times New Roman" w:eastAsia="Times New Roman" w:hAnsi="Times New Roman"/>
          <w:i/>
          <w:iCs/>
          <w:sz w:val="24"/>
          <w:szCs w:val="24"/>
        </w:rPr>
        <w:t xml:space="preserve">Preprints, working papers and withdrawn preprints are marked. Official and regulatory sources are marked [Official source] and are not treated as research literature.</w:t>
      </w:r>
    </w:p>
    <w:p>
      <w:pPr>
        <w:spacing w:after="120" w:line="360"/>
        <w:ind w:left="720" w:hanging="720"/>
        <w:jc w:val="left"/>
      </w:pPr>
      <w:r>
        <w:rPr>
          <w:rFonts w:ascii="Times New Roman" w:cs="Times New Roman" w:eastAsia="Times New Roman" w:hAnsi="Times New Roman"/>
          <w:sz w:val="24"/>
          <w:szCs w:val="24"/>
        </w:rPr>
        <w:t xml:space="preserve">Andriushchenko, M., Souly, A., Dziemian, M., Duenas, D., Lin, M., Wang, J., Hendrycks, D., Zou, A., Kolter, Z., Fredrikson, M., Winsor, E., Wynne, J., Gal, Y., &amp; Davies, X. (2025). AgentHarm: A benchmark for measuring harmfulness of LLM agents. In </w:t>
      </w:r>
      <w:r>
        <w:rPr>
          <w:rFonts w:ascii="Times New Roman" w:cs="Times New Roman" w:eastAsia="Times New Roman" w:hAnsi="Times New Roman"/>
          <w:i/>
          <w:iCs/>
          <w:sz w:val="24"/>
          <w:szCs w:val="24"/>
        </w:rPr>
        <w:t xml:space="preserve">The Thirteenth International Conference on Learning Representations (ICLR 2025)</w:t>
      </w:r>
      <w:r>
        <w:rPr>
          <w:rFonts w:ascii="Times New Roman" w:cs="Times New Roman" w:eastAsia="Times New Roman" w:hAnsi="Times New Roman"/>
          <w:sz w:val="24"/>
          <w:szCs w:val="24"/>
        </w:rPr>
        <w:t xml:space="preserve">. https://arxiv.org/abs/2410.09024</w:t>
      </w:r>
    </w:p>
    <w:p>
      <w:pPr>
        <w:spacing w:after="120" w:line="360"/>
        <w:ind w:left="720" w:hanging="720"/>
        <w:jc w:val="left"/>
      </w:pPr>
      <w:r>
        <w:rPr>
          <w:rFonts w:ascii="Times New Roman" w:cs="Times New Roman" w:eastAsia="Times New Roman" w:hAnsi="Times New Roman"/>
          <w:sz w:val="24"/>
          <w:szCs w:val="24"/>
        </w:rPr>
        <w:t xml:space="preserve">Arp, D., Quiring, E., Pendlebury, F., Warnecke, A., Pierazzi, F., Wressnegger, C., Cavallaro, L., &amp; Rieck, K. (2022). Dos and don'ts of machine learning in computer security. In </w:t>
      </w:r>
      <w:r>
        <w:rPr>
          <w:rFonts w:ascii="Times New Roman" w:cs="Times New Roman" w:eastAsia="Times New Roman" w:hAnsi="Times New Roman"/>
          <w:i/>
          <w:iCs/>
          <w:sz w:val="24"/>
          <w:szCs w:val="24"/>
        </w:rPr>
        <w:t xml:space="preserve">31st USENIX Security Symposium</w:t>
      </w:r>
      <w:r>
        <w:rPr>
          <w:rFonts w:ascii="Times New Roman" w:cs="Times New Roman" w:eastAsia="Times New Roman" w:hAnsi="Times New Roman"/>
          <w:sz w:val="24"/>
          <w:szCs w:val="24"/>
        </w:rPr>
        <w:t xml:space="preserve"> (pp. 3971–3988). USENIX Association.</w:t>
      </w:r>
    </w:p>
    <w:p>
      <w:pPr>
        <w:spacing w:after="120" w:line="360"/>
        <w:ind w:left="720" w:hanging="720"/>
        <w:jc w:val="left"/>
      </w:pPr>
      <w:r>
        <w:rPr>
          <w:rFonts w:ascii="Times New Roman" w:cs="Times New Roman" w:eastAsia="Times New Roman" w:hAnsi="Times New Roman"/>
          <w:sz w:val="24"/>
          <w:szCs w:val="24"/>
        </w:rPr>
        <w:t xml:space="preserve">Basseville, M., &amp; Nikiforov, I. V. (1993). </w:t>
      </w:r>
      <w:r>
        <w:rPr>
          <w:rFonts w:ascii="Times New Roman" w:cs="Times New Roman" w:eastAsia="Times New Roman" w:hAnsi="Times New Roman"/>
          <w:i/>
          <w:iCs/>
          <w:sz w:val="24"/>
          <w:szCs w:val="24"/>
        </w:rPr>
        <w:t xml:space="preserve">Detection of abrupt changes: Theory and application</w:t>
      </w:r>
      <w:r>
        <w:rPr>
          <w:rFonts w:ascii="Times New Roman" w:cs="Times New Roman" w:eastAsia="Times New Roman" w:hAnsi="Times New Roman"/>
          <w:sz w:val="24"/>
          <w:szCs w:val="24"/>
        </w:rPr>
        <w:t xml:space="preserve">. Prentice Hall.</w:t>
      </w:r>
    </w:p>
    <w:p>
      <w:pPr>
        <w:spacing w:after="120" w:line="360"/>
        <w:ind w:left="720" w:hanging="720"/>
        <w:jc w:val="left"/>
      </w:pPr>
      <w:r>
        <w:rPr>
          <w:rFonts w:ascii="Times New Roman" w:cs="Times New Roman" w:eastAsia="Times New Roman" w:hAnsi="Times New Roman"/>
          <w:sz w:val="24"/>
          <w:szCs w:val="24"/>
        </w:rPr>
        <w:t xml:space="preserve">Chandola, V., Banerjee, A., &amp; Kumar, V. (2009). Anomaly detection: A survey. </w:t>
      </w:r>
      <w:r>
        <w:rPr>
          <w:rFonts w:ascii="Times New Roman" w:cs="Times New Roman" w:eastAsia="Times New Roman" w:hAnsi="Times New Roman"/>
          <w:i/>
          <w:iCs/>
          <w:sz w:val="24"/>
          <w:szCs w:val="24"/>
        </w:rPr>
        <w:t xml:space="preserve">ACM Computing Surveys, 41</w:t>
      </w:r>
      <w:r>
        <w:rPr>
          <w:rFonts w:ascii="Times New Roman" w:cs="Times New Roman" w:eastAsia="Times New Roman" w:hAnsi="Times New Roman"/>
          <w:sz w:val="24"/>
          <w:szCs w:val="24"/>
        </w:rPr>
        <w:t xml:space="preserve">(3), Article 15, 1–58. https://doi.org/10.1145/1541880.1541882</w:t>
      </w:r>
    </w:p>
    <w:p>
      <w:pPr>
        <w:spacing w:after="120" w:line="360"/>
        <w:ind w:left="720" w:hanging="720"/>
        <w:jc w:val="left"/>
      </w:pPr>
      <w:r>
        <w:rPr>
          <w:rFonts w:ascii="Times New Roman" w:cs="Times New Roman" w:eastAsia="Times New Roman" w:hAnsi="Times New Roman"/>
          <w:sz w:val="24"/>
          <w:szCs w:val="24"/>
        </w:rPr>
        <w:t xml:space="preserve">Chandola, V., Banerjee, A., &amp; Kumar, V. (2012). Anomaly detection for discrete sequences: A survey. </w:t>
      </w:r>
      <w:r>
        <w:rPr>
          <w:rFonts w:ascii="Times New Roman" w:cs="Times New Roman" w:eastAsia="Times New Roman" w:hAnsi="Times New Roman"/>
          <w:i/>
          <w:iCs/>
          <w:sz w:val="24"/>
          <w:szCs w:val="24"/>
        </w:rPr>
        <w:t xml:space="preserve">IEEE Transactions on Knowledge and Data Engineering, 24</w:t>
      </w:r>
      <w:r>
        <w:rPr>
          <w:rFonts w:ascii="Times New Roman" w:cs="Times New Roman" w:eastAsia="Times New Roman" w:hAnsi="Times New Roman"/>
          <w:sz w:val="24"/>
          <w:szCs w:val="24"/>
        </w:rPr>
        <w:t xml:space="preserve">(5), 823–839. https://doi.org/10.1109/TKDE.2010.235</w:t>
      </w:r>
    </w:p>
    <w:p>
      <w:pPr>
        <w:spacing w:after="120" w:line="360"/>
        <w:ind w:left="720" w:hanging="720"/>
        <w:jc w:val="left"/>
      </w:pPr>
      <w:r>
        <w:rPr>
          <w:rFonts w:ascii="Times New Roman" w:cs="Times New Roman" w:eastAsia="Times New Roman" w:hAnsi="Times New Roman"/>
          <w:sz w:val="24"/>
          <w:szCs w:val="24"/>
        </w:rPr>
        <w:t xml:space="preserve">Chen, H.-H. (2026). </w:t>
      </w:r>
      <w:r>
        <w:rPr>
          <w:rFonts w:ascii="Times New Roman" w:cs="Times New Roman" w:eastAsia="Times New Roman" w:hAnsi="Times New Roman"/>
          <w:i/>
          <w:iCs/>
          <w:sz w:val="24"/>
          <w:szCs w:val="24"/>
        </w:rPr>
        <w:t xml:space="preserve">Insuring every action: An authority frontier framework for runtime actuarial control of autonomous AI agents</w:t>
      </w:r>
      <w:r>
        <w:rPr>
          <w:rFonts w:ascii="Times New Roman" w:cs="Times New Roman" w:eastAsia="Times New Roman" w:hAnsi="Times New Roman"/>
          <w:sz w:val="24"/>
          <w:szCs w:val="24"/>
        </w:rPr>
        <w:t xml:space="preserve"> (arXiv:2605.25632) [Preprint]. arXiv. https://arxiv.org/abs/2605.25632</w:t>
      </w:r>
    </w:p>
    <w:p>
      <w:pPr>
        <w:spacing w:after="120" w:line="360"/>
        <w:ind w:left="720" w:hanging="720"/>
        <w:jc w:val="left"/>
      </w:pPr>
      <w:r>
        <w:rPr>
          <w:rFonts w:ascii="Times New Roman" w:cs="Times New Roman" w:eastAsia="Times New Roman" w:hAnsi="Times New Roman"/>
          <w:sz w:val="24"/>
          <w:szCs w:val="24"/>
        </w:rPr>
        <w:t xml:space="preserve">Chen, S., Piet, J., Sitawarin, C., &amp; Wagner, D. (2025). StruQ: Defending against prompt injection with structured queries. In </w:t>
      </w:r>
      <w:r>
        <w:rPr>
          <w:rFonts w:ascii="Times New Roman" w:cs="Times New Roman" w:eastAsia="Times New Roman" w:hAnsi="Times New Roman"/>
          <w:i/>
          <w:iCs/>
          <w:sz w:val="24"/>
          <w:szCs w:val="24"/>
        </w:rPr>
        <w:t xml:space="preserve">34th USENIX Security Symposium</w:t>
      </w:r>
      <w:r>
        <w:rPr>
          <w:rFonts w:ascii="Times New Roman" w:cs="Times New Roman" w:eastAsia="Times New Roman" w:hAnsi="Times New Roman"/>
          <w:sz w:val="24"/>
          <w:szCs w:val="24"/>
        </w:rPr>
        <w:t xml:space="preserve">. USENIX Association.</w:t>
      </w:r>
    </w:p>
    <w:p>
      <w:pPr>
        <w:spacing w:after="120" w:line="360"/>
        <w:ind w:left="720" w:hanging="720"/>
        <w:jc w:val="left"/>
      </w:pPr>
      <w:r>
        <w:rPr>
          <w:rFonts w:ascii="Times New Roman" w:cs="Times New Roman" w:eastAsia="Times New Roman" w:hAnsi="Times New Roman"/>
          <w:sz w:val="24"/>
          <w:szCs w:val="24"/>
        </w:rPr>
        <w:t xml:space="preserve">Chen, Z., Chen, J., Chen, J., &amp; Sra, M. (2025). </w:t>
      </w:r>
      <w:r>
        <w:rPr>
          <w:rFonts w:ascii="Times New Roman" w:cs="Times New Roman" w:eastAsia="Times New Roman" w:hAnsi="Times New Roman"/>
          <w:i/>
          <w:iCs/>
          <w:sz w:val="24"/>
          <w:szCs w:val="24"/>
        </w:rPr>
        <w:t xml:space="preserve">Standard benchmarks fail — Auditing LLM agents in finance must prioritize risk</w:t>
      </w:r>
      <w:r>
        <w:rPr>
          <w:rFonts w:ascii="Times New Roman" w:cs="Times New Roman" w:eastAsia="Times New Roman" w:hAnsi="Times New Roman"/>
          <w:sz w:val="24"/>
          <w:szCs w:val="24"/>
        </w:rPr>
        <w:t xml:space="preserve"> (arXiv:2502.15865) [Preprint]. arXiv. https://arxiv.org/abs/2502.15865</w:t>
      </w:r>
    </w:p>
    <w:p>
      <w:pPr>
        <w:spacing w:after="120" w:line="360"/>
        <w:ind w:left="720" w:hanging="720"/>
        <w:jc w:val="left"/>
      </w:pPr>
      <w:r>
        <w:rPr>
          <w:rFonts w:ascii="Times New Roman" w:cs="Times New Roman" w:eastAsia="Times New Roman" w:hAnsi="Times New Roman"/>
          <w:sz w:val="24"/>
          <w:szCs w:val="24"/>
        </w:rPr>
        <w:t xml:space="preserve">Chen, Z., Dong, D., Liu, H., Li, J., Zhai, J., Xu, D., &amp; Pu, B. (2026). </w:t>
      </w:r>
      <w:r>
        <w:rPr>
          <w:rFonts w:ascii="Times New Roman" w:cs="Times New Roman" w:eastAsia="Times New Roman" w:hAnsi="Times New Roman"/>
          <w:i/>
          <w:iCs/>
          <w:sz w:val="24"/>
          <w:szCs w:val="24"/>
        </w:rPr>
        <w:t xml:space="preserve">Cordon: Semantic transactions for tool-using LLM agents</w:t>
      </w:r>
      <w:r>
        <w:rPr>
          <w:rFonts w:ascii="Times New Roman" w:cs="Times New Roman" w:eastAsia="Times New Roman" w:hAnsi="Times New Roman"/>
          <w:sz w:val="24"/>
          <w:szCs w:val="24"/>
        </w:rPr>
        <w:t xml:space="preserve"> (arXiv:2606.17573) [Preprint]. arXiv. https://arxiv.org/abs/2606.17573</w:t>
      </w:r>
    </w:p>
    <w:p>
      <w:pPr>
        <w:spacing w:after="120" w:line="360"/>
        <w:ind w:left="720" w:hanging="720"/>
        <w:jc w:val="left"/>
      </w:pPr>
      <w:r>
        <w:rPr>
          <w:rFonts w:ascii="Times New Roman" w:cs="Times New Roman" w:eastAsia="Times New Roman" w:hAnsi="Times New Roman"/>
          <w:sz w:val="24"/>
          <w:szCs w:val="24"/>
        </w:rPr>
        <w:t xml:space="preserve">Chen, Z., Kang, M., &amp; Li, B. (2025). ShieldAgent: Shielding agents via verifiable safety policy reasoning. In </w:t>
      </w:r>
      <w:r>
        <w:rPr>
          <w:rFonts w:ascii="Times New Roman" w:cs="Times New Roman" w:eastAsia="Times New Roman" w:hAnsi="Times New Roman"/>
          <w:i/>
          <w:iCs/>
          <w:sz w:val="24"/>
          <w:szCs w:val="24"/>
        </w:rPr>
        <w:t xml:space="preserve">Proceedings of the 42nd International Conference on Machine Learning</w:t>
      </w:r>
      <w:r>
        <w:rPr>
          <w:rFonts w:ascii="Times New Roman" w:cs="Times New Roman" w:eastAsia="Times New Roman" w:hAnsi="Times New Roman"/>
          <w:sz w:val="24"/>
          <w:szCs w:val="24"/>
        </w:rPr>
        <w:t xml:space="preserve"> (Proceedings of Machine Learning Research, Vol. 267, pp. 8313–8344). PMLR.</w:t>
      </w:r>
    </w:p>
    <w:p>
      <w:pPr>
        <w:spacing w:after="120" w:line="360"/>
        <w:ind w:left="720" w:hanging="720"/>
        <w:jc w:val="left"/>
      </w:pPr>
      <w:r>
        <w:rPr>
          <w:rFonts w:ascii="Times New Roman" w:cs="Times New Roman" w:eastAsia="Times New Roman" w:hAnsi="Times New Roman"/>
          <w:sz w:val="24"/>
          <w:szCs w:val="24"/>
        </w:rPr>
        <w:t xml:space="preserve">Chen, Z., Xiang, Z., Xiao, C., Song, D., &amp; Li, B. (2024). AgentPoison: Red-teaming LLM agents via poisoning memory or knowledge bases. In </w:t>
      </w:r>
      <w:r>
        <w:rPr>
          <w:rFonts w:ascii="Times New Roman" w:cs="Times New Roman" w:eastAsia="Times New Roman" w:hAnsi="Times New Roman"/>
          <w:i/>
          <w:iCs/>
          <w:sz w:val="24"/>
          <w:szCs w:val="24"/>
        </w:rPr>
        <w:t xml:space="preserve">Advances in Neural Information Processing Systems 37 (NeurIPS 2024)</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Chennabasappa, S., Nikolaidis, C., Song, D., Molnar, D., Ding, S., Wan, S., Whitman, S., Deason, L., Doucette, N., Montilla, A., Gampa, A., de Paola, B., Gabi, D., Crnkovich, J., Testud, J.-C., He, K., Chaturvedi, R., Zhou, W., &amp; Saxe, J. (2025). </w:t>
      </w:r>
      <w:r>
        <w:rPr>
          <w:rFonts w:ascii="Times New Roman" w:cs="Times New Roman" w:eastAsia="Times New Roman" w:hAnsi="Times New Roman"/>
          <w:i/>
          <w:iCs/>
          <w:sz w:val="24"/>
          <w:szCs w:val="24"/>
        </w:rPr>
        <w:t xml:space="preserve">LlamaFirewall: An open source guardrail system for building secure AI agents</w:t>
      </w:r>
      <w:r>
        <w:rPr>
          <w:rFonts w:ascii="Times New Roman" w:cs="Times New Roman" w:eastAsia="Times New Roman" w:hAnsi="Times New Roman"/>
          <w:sz w:val="24"/>
          <w:szCs w:val="24"/>
        </w:rPr>
        <w:t xml:space="preserve"> (arXiv:2505.03574) [Preprint]. arXiv. https://arxiv.org/abs/2505.03574</w:t>
      </w:r>
    </w:p>
    <w:p>
      <w:pPr>
        <w:spacing w:after="120" w:line="360"/>
        <w:ind w:left="720" w:hanging="720"/>
        <w:jc w:val="left"/>
      </w:pPr>
      <w:r>
        <w:rPr>
          <w:rFonts w:ascii="Times New Roman" w:cs="Times New Roman" w:eastAsia="Times New Roman" w:hAnsi="Times New Roman"/>
          <w:sz w:val="24"/>
          <w:szCs w:val="24"/>
        </w:rPr>
        <w:t xml:space="preserve">Chow, C. K. (1970). On optimum recognition error and reject tradeoff. </w:t>
      </w:r>
      <w:r>
        <w:rPr>
          <w:rFonts w:ascii="Times New Roman" w:cs="Times New Roman" w:eastAsia="Times New Roman" w:hAnsi="Times New Roman"/>
          <w:i/>
          <w:iCs/>
          <w:sz w:val="24"/>
          <w:szCs w:val="24"/>
        </w:rPr>
        <w:t xml:space="preserve">IEEE Transactions on Information Theory, 16</w:t>
      </w:r>
      <w:r>
        <w:rPr>
          <w:rFonts w:ascii="Times New Roman" w:cs="Times New Roman" w:eastAsia="Times New Roman" w:hAnsi="Times New Roman"/>
          <w:sz w:val="24"/>
          <w:szCs w:val="24"/>
        </w:rPr>
        <w:t xml:space="preserve">(1), 41–46. https://doi.org/10.1109/TIT.1970.1054406</w:t>
      </w:r>
    </w:p>
    <w:p>
      <w:pPr>
        <w:spacing w:after="120" w:line="360"/>
        <w:ind w:left="720" w:hanging="720"/>
        <w:jc w:val="left"/>
      </w:pPr>
      <w:r>
        <w:rPr>
          <w:rFonts w:ascii="Times New Roman" w:cs="Times New Roman" w:eastAsia="Times New Roman" w:hAnsi="Times New Roman"/>
          <w:sz w:val="24"/>
          <w:szCs w:val="24"/>
        </w:rPr>
        <w:t xml:space="preserve">Cox, D. R. (1958). The regression analysis of binary sequences. </w:t>
      </w:r>
      <w:r>
        <w:rPr>
          <w:rFonts w:ascii="Times New Roman" w:cs="Times New Roman" w:eastAsia="Times New Roman" w:hAnsi="Times New Roman"/>
          <w:i/>
          <w:iCs/>
          <w:sz w:val="24"/>
          <w:szCs w:val="24"/>
        </w:rPr>
        <w:t xml:space="preserve">Journal of the Royal Statistical Society: Series B (Methodological), 20</w:t>
      </w:r>
      <w:r>
        <w:rPr>
          <w:rFonts w:ascii="Times New Roman" w:cs="Times New Roman" w:eastAsia="Times New Roman" w:hAnsi="Times New Roman"/>
          <w:sz w:val="24"/>
          <w:szCs w:val="24"/>
        </w:rPr>
        <w:t xml:space="preserve">(2), 215–232. https://doi.org/10.1111/j.2517-6161.1958.tb00292.x</w:t>
      </w:r>
    </w:p>
    <w:p>
      <w:pPr>
        <w:spacing w:after="120" w:line="360"/>
        <w:ind w:left="720" w:hanging="720"/>
        <w:jc w:val="left"/>
      </w:pPr>
      <w:r>
        <w:rPr>
          <w:rFonts w:ascii="Times New Roman" w:cs="Times New Roman" w:eastAsia="Times New Roman" w:hAnsi="Times New Roman"/>
          <w:sz w:val="24"/>
          <w:szCs w:val="24"/>
        </w:rPr>
        <w:t xml:space="preserve">Debenedetti, E., Shumailov, I., Fan, T., Hayes, J., Carlini, N., Fabian, D., Kern, C., Shi, C., Terzis, A., &amp; Tramèr, F. (2025). </w:t>
      </w:r>
      <w:r>
        <w:rPr>
          <w:rFonts w:ascii="Times New Roman" w:cs="Times New Roman" w:eastAsia="Times New Roman" w:hAnsi="Times New Roman"/>
          <w:i/>
          <w:iCs/>
          <w:sz w:val="24"/>
          <w:szCs w:val="24"/>
        </w:rPr>
        <w:t xml:space="preserve">Defeating prompt injections by design</w:t>
      </w:r>
      <w:r>
        <w:rPr>
          <w:rFonts w:ascii="Times New Roman" w:cs="Times New Roman" w:eastAsia="Times New Roman" w:hAnsi="Times New Roman"/>
          <w:sz w:val="24"/>
          <w:szCs w:val="24"/>
        </w:rPr>
        <w:t xml:space="preserve"> (arXiv:2503.18813v2) [Preprint]. arXiv. https://arxiv.org/abs/2503.18813</w:t>
      </w:r>
    </w:p>
    <w:p>
      <w:pPr>
        <w:spacing w:after="120" w:line="360"/>
        <w:ind w:left="720" w:hanging="720"/>
        <w:jc w:val="left"/>
      </w:pPr>
      <w:r>
        <w:rPr>
          <w:rFonts w:ascii="Times New Roman" w:cs="Times New Roman" w:eastAsia="Times New Roman" w:hAnsi="Times New Roman"/>
          <w:sz w:val="24"/>
          <w:szCs w:val="24"/>
        </w:rPr>
        <w:t xml:space="preserve">Debenedetti, E., Zhang, J., Balunović, M., Beurer-Kellner, L., Fischer, M., &amp; Tramèr, F. (2024). AgentDojo: A dynamic environment to evaluate prompt injection attacks and defenses for LLM agents. In </w:t>
      </w:r>
      <w:r>
        <w:rPr>
          <w:rFonts w:ascii="Times New Roman" w:cs="Times New Roman" w:eastAsia="Times New Roman" w:hAnsi="Times New Roman"/>
          <w:i/>
          <w:iCs/>
          <w:sz w:val="24"/>
          <w:szCs w:val="24"/>
        </w:rPr>
        <w:t xml:space="preserve">Advances in Neural Information Processing Systems 37 (NeurIPS 2024), Datasets and Benchmarks Track</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Elkan, C. (2001). The foundations of cost-sensitive learning. In </w:t>
      </w:r>
      <w:r>
        <w:rPr>
          <w:rFonts w:ascii="Times New Roman" w:cs="Times New Roman" w:eastAsia="Times New Roman" w:hAnsi="Times New Roman"/>
          <w:i/>
          <w:iCs/>
          <w:sz w:val="24"/>
          <w:szCs w:val="24"/>
        </w:rPr>
        <w:t xml:space="preserve">Proceedings of the Seventeenth International Joint Conference on Artificial Intelligence (IJCAI-01)</w:t>
      </w:r>
      <w:r>
        <w:rPr>
          <w:rFonts w:ascii="Times New Roman" w:cs="Times New Roman" w:eastAsia="Times New Roman" w:hAnsi="Times New Roman"/>
          <w:sz w:val="24"/>
          <w:szCs w:val="24"/>
        </w:rPr>
        <w:t xml:space="preserve"> (pp. 973–978).</w:t>
      </w:r>
    </w:p>
    <w:p>
      <w:pPr>
        <w:spacing w:after="120" w:line="360"/>
        <w:ind w:left="720" w:hanging="720"/>
        <w:jc w:val="left"/>
      </w:pPr>
      <w:r>
        <w:rPr>
          <w:rFonts w:ascii="Times New Roman" w:cs="Times New Roman" w:eastAsia="Times New Roman" w:hAnsi="Times New Roman"/>
          <w:sz w:val="24"/>
          <w:szCs w:val="24"/>
        </w:rPr>
        <w:t xml:space="preserve">European Parliament &amp; Council of the European Union. (2024). </w:t>
      </w:r>
      <w:r>
        <w:rPr>
          <w:rFonts w:ascii="Times New Roman" w:cs="Times New Roman" w:eastAsia="Times New Roman" w:hAnsi="Times New Roman"/>
          <w:i/>
          <w:iCs/>
          <w:sz w:val="24"/>
          <w:szCs w:val="24"/>
        </w:rPr>
        <w:t xml:space="preserve">Regulation (EU) 2024/1689 of the European Parliament and of the Council of 13 June 2024 laying down harmonised rules on artificial intelligence (Artificial Intelligence Act)</w:t>
      </w:r>
      <w:r>
        <w:rPr>
          <w:rFonts w:ascii="Times New Roman" w:cs="Times New Roman" w:eastAsia="Times New Roman" w:hAnsi="Times New Roman"/>
          <w:sz w:val="24"/>
          <w:szCs w:val="24"/>
        </w:rPr>
        <w:t xml:space="preserve">. Official Journal of the European Union. https://eur-lex.europa.eu/eli/reg/2024/1689/oj [Official source]</w:t>
      </w:r>
    </w:p>
    <w:p>
      <w:pPr>
        <w:spacing w:after="120" w:line="360"/>
        <w:ind w:left="720" w:hanging="720"/>
        <w:jc w:val="left"/>
      </w:pPr>
      <w:r>
        <w:rPr>
          <w:rFonts w:ascii="Times New Roman" w:cs="Times New Roman" w:eastAsia="Times New Roman" w:hAnsi="Times New Roman"/>
          <w:sz w:val="24"/>
          <w:szCs w:val="24"/>
        </w:rPr>
        <w:t xml:space="preserve">Forrest, S., Hofmeyr, S. A., Somayaji, A., &amp; Longstaff, T. A. (1996). A sense of self for Unix processes. In </w:t>
      </w:r>
      <w:r>
        <w:rPr>
          <w:rFonts w:ascii="Times New Roman" w:cs="Times New Roman" w:eastAsia="Times New Roman" w:hAnsi="Times New Roman"/>
          <w:i/>
          <w:iCs/>
          <w:sz w:val="24"/>
          <w:szCs w:val="24"/>
        </w:rPr>
        <w:t xml:space="preserve">Proceedings of the 1996 IEEE Symposium on Security and Privacy</w:t>
      </w:r>
      <w:r>
        <w:rPr>
          <w:rFonts w:ascii="Times New Roman" w:cs="Times New Roman" w:eastAsia="Times New Roman" w:hAnsi="Times New Roman"/>
          <w:sz w:val="24"/>
          <w:szCs w:val="24"/>
        </w:rPr>
        <w:t xml:space="preserve"> (pp. 120–128). IEEE. https://doi.org/10.1109/SECPRI.1996.502675</w:t>
      </w:r>
    </w:p>
    <w:p>
      <w:pPr>
        <w:spacing w:after="120" w:line="360"/>
        <w:ind w:left="720" w:hanging="720"/>
        <w:jc w:val="left"/>
      </w:pPr>
      <w:r>
        <w:rPr>
          <w:rFonts w:ascii="Times New Roman" w:cs="Times New Roman" w:eastAsia="Times New Roman" w:hAnsi="Times New Roman"/>
          <w:sz w:val="24"/>
          <w:szCs w:val="24"/>
        </w:rPr>
        <w:t xml:space="preserve">Greshake, K., Abdelnabi, S., Mishra, S., Endres, C., Holz, T., &amp; Fritz, M. (2023). Not what you've signed up for: Compromising real-world LLM-integrated applications with indirect prompt injection. In </w:t>
      </w:r>
      <w:r>
        <w:rPr>
          <w:rFonts w:ascii="Times New Roman" w:cs="Times New Roman" w:eastAsia="Times New Roman" w:hAnsi="Times New Roman"/>
          <w:i/>
          <w:iCs/>
          <w:sz w:val="24"/>
          <w:szCs w:val="24"/>
        </w:rPr>
        <w:t xml:space="preserve">Proceedings of the 16th ACM Workshop on Artificial Intelligence and Security</w:t>
      </w:r>
      <w:r>
        <w:rPr>
          <w:rFonts w:ascii="Times New Roman" w:cs="Times New Roman" w:eastAsia="Times New Roman" w:hAnsi="Times New Roman"/>
          <w:sz w:val="24"/>
          <w:szCs w:val="24"/>
        </w:rPr>
        <w:t xml:space="preserve"> (pp. 79–90). ACM. https://doi.org/10.1145/3605764.3623985</w:t>
      </w:r>
    </w:p>
    <w:p>
      <w:pPr>
        <w:spacing w:after="120" w:line="360"/>
        <w:ind w:left="720" w:hanging="720"/>
        <w:jc w:val="left"/>
      </w:pPr>
      <w:r>
        <w:rPr>
          <w:rFonts w:ascii="Times New Roman" w:cs="Times New Roman" w:eastAsia="Times New Roman" w:hAnsi="Times New Roman"/>
          <w:sz w:val="24"/>
          <w:szCs w:val="24"/>
        </w:rPr>
        <w:t xml:space="preserve">Guo, C., Pleiss, G., Sun, Y., &amp; Weinberger, K. Q. (2017). On calibration of modern neural networks. In </w:t>
      </w:r>
      <w:r>
        <w:rPr>
          <w:rFonts w:ascii="Times New Roman" w:cs="Times New Roman" w:eastAsia="Times New Roman" w:hAnsi="Times New Roman"/>
          <w:i/>
          <w:iCs/>
          <w:sz w:val="24"/>
          <w:szCs w:val="24"/>
        </w:rPr>
        <w:t xml:space="preserve">Proceedings of the 34th International Conference on Machine Learning</w:t>
      </w:r>
      <w:r>
        <w:rPr>
          <w:rFonts w:ascii="Times New Roman" w:cs="Times New Roman" w:eastAsia="Times New Roman" w:hAnsi="Times New Roman"/>
          <w:sz w:val="24"/>
          <w:szCs w:val="24"/>
        </w:rPr>
        <w:t xml:space="preserve"> (Proceedings of Machine Learning Research, Vol. 70, pp. 1321–1330). PMLR.</w:t>
      </w:r>
    </w:p>
    <w:p>
      <w:pPr>
        <w:spacing w:after="120" w:line="360"/>
        <w:ind w:left="720" w:hanging="720"/>
        <w:jc w:val="left"/>
      </w:pPr>
      <w:r>
        <w:rPr>
          <w:rFonts w:ascii="Times New Roman" w:cs="Times New Roman" w:eastAsia="Times New Roman" w:hAnsi="Times New Roman"/>
          <w:sz w:val="24"/>
          <w:szCs w:val="24"/>
        </w:rPr>
        <w:t xml:space="preserve">Hines, K., Lopez, G., Hall, M., Zarfati, F., Zunger, Y., &amp; Kiciman, E. (2024). </w:t>
      </w:r>
      <w:r>
        <w:rPr>
          <w:rFonts w:ascii="Times New Roman" w:cs="Times New Roman" w:eastAsia="Times New Roman" w:hAnsi="Times New Roman"/>
          <w:i/>
          <w:iCs/>
          <w:sz w:val="24"/>
          <w:szCs w:val="24"/>
        </w:rPr>
        <w:t xml:space="preserve">Defending against indirect prompt injection attacks with spotlighting</w:t>
      </w:r>
      <w:r>
        <w:rPr>
          <w:rFonts w:ascii="Times New Roman" w:cs="Times New Roman" w:eastAsia="Times New Roman" w:hAnsi="Times New Roman"/>
          <w:sz w:val="24"/>
          <w:szCs w:val="24"/>
        </w:rPr>
        <w:t xml:space="preserve"> (arXiv:2403.14720) [Preprint]. arXiv. https://arxiv.org/abs/2403.14720</w:t>
      </w:r>
    </w:p>
    <w:p>
      <w:pPr>
        <w:spacing w:after="120" w:line="360"/>
        <w:ind w:left="720" w:hanging="720"/>
        <w:jc w:val="left"/>
      </w:pPr>
      <w:r>
        <w:rPr>
          <w:rFonts w:ascii="Times New Roman" w:cs="Times New Roman" w:eastAsia="Times New Roman" w:hAnsi="Times New Roman"/>
          <w:sz w:val="24"/>
          <w:szCs w:val="24"/>
        </w:rPr>
        <w:t xml:space="preserve">Hossain, E., Nipu, M. M. H., Ornee, T. N., Rana, R., &amp; Yousefi, N. (2026). </w:t>
      </w:r>
      <w:r>
        <w:rPr>
          <w:rFonts w:ascii="Times New Roman" w:cs="Times New Roman" w:eastAsia="Times New Roman" w:hAnsi="Times New Roman"/>
          <w:i/>
          <w:iCs/>
          <w:sz w:val="24"/>
          <w:szCs w:val="24"/>
        </w:rPr>
        <w:t xml:space="preserve">NEXUS: Structured runtime safety for tool-using LLM agents</w:t>
      </w:r>
      <w:r>
        <w:rPr>
          <w:rFonts w:ascii="Times New Roman" w:cs="Times New Roman" w:eastAsia="Times New Roman" w:hAnsi="Times New Roman"/>
          <w:sz w:val="24"/>
          <w:szCs w:val="24"/>
        </w:rPr>
        <w:t xml:space="preserve"> (arXiv:2607.19356) [Preprint]. arXiv. https://arxiv.org/abs/2607.19356</w:t>
      </w:r>
    </w:p>
    <w:p>
      <w:pPr>
        <w:spacing w:after="120" w:line="360"/>
        <w:ind w:left="720" w:hanging="720"/>
        <w:jc w:val="left"/>
      </w:pPr>
      <w:r>
        <w:rPr>
          <w:rFonts w:ascii="Times New Roman" w:cs="Times New Roman" w:eastAsia="Times New Roman" w:hAnsi="Times New Roman"/>
          <w:sz w:val="24"/>
          <w:szCs w:val="24"/>
        </w:rPr>
        <w:t xml:space="preserve">Hua, W., Yang, X., Jin, M., Li, Z., Cheng, W., Tang, R., &amp; Zhang, Y. (2024). TrustAgent: Towards safe and trustworthy LLM-based agents. In </w:t>
      </w:r>
      <w:r>
        <w:rPr>
          <w:rFonts w:ascii="Times New Roman" w:cs="Times New Roman" w:eastAsia="Times New Roman" w:hAnsi="Times New Roman"/>
          <w:i/>
          <w:iCs/>
          <w:sz w:val="24"/>
          <w:szCs w:val="24"/>
        </w:rPr>
        <w:t xml:space="preserve">Findings of the Association for Computational Linguistics: EMNLP 2024</w:t>
      </w:r>
      <w:r>
        <w:rPr>
          <w:rFonts w:ascii="Times New Roman" w:cs="Times New Roman" w:eastAsia="Times New Roman" w:hAnsi="Times New Roman"/>
          <w:sz w:val="24"/>
          <w:szCs w:val="24"/>
        </w:rPr>
        <w:t xml:space="preserve"> (pp. 10000–10016). Association for Computational Linguistics. https://doi.org/10.18653/v1/2024.findings-emnlp.585</w:t>
      </w:r>
    </w:p>
    <w:p>
      <w:pPr>
        <w:spacing w:after="120" w:line="360"/>
        <w:ind w:left="720" w:hanging="720"/>
        <w:jc w:val="left"/>
      </w:pPr>
      <w:r>
        <w:rPr>
          <w:rFonts w:ascii="Times New Roman" w:cs="Times New Roman" w:eastAsia="Times New Roman" w:hAnsi="Times New Roman"/>
          <w:sz w:val="24"/>
          <w:szCs w:val="24"/>
        </w:rPr>
        <w:t xml:space="preserve">Inan, H., Upasani, K., Chi, J., Rungta, R., Iyer, K., Mao, Y., Tontchev, M., Hu, Q., Fuller, B., Testuggine, D., &amp; Khabsa, M. (2023). </w:t>
      </w:r>
      <w:r>
        <w:rPr>
          <w:rFonts w:ascii="Times New Roman" w:cs="Times New Roman" w:eastAsia="Times New Roman" w:hAnsi="Times New Roman"/>
          <w:i/>
          <w:iCs/>
          <w:sz w:val="24"/>
          <w:szCs w:val="24"/>
        </w:rPr>
        <w:t xml:space="preserve">Llama Guard: LLM-based input-output safeguard for human-AI conversations</w:t>
      </w:r>
      <w:r>
        <w:rPr>
          <w:rFonts w:ascii="Times New Roman" w:cs="Times New Roman" w:eastAsia="Times New Roman" w:hAnsi="Times New Roman"/>
          <w:sz w:val="24"/>
          <w:szCs w:val="24"/>
        </w:rPr>
        <w:t xml:space="preserve"> (arXiv:2312.06674) [Preprint]. arXiv. https://arxiv.org/abs/2312.06674</w:t>
      </w:r>
    </w:p>
    <w:p>
      <w:pPr>
        <w:spacing w:after="120" w:line="360"/>
        <w:ind w:left="720" w:hanging="720"/>
        <w:jc w:val="left"/>
      </w:pPr>
      <w:r>
        <w:rPr>
          <w:rFonts w:ascii="Times New Roman" w:cs="Times New Roman" w:eastAsia="Times New Roman" w:hAnsi="Times New Roman"/>
          <w:sz w:val="24"/>
          <w:szCs w:val="24"/>
        </w:rPr>
        <w:t xml:space="preserve">Jackson, F. (2025). </w:t>
      </w:r>
      <w:r>
        <w:rPr>
          <w:rFonts w:ascii="Times New Roman" w:cs="Times New Roman" w:eastAsia="Times New Roman" w:hAnsi="Times New Roman"/>
          <w:i/>
          <w:iCs/>
          <w:sz w:val="24"/>
          <w:szCs w:val="24"/>
        </w:rPr>
        <w:t xml:space="preserve">Designing a policy engine for agentic AI systems: From governance requirements to runtime enforcement</w:t>
      </w:r>
      <w:r>
        <w:rPr>
          <w:rFonts w:ascii="Times New Roman" w:cs="Times New Roman" w:eastAsia="Times New Roman" w:hAnsi="Times New Roman"/>
          <w:sz w:val="24"/>
          <w:szCs w:val="24"/>
        </w:rPr>
        <w:t xml:space="preserve"> [Working paper]. SSRN. https://doi.org/10.2139/ssrn.5904104</w:t>
      </w:r>
    </w:p>
    <w:p>
      <w:pPr>
        <w:spacing w:after="120" w:line="360"/>
        <w:ind w:left="720" w:hanging="720"/>
        <w:jc w:val="left"/>
      </w:pPr>
      <w:r>
        <w:rPr>
          <w:rFonts w:ascii="Times New Roman" w:cs="Times New Roman" w:eastAsia="Times New Roman" w:hAnsi="Times New Roman"/>
          <w:sz w:val="24"/>
          <w:szCs w:val="24"/>
        </w:rPr>
        <w:t xml:space="preserve">Jia, F., Wu, T., Qin, X., &amp; Squicciarini, A. (2025). The Task Shield: Enforcing task alignment to defend against indirect prompt injection in LLM agents. In </w:t>
      </w:r>
      <w:r>
        <w:rPr>
          <w:rFonts w:ascii="Times New Roman" w:cs="Times New Roman" w:eastAsia="Times New Roman" w:hAnsi="Times New Roman"/>
          <w:i/>
          <w:iCs/>
          <w:sz w:val="24"/>
          <w:szCs w:val="24"/>
        </w:rPr>
        <w:t xml:space="preserve">Proceedings of the 63rd Annual Meeting of the Association for Computational Linguistics (Volume 1: Long Papers)</w:t>
      </w:r>
      <w:r>
        <w:rPr>
          <w:rFonts w:ascii="Times New Roman" w:cs="Times New Roman" w:eastAsia="Times New Roman" w:hAnsi="Times New Roman"/>
          <w:sz w:val="24"/>
          <w:szCs w:val="24"/>
        </w:rPr>
        <w:t xml:space="preserve">. Association for Computational Linguistics. https://aclanthology.org/2025.acl-long.1435/</w:t>
      </w:r>
    </w:p>
    <w:p>
      <w:pPr>
        <w:spacing w:after="120" w:line="360"/>
        <w:ind w:left="720" w:hanging="720"/>
        <w:jc w:val="left"/>
      </w:pPr>
      <w:r>
        <w:rPr>
          <w:rFonts w:ascii="Times New Roman" w:cs="Times New Roman" w:eastAsia="Times New Roman" w:hAnsi="Times New Roman"/>
          <w:sz w:val="24"/>
          <w:szCs w:val="24"/>
        </w:rPr>
        <w:t xml:space="preserve">Jia, H., Liu, Y., Chong, B., Yang, Y., Chen, Y., Liang, J., Li, Q., Lu, H., Xu, K., Zheng, H., Zhang, C., Peng, H., &amp; Yu, P. S. (2026). </w:t>
      </w:r>
      <w:r>
        <w:rPr>
          <w:rFonts w:ascii="Times New Roman" w:cs="Times New Roman" w:eastAsia="Times New Roman" w:hAnsi="Times New Roman"/>
          <w:i/>
          <w:iCs/>
          <w:sz w:val="24"/>
          <w:szCs w:val="24"/>
        </w:rPr>
        <w:t xml:space="preserve">FinHarness: An inline lifecycle safety harness for finance LLM agents</w:t>
      </w:r>
      <w:r>
        <w:rPr>
          <w:rFonts w:ascii="Times New Roman" w:cs="Times New Roman" w:eastAsia="Times New Roman" w:hAnsi="Times New Roman"/>
          <w:sz w:val="24"/>
          <w:szCs w:val="24"/>
        </w:rPr>
        <w:t xml:space="preserve"> (arXiv:2605.27333) [Preprint]. arXiv. https://arxiv.org/abs/2605.27333</w:t>
      </w:r>
    </w:p>
    <w:p>
      <w:pPr>
        <w:spacing w:after="120" w:line="360"/>
        <w:ind w:left="720" w:hanging="720"/>
        <w:jc w:val="left"/>
      </w:pPr>
      <w:r>
        <w:rPr>
          <w:rFonts w:ascii="Times New Roman" w:cs="Times New Roman" w:eastAsia="Times New Roman" w:hAnsi="Times New Roman"/>
          <w:sz w:val="24"/>
          <w:szCs w:val="24"/>
        </w:rPr>
        <w:t xml:space="preserve">Jiang, C., Zhang, W., Pan, X., Hong, G., &amp; Yang, M. (2025). </w:t>
      </w:r>
      <w:r>
        <w:rPr>
          <w:rFonts w:ascii="Times New Roman" w:cs="Times New Roman" w:eastAsia="Times New Roman" w:hAnsi="Times New Roman"/>
          <w:i/>
          <w:iCs/>
          <w:sz w:val="24"/>
          <w:szCs w:val="24"/>
        </w:rPr>
        <w:t xml:space="preserve">Think twice before you act: Enhancing agent behavioral safety with thought correction</w:t>
      </w:r>
      <w:r>
        <w:rPr>
          <w:rFonts w:ascii="Times New Roman" w:cs="Times New Roman" w:eastAsia="Times New Roman" w:hAnsi="Times New Roman"/>
          <w:sz w:val="24"/>
          <w:szCs w:val="24"/>
        </w:rPr>
        <w:t xml:space="preserve"> (arXiv:2505.11063) [Preprint; accepted to ICML 2026]. arXiv. https://arxiv.org/abs/2505.11063</w:t>
      </w:r>
    </w:p>
    <w:p>
      <w:pPr>
        <w:spacing w:after="120" w:line="360"/>
        <w:ind w:left="720" w:hanging="720"/>
        <w:jc w:val="left"/>
      </w:pPr>
      <w:r>
        <w:rPr>
          <w:rFonts w:ascii="Times New Roman" w:cs="Times New Roman" w:eastAsia="Times New Roman" w:hAnsi="Times New Roman"/>
          <w:sz w:val="24"/>
          <w:szCs w:val="24"/>
        </w:rPr>
        <w:t xml:space="preserve">Kull, M., Silva Filho, T., &amp; Flach, P. (2017). Beta calibration: A well-founded and easily implemented improvement on logistic calibration for binary classifiers. In </w:t>
      </w:r>
      <w:r>
        <w:rPr>
          <w:rFonts w:ascii="Times New Roman" w:cs="Times New Roman" w:eastAsia="Times New Roman" w:hAnsi="Times New Roman"/>
          <w:i/>
          <w:iCs/>
          <w:sz w:val="24"/>
          <w:szCs w:val="24"/>
        </w:rPr>
        <w:t xml:space="preserve">Proceedings of the 20th International Conference on Artificial Intelligence and Statistics</w:t>
      </w:r>
      <w:r>
        <w:rPr>
          <w:rFonts w:ascii="Times New Roman" w:cs="Times New Roman" w:eastAsia="Times New Roman" w:hAnsi="Times New Roman"/>
          <w:sz w:val="24"/>
          <w:szCs w:val="24"/>
        </w:rPr>
        <w:t xml:space="preserve"> (Proceedings of Machine Learning Research, Vol. 54, pp. 623–631). PMLR.</w:t>
      </w:r>
    </w:p>
    <w:p>
      <w:pPr>
        <w:spacing w:after="120" w:line="360"/>
        <w:ind w:left="720" w:hanging="720"/>
        <w:jc w:val="left"/>
      </w:pPr>
      <w:r>
        <w:rPr>
          <w:rFonts w:ascii="Times New Roman" w:cs="Times New Roman" w:eastAsia="Times New Roman" w:hAnsi="Times New Roman"/>
          <w:sz w:val="24"/>
          <w:szCs w:val="24"/>
        </w:rPr>
        <w:t xml:space="preserve">le Cessie, S., &amp; van Houwelingen, J. C. (1992). Ridge estimators in logistic regression. </w:t>
      </w:r>
      <w:r>
        <w:rPr>
          <w:rFonts w:ascii="Times New Roman" w:cs="Times New Roman" w:eastAsia="Times New Roman" w:hAnsi="Times New Roman"/>
          <w:i/>
          <w:iCs/>
          <w:sz w:val="24"/>
          <w:szCs w:val="24"/>
        </w:rPr>
        <w:t xml:space="preserve">Applied Statistics, 41</w:t>
      </w:r>
      <w:r>
        <w:rPr>
          <w:rFonts w:ascii="Times New Roman" w:cs="Times New Roman" w:eastAsia="Times New Roman" w:hAnsi="Times New Roman"/>
          <w:sz w:val="24"/>
          <w:szCs w:val="24"/>
        </w:rPr>
        <w:t xml:space="preserve">(1), 191–201. https://doi.org/10.2307/2347628</w:t>
      </w:r>
    </w:p>
    <w:p>
      <w:pPr>
        <w:spacing w:after="120" w:line="360"/>
        <w:ind w:left="720" w:hanging="720"/>
        <w:jc w:val="left"/>
      </w:pPr>
      <w:r>
        <w:rPr>
          <w:rFonts w:ascii="Times New Roman" w:cs="Times New Roman" w:eastAsia="Times New Roman" w:hAnsi="Times New Roman"/>
          <w:sz w:val="24"/>
          <w:szCs w:val="24"/>
        </w:rPr>
        <w:t xml:space="preserve">Li, F. (2026). </w:t>
      </w:r>
      <w:r>
        <w:rPr>
          <w:rFonts w:ascii="Times New Roman" w:cs="Times New Roman" w:eastAsia="Times New Roman" w:hAnsi="Times New Roman"/>
          <w:i/>
          <w:iCs/>
          <w:sz w:val="24"/>
          <w:szCs w:val="24"/>
        </w:rPr>
        <w:t xml:space="preserve">OpenClaw PRISM: A zero-fork, defense-in-depth runtime security layer for tool-augmented LLM agents</w:t>
      </w:r>
      <w:r>
        <w:rPr>
          <w:rFonts w:ascii="Times New Roman" w:cs="Times New Roman" w:eastAsia="Times New Roman" w:hAnsi="Times New Roman"/>
          <w:sz w:val="24"/>
          <w:szCs w:val="24"/>
        </w:rPr>
        <w:t xml:space="preserve"> (arXiv:2603.11853) [Preprint]. arXiv. https://arxiv.org/abs/2603.11853</w:t>
      </w:r>
    </w:p>
    <w:p>
      <w:pPr>
        <w:spacing w:after="120" w:line="360"/>
        <w:ind w:left="720" w:hanging="720"/>
        <w:jc w:val="left"/>
      </w:pPr>
      <w:r>
        <w:rPr>
          <w:rFonts w:ascii="Times New Roman" w:cs="Times New Roman" w:eastAsia="Times New Roman" w:hAnsi="Times New Roman"/>
          <w:sz w:val="24"/>
          <w:szCs w:val="24"/>
        </w:rPr>
        <w:t xml:space="preserve">Li, M. Q., Fung, B. C. M., Li, B., Ismail, H., &amp; Iqbal, F. (2026). </w:t>
      </w:r>
      <w:r>
        <w:rPr>
          <w:rFonts w:ascii="Times New Roman" w:cs="Times New Roman" w:eastAsia="Times New Roman" w:hAnsi="Times New Roman"/>
          <w:i/>
          <w:iCs/>
          <w:sz w:val="24"/>
          <w:szCs w:val="24"/>
        </w:rPr>
        <w:t xml:space="preserve">Taxonomy and consistency analysis of safety benchmarks for AI agents</w:t>
      </w:r>
      <w:r>
        <w:rPr>
          <w:rFonts w:ascii="Times New Roman" w:cs="Times New Roman" w:eastAsia="Times New Roman" w:hAnsi="Times New Roman"/>
          <w:sz w:val="24"/>
          <w:szCs w:val="24"/>
        </w:rPr>
        <w:t xml:space="preserve"> (arXiv:2605.16282) [Preprint]. arXiv. https://arxiv.org/abs/2605.16282</w:t>
      </w:r>
    </w:p>
    <w:p>
      <w:pPr>
        <w:spacing w:after="120" w:line="360"/>
        <w:ind w:left="720" w:hanging="720"/>
        <w:jc w:val="left"/>
      </w:pPr>
      <w:r>
        <w:rPr>
          <w:rFonts w:ascii="Times New Roman" w:cs="Times New Roman" w:eastAsia="Times New Roman" w:hAnsi="Times New Roman"/>
          <w:sz w:val="24"/>
          <w:szCs w:val="24"/>
        </w:rPr>
        <w:t xml:space="preserve">Lin, W., Yu, C., Lin, X., Cao, S., Chen, X., Xue, L., Yu, L., Sha, L., &amp; Wu, C. (2026). </w:t>
      </w:r>
      <w:r>
        <w:rPr>
          <w:rFonts w:ascii="Times New Roman" w:cs="Times New Roman" w:eastAsia="Times New Roman" w:hAnsi="Times New Roman"/>
          <w:i/>
          <w:iCs/>
          <w:sz w:val="24"/>
          <w:szCs w:val="24"/>
        </w:rPr>
        <w:t xml:space="preserve">DreamGuard: Efficient runtime guardrail for LLM agents via risk-aware world model</w:t>
      </w:r>
      <w:r>
        <w:rPr>
          <w:rFonts w:ascii="Times New Roman" w:cs="Times New Roman" w:eastAsia="Times New Roman" w:hAnsi="Times New Roman"/>
          <w:sz w:val="24"/>
          <w:szCs w:val="24"/>
        </w:rPr>
        <w:t xml:space="preserve"> (arXiv:2608.05695) [Preprint]. arXiv. https://arxiv.org/abs/2608.05695</w:t>
      </w:r>
    </w:p>
    <w:p>
      <w:pPr>
        <w:spacing w:after="120" w:line="360"/>
        <w:ind w:left="720" w:hanging="720"/>
        <w:jc w:val="left"/>
      </w:pPr>
      <w:r>
        <w:rPr>
          <w:rFonts w:ascii="Times New Roman" w:cs="Times New Roman" w:eastAsia="Times New Roman" w:hAnsi="Times New Roman"/>
          <w:sz w:val="24"/>
          <w:szCs w:val="24"/>
        </w:rPr>
        <w:t xml:space="preserve">Liu, H., Ilyushin, E., Ni, J., &amp; Zhu, M. (2026). </w:t>
      </w:r>
      <w:r>
        <w:rPr>
          <w:rFonts w:ascii="Times New Roman" w:cs="Times New Roman" w:eastAsia="Times New Roman" w:hAnsi="Times New Roman"/>
          <w:i/>
          <w:iCs/>
          <w:sz w:val="24"/>
          <w:szCs w:val="24"/>
        </w:rPr>
        <w:t xml:space="preserve">SafeAgent: A runtime protection architecture for agentic systems</w:t>
      </w:r>
      <w:r>
        <w:rPr>
          <w:rFonts w:ascii="Times New Roman" w:cs="Times New Roman" w:eastAsia="Times New Roman" w:hAnsi="Times New Roman"/>
          <w:sz w:val="24"/>
          <w:szCs w:val="24"/>
        </w:rPr>
        <w:t xml:space="preserve"> (arXiv:2604.17562) [Preprint]. arXiv. https://arxiv.org/abs/2604.17562</w:t>
      </w:r>
    </w:p>
    <w:p>
      <w:pPr>
        <w:spacing w:after="120" w:line="360"/>
        <w:ind w:left="720" w:hanging="720"/>
        <w:jc w:val="left"/>
      </w:pPr>
      <w:r>
        <w:rPr>
          <w:rFonts w:ascii="Times New Roman" w:cs="Times New Roman" w:eastAsia="Times New Roman" w:hAnsi="Times New Roman"/>
          <w:sz w:val="24"/>
          <w:szCs w:val="24"/>
        </w:rPr>
        <w:t xml:space="preserve">Liu, Y., Jia, Y., Geng, R., Jia, J., &amp; Gong, N. Z. (2024). Formalizing and benchmarking prompt injection attacks and defenses. In </w:t>
      </w:r>
      <w:r>
        <w:rPr>
          <w:rFonts w:ascii="Times New Roman" w:cs="Times New Roman" w:eastAsia="Times New Roman" w:hAnsi="Times New Roman"/>
          <w:i/>
          <w:iCs/>
          <w:sz w:val="24"/>
          <w:szCs w:val="24"/>
        </w:rPr>
        <w:t xml:space="preserve">33rd USENIX Security Symposium</w:t>
      </w:r>
      <w:r>
        <w:rPr>
          <w:rFonts w:ascii="Times New Roman" w:cs="Times New Roman" w:eastAsia="Times New Roman" w:hAnsi="Times New Roman"/>
          <w:sz w:val="24"/>
          <w:szCs w:val="24"/>
        </w:rPr>
        <w:t xml:space="preserve"> (pp. 1831–1847). USENIX Association.</w:t>
      </w:r>
    </w:p>
    <w:p>
      <w:pPr>
        <w:spacing w:after="120" w:line="360"/>
        <w:ind w:left="720" w:hanging="720"/>
        <w:jc w:val="left"/>
      </w:pPr>
      <w:r>
        <w:rPr>
          <w:rFonts w:ascii="Times New Roman" w:cs="Times New Roman" w:eastAsia="Times New Roman" w:hAnsi="Times New Roman"/>
          <w:sz w:val="24"/>
          <w:szCs w:val="24"/>
        </w:rPr>
        <w:t xml:space="preserve">Lorden, G. (1971). Procedures for reacting to a change in distribution. </w:t>
      </w:r>
      <w:r>
        <w:rPr>
          <w:rFonts w:ascii="Times New Roman" w:cs="Times New Roman" w:eastAsia="Times New Roman" w:hAnsi="Times New Roman"/>
          <w:i/>
          <w:iCs/>
          <w:sz w:val="24"/>
          <w:szCs w:val="24"/>
        </w:rPr>
        <w:t xml:space="preserve">The Annals of Mathematical Statistics, 42</w:t>
      </w:r>
      <w:r>
        <w:rPr>
          <w:rFonts w:ascii="Times New Roman" w:cs="Times New Roman" w:eastAsia="Times New Roman" w:hAnsi="Times New Roman"/>
          <w:sz w:val="24"/>
          <w:szCs w:val="24"/>
        </w:rPr>
        <w:t xml:space="preserve">(6), 1897–1908. https://doi.org/10.1214/aoms/1177693055</w:t>
      </w:r>
    </w:p>
    <w:p>
      <w:pPr>
        <w:spacing w:after="120" w:line="360"/>
        <w:ind w:left="720" w:hanging="720"/>
        <w:jc w:val="left"/>
      </w:pPr>
      <w:r>
        <w:rPr>
          <w:rFonts w:ascii="Times New Roman" w:cs="Times New Roman" w:eastAsia="Times New Roman" w:hAnsi="Times New Roman"/>
          <w:sz w:val="24"/>
          <w:szCs w:val="24"/>
        </w:rPr>
        <w:t xml:space="preserve">Lundberg, S. M., &amp; Lee, S.-I. (2017). A unified approach to interpreting model predictions. In </w:t>
      </w:r>
      <w:r>
        <w:rPr>
          <w:rFonts w:ascii="Times New Roman" w:cs="Times New Roman" w:eastAsia="Times New Roman" w:hAnsi="Times New Roman"/>
          <w:i/>
          <w:iCs/>
          <w:sz w:val="24"/>
          <w:szCs w:val="24"/>
        </w:rPr>
        <w:t xml:space="preserve">Advances in Neural Information Processing Systems 30 (NIPS 2017)</w:t>
      </w:r>
      <w:r>
        <w:rPr>
          <w:rFonts w:ascii="Times New Roman" w:cs="Times New Roman" w:eastAsia="Times New Roman" w:hAnsi="Times New Roman"/>
          <w:sz w:val="24"/>
          <w:szCs w:val="24"/>
        </w:rPr>
        <w:t xml:space="preserve"> (pp. 4765–4774).</w:t>
      </w:r>
    </w:p>
    <w:p>
      <w:pPr>
        <w:spacing w:after="120" w:line="360"/>
        <w:ind w:left="720" w:hanging="720"/>
        <w:jc w:val="left"/>
      </w:pPr>
      <w:r>
        <w:rPr>
          <w:rFonts w:ascii="Times New Roman" w:cs="Times New Roman" w:eastAsia="Times New Roman" w:hAnsi="Times New Roman"/>
          <w:sz w:val="24"/>
          <w:szCs w:val="24"/>
        </w:rPr>
        <w:t xml:space="preserve">Luo, W., Dai, S., Liu, X., Banerjee, S., Sun, H., Chen, M., &amp; Xiao, C. (2025). AGrail: A lifelong agent guardrail with effective and adaptive safety detection. In </w:t>
      </w:r>
      <w:r>
        <w:rPr>
          <w:rFonts w:ascii="Times New Roman" w:cs="Times New Roman" w:eastAsia="Times New Roman" w:hAnsi="Times New Roman"/>
          <w:i/>
          <w:iCs/>
          <w:sz w:val="24"/>
          <w:szCs w:val="24"/>
        </w:rPr>
        <w:t xml:space="preserve">Proceedings of the 63rd Annual Meeting of the Association for Computational Linguistics (Volume 1: Long Papers)</w:t>
      </w:r>
      <w:r>
        <w:rPr>
          <w:rFonts w:ascii="Times New Roman" w:cs="Times New Roman" w:eastAsia="Times New Roman" w:hAnsi="Times New Roman"/>
          <w:sz w:val="24"/>
          <w:szCs w:val="24"/>
        </w:rPr>
        <w:t xml:space="preserve"> (pp. 8104–8139). Association for Computational Linguistics. https://doi.org/10.18653/v1/2025.acl-long.399</w:t>
      </w:r>
    </w:p>
    <w:p>
      <w:pPr>
        <w:spacing w:after="120" w:line="360"/>
        <w:ind w:left="720" w:hanging="720"/>
        <w:jc w:val="left"/>
      </w:pPr>
      <w:r>
        <w:rPr>
          <w:rFonts w:ascii="Times New Roman" w:cs="Times New Roman" w:eastAsia="Times New Roman" w:hAnsi="Times New Roman"/>
          <w:sz w:val="24"/>
          <w:szCs w:val="24"/>
        </w:rPr>
        <w:t xml:space="preserve">Mao, Q., Wang, J., Liu, Y., Zhu, L., Ma, C., &amp; Yan, J. (2026). </w:t>
      </w:r>
      <w:r>
        <w:rPr>
          <w:rFonts w:ascii="Times New Roman" w:cs="Times New Roman" w:eastAsia="Times New Roman" w:hAnsi="Times New Roman"/>
          <w:i/>
          <w:iCs/>
          <w:sz w:val="24"/>
          <w:szCs w:val="24"/>
        </w:rPr>
        <w:t xml:space="preserve">SoK: Security of autonomous LLM agents in agentic commerce</w:t>
      </w:r>
      <w:r>
        <w:rPr>
          <w:rFonts w:ascii="Times New Roman" w:cs="Times New Roman" w:eastAsia="Times New Roman" w:hAnsi="Times New Roman"/>
          <w:sz w:val="24"/>
          <w:szCs w:val="24"/>
        </w:rPr>
        <w:t xml:space="preserve"> (arXiv:2604.15367) [Preprint]. arXiv. https://arxiv.org/abs/2604.15367</w:t>
      </w:r>
    </w:p>
    <w:p>
      <w:pPr>
        <w:spacing w:after="120" w:line="360"/>
        <w:ind w:left="720" w:hanging="720"/>
        <w:jc w:val="left"/>
      </w:pPr>
      <w:r>
        <w:rPr>
          <w:rFonts w:ascii="Times New Roman" w:cs="Times New Roman" w:eastAsia="Times New Roman" w:hAnsi="Times New Roman"/>
          <w:sz w:val="24"/>
          <w:szCs w:val="24"/>
        </w:rPr>
        <w:t xml:space="preserve">Naeini, M. P., Cooper, G., &amp; Hauskrecht, M. (2015). Obtaining well calibrated probabilities using Bayesian binning. </w:t>
      </w:r>
      <w:r>
        <w:rPr>
          <w:rFonts w:ascii="Times New Roman" w:cs="Times New Roman" w:eastAsia="Times New Roman" w:hAnsi="Times New Roman"/>
          <w:i/>
          <w:iCs/>
          <w:sz w:val="24"/>
          <w:szCs w:val="24"/>
        </w:rPr>
        <w:t xml:space="preserve">Proceedings of the AAAI Conference on Artificial Intelligence, 29</w:t>
      </w:r>
      <w:r>
        <w:rPr>
          <w:rFonts w:ascii="Times New Roman" w:cs="Times New Roman" w:eastAsia="Times New Roman" w:hAnsi="Times New Roman"/>
          <w:sz w:val="24"/>
          <w:szCs w:val="24"/>
        </w:rPr>
        <w:t xml:space="preserve">(1). https://doi.org/10.1609/aaai.v29i1.9602</w:t>
      </w:r>
    </w:p>
    <w:p>
      <w:pPr>
        <w:spacing w:after="120" w:line="360"/>
        <w:ind w:left="720" w:hanging="720"/>
        <w:jc w:val="left"/>
      </w:pPr>
      <w:r>
        <w:rPr>
          <w:rFonts w:ascii="Times New Roman" w:cs="Times New Roman" w:eastAsia="Times New Roman" w:hAnsi="Times New Roman"/>
          <w:sz w:val="24"/>
          <w:szCs w:val="24"/>
        </w:rPr>
        <w:t xml:space="preserve">Ng, A. Y., &amp; Jordan, M. I. (2002). On discriminative vs. generative classifiers: A comparison of logistic regression and naive Bayes. In </w:t>
      </w:r>
      <w:r>
        <w:rPr>
          <w:rFonts w:ascii="Times New Roman" w:cs="Times New Roman" w:eastAsia="Times New Roman" w:hAnsi="Times New Roman"/>
          <w:i/>
          <w:iCs/>
          <w:sz w:val="24"/>
          <w:szCs w:val="24"/>
        </w:rPr>
        <w:t xml:space="preserve">Advances in Neural Information Processing Systems 14 (NIPS 2001)</w:t>
      </w:r>
      <w:r>
        <w:rPr>
          <w:rFonts w:ascii="Times New Roman" w:cs="Times New Roman" w:eastAsia="Times New Roman" w:hAnsi="Times New Roman"/>
          <w:sz w:val="24"/>
          <w:szCs w:val="24"/>
        </w:rPr>
        <w:t xml:space="preserve">. https://papers.nips.cc/paper/2020-on-discriminative-vs-generative-classifiers-a-comparison-of-logistic-regression-and-naive-bayes</w:t>
      </w:r>
    </w:p>
    <w:p>
      <w:pPr>
        <w:spacing w:after="120" w:line="360"/>
        <w:ind w:left="720" w:hanging="720"/>
        <w:jc w:val="left"/>
      </w:pPr>
      <w:r>
        <w:rPr>
          <w:rFonts w:ascii="Times New Roman" w:cs="Times New Roman" w:eastAsia="Times New Roman" w:hAnsi="Times New Roman"/>
          <w:sz w:val="24"/>
          <w:szCs w:val="24"/>
        </w:rPr>
        <w:t xml:space="preserve">Niculescu-Mizil, A., &amp; Caruana, R. (2005). Predicting good probabilities with supervised learning. In </w:t>
      </w:r>
      <w:r>
        <w:rPr>
          <w:rFonts w:ascii="Times New Roman" w:cs="Times New Roman" w:eastAsia="Times New Roman" w:hAnsi="Times New Roman"/>
          <w:i/>
          <w:iCs/>
          <w:sz w:val="24"/>
          <w:szCs w:val="24"/>
        </w:rPr>
        <w:t xml:space="preserve">Proceedings of the 22nd International Conference on Machine Learning</w:t>
      </w:r>
      <w:r>
        <w:rPr>
          <w:rFonts w:ascii="Times New Roman" w:cs="Times New Roman" w:eastAsia="Times New Roman" w:hAnsi="Times New Roman"/>
          <w:sz w:val="24"/>
          <w:szCs w:val="24"/>
        </w:rPr>
        <w:t xml:space="preserve"> (pp. 625–632). ACM. https://doi.org/10.1145/1102351.1102430</w:t>
      </w:r>
    </w:p>
    <w:p>
      <w:pPr>
        <w:spacing w:after="120" w:line="360"/>
        <w:ind w:left="720" w:hanging="720"/>
        <w:jc w:val="left"/>
      </w:pPr>
      <w:r>
        <w:rPr>
          <w:rFonts w:ascii="Times New Roman" w:cs="Times New Roman" w:eastAsia="Times New Roman" w:hAnsi="Times New Roman"/>
          <w:sz w:val="24"/>
          <w:szCs w:val="24"/>
        </w:rPr>
        <w:t xml:space="preserve">OWASP Gen AI Security Project. (2025). </w:t>
      </w:r>
      <w:r>
        <w:rPr>
          <w:rFonts w:ascii="Times New Roman" w:cs="Times New Roman" w:eastAsia="Times New Roman" w:hAnsi="Times New Roman"/>
          <w:i/>
          <w:iCs/>
          <w:sz w:val="24"/>
          <w:szCs w:val="24"/>
        </w:rPr>
        <w:t xml:space="preserve">LLM01:2025 Prompt injection</w:t>
      </w:r>
      <w:r>
        <w:rPr>
          <w:rFonts w:ascii="Times New Roman" w:cs="Times New Roman" w:eastAsia="Times New Roman" w:hAnsi="Times New Roman"/>
          <w:sz w:val="24"/>
          <w:szCs w:val="24"/>
        </w:rPr>
        <w:t xml:space="preserve">. OWASP Foundation. https://genai.owasp.org/llmrisk/llm01-prompt-injection/ [Official source]</w:t>
      </w:r>
    </w:p>
    <w:p>
      <w:pPr>
        <w:spacing w:after="120" w:line="360"/>
        <w:ind w:left="720" w:hanging="720"/>
        <w:jc w:val="left"/>
      </w:pPr>
      <w:r>
        <w:rPr>
          <w:rFonts w:ascii="Times New Roman" w:cs="Times New Roman" w:eastAsia="Times New Roman" w:hAnsi="Times New Roman"/>
          <w:sz w:val="24"/>
          <w:szCs w:val="24"/>
        </w:rPr>
        <w:t xml:space="preserve">Page, E. S. (1954). Continuous inspection schemes. </w:t>
      </w:r>
      <w:r>
        <w:rPr>
          <w:rFonts w:ascii="Times New Roman" w:cs="Times New Roman" w:eastAsia="Times New Roman" w:hAnsi="Times New Roman"/>
          <w:i/>
          <w:iCs/>
          <w:sz w:val="24"/>
          <w:szCs w:val="24"/>
        </w:rPr>
        <w:t xml:space="preserve">Biometrika, 41</w:t>
      </w:r>
      <w:r>
        <w:rPr>
          <w:rFonts w:ascii="Times New Roman" w:cs="Times New Roman" w:eastAsia="Times New Roman" w:hAnsi="Times New Roman"/>
          <w:sz w:val="24"/>
          <w:szCs w:val="24"/>
        </w:rPr>
        <w:t xml:space="preserve">(1–2), 100–115. https://doi.org/10.1093/biomet/41.1-2.100</w:t>
      </w:r>
    </w:p>
    <w:p>
      <w:pPr>
        <w:spacing w:after="120" w:line="360"/>
        <w:ind w:left="720" w:hanging="720"/>
        <w:jc w:val="left"/>
      </w:pPr>
      <w:r>
        <w:rPr>
          <w:rFonts w:ascii="Times New Roman" w:cs="Times New Roman" w:eastAsia="Times New Roman" w:hAnsi="Times New Roman"/>
          <w:sz w:val="24"/>
          <w:szCs w:val="24"/>
        </w:rPr>
        <w:t xml:space="preserve">Perez, F., &amp; Ribeiro, I. (2022). </w:t>
      </w:r>
      <w:r>
        <w:rPr>
          <w:rFonts w:ascii="Times New Roman" w:cs="Times New Roman" w:eastAsia="Times New Roman" w:hAnsi="Times New Roman"/>
          <w:i/>
          <w:iCs/>
          <w:sz w:val="24"/>
          <w:szCs w:val="24"/>
        </w:rPr>
        <w:t xml:space="preserve">Ignore previous prompt: Attack techniques for language models</w:t>
      </w:r>
      <w:r>
        <w:rPr>
          <w:rFonts w:ascii="Times New Roman" w:cs="Times New Roman" w:eastAsia="Times New Roman" w:hAnsi="Times New Roman"/>
          <w:sz w:val="24"/>
          <w:szCs w:val="24"/>
        </w:rPr>
        <w:t xml:space="preserve"> (arXiv:2211.09527). NeurIPS 2022 ML Safety Workshop. https://arxiv.org/abs/2211.09527</w:t>
      </w:r>
    </w:p>
    <w:p>
      <w:pPr>
        <w:spacing w:after="120" w:line="360"/>
        <w:ind w:left="720" w:hanging="720"/>
        <w:jc w:val="left"/>
      </w:pPr>
      <w:r>
        <w:rPr>
          <w:rFonts w:ascii="Times New Roman" w:cs="Times New Roman" w:eastAsia="Times New Roman" w:hAnsi="Times New Roman"/>
          <w:sz w:val="24"/>
          <w:szCs w:val="24"/>
        </w:rPr>
        <w:t xml:space="preserve">Platt, J. C. (1999). Probabilistic outputs for support vector machines and comparisons to regularized likelihood methods. In A. J. Smola, P. Bartlett, B. Schölkopf, &amp; D. Schuurmans (Eds.), </w:t>
      </w:r>
      <w:r>
        <w:rPr>
          <w:rFonts w:ascii="Times New Roman" w:cs="Times New Roman" w:eastAsia="Times New Roman" w:hAnsi="Times New Roman"/>
          <w:i/>
          <w:iCs/>
          <w:sz w:val="24"/>
          <w:szCs w:val="24"/>
        </w:rPr>
        <w:t xml:space="preserve">Advances in large margin classifiers</w:t>
      </w:r>
      <w:r>
        <w:rPr>
          <w:rFonts w:ascii="Times New Roman" w:cs="Times New Roman" w:eastAsia="Times New Roman" w:hAnsi="Times New Roman"/>
          <w:sz w:val="24"/>
          <w:szCs w:val="24"/>
        </w:rPr>
        <w:t xml:space="preserve"> (pp. 61–74). MIT Press.</w:t>
      </w:r>
    </w:p>
    <w:p>
      <w:pPr>
        <w:spacing w:after="120" w:line="360"/>
        <w:ind w:left="720" w:hanging="720"/>
        <w:jc w:val="left"/>
      </w:pPr>
      <w:r>
        <w:rPr>
          <w:rFonts w:ascii="Times New Roman" w:cs="Times New Roman" w:eastAsia="Times New Roman" w:hAnsi="Times New Roman"/>
          <w:sz w:val="24"/>
          <w:szCs w:val="24"/>
        </w:rPr>
        <w:t xml:space="preserve">Ruan, Y., Dong, H., Wang, A., Pitis, S., Zhou, Y., Ba, J., Dubois, Y., Maddison, C. J., &amp; Hashimoto, T. (2024). Identifying the risks of LM agents with an LM-emulated sandbox. In </w:t>
      </w:r>
      <w:r>
        <w:rPr>
          <w:rFonts w:ascii="Times New Roman" w:cs="Times New Roman" w:eastAsia="Times New Roman" w:hAnsi="Times New Roman"/>
          <w:i/>
          <w:iCs/>
          <w:sz w:val="24"/>
          <w:szCs w:val="24"/>
        </w:rPr>
        <w:t xml:space="preserve">The Twelfth International Conference on Learning Representations (ICLR 2024)</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Schick, T., Dwivedi-Yu, J., Dessì, R., Raileanu, R., Lomeli, M., Hambro, E., Zettlemoyer, L., Cancedda, N., &amp; Scialom, T. (2023). Toolformer: Language models can teach themselves to use tools. In </w:t>
      </w:r>
      <w:r>
        <w:rPr>
          <w:rFonts w:ascii="Times New Roman" w:cs="Times New Roman" w:eastAsia="Times New Roman" w:hAnsi="Times New Roman"/>
          <w:i/>
          <w:iCs/>
          <w:sz w:val="24"/>
          <w:szCs w:val="24"/>
        </w:rPr>
        <w:t xml:space="preserve">Advances in Neural Information Processing Systems 36 (NeurIPS 2023)</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Schneider, F. B. (2000). Enforceable security policies. </w:t>
      </w:r>
      <w:r>
        <w:rPr>
          <w:rFonts w:ascii="Times New Roman" w:cs="Times New Roman" w:eastAsia="Times New Roman" w:hAnsi="Times New Roman"/>
          <w:i/>
          <w:iCs/>
          <w:sz w:val="24"/>
          <w:szCs w:val="24"/>
        </w:rPr>
        <w:t xml:space="preserve">ACM Transactions on Information and System Security, 3</w:t>
      </w:r>
      <w:r>
        <w:rPr>
          <w:rFonts w:ascii="Times New Roman" w:cs="Times New Roman" w:eastAsia="Times New Roman" w:hAnsi="Times New Roman"/>
          <w:sz w:val="24"/>
          <w:szCs w:val="24"/>
        </w:rPr>
        <w:t xml:space="preserve">(1), 30–50. https://doi.org/10.1145/353323.353382</w:t>
      </w:r>
    </w:p>
    <w:p>
      <w:pPr>
        <w:spacing w:after="120" w:line="360"/>
        <w:ind w:left="720" w:hanging="720"/>
        <w:jc w:val="left"/>
      </w:pPr>
      <w:r>
        <w:rPr>
          <w:rFonts w:ascii="Times New Roman" w:cs="Times New Roman" w:eastAsia="Times New Roman" w:hAnsi="Times New Roman"/>
          <w:sz w:val="24"/>
          <w:szCs w:val="24"/>
        </w:rPr>
        <w:t xml:space="preserve">She, Y., Liang, Y., &amp; Kang, E. (2026). </w:t>
      </w:r>
      <w:r>
        <w:rPr>
          <w:rFonts w:ascii="Times New Roman" w:cs="Times New Roman" w:eastAsia="Times New Roman" w:hAnsi="Times New Roman"/>
          <w:i/>
          <w:iCs/>
          <w:sz w:val="24"/>
          <w:szCs w:val="24"/>
        </w:rPr>
        <w:t xml:space="preserve">Safeguarding LLM agents from misalignment through provenance analysis</w:t>
      </w:r>
      <w:r>
        <w:rPr>
          <w:rFonts w:ascii="Times New Roman" w:cs="Times New Roman" w:eastAsia="Times New Roman" w:hAnsi="Times New Roman"/>
          <w:sz w:val="24"/>
          <w:szCs w:val="24"/>
        </w:rPr>
        <w:t xml:space="preserve"> (arXiv:2607.01236) [Preprint]. arXiv. https://arxiv.org/abs/2607.01236</w:t>
      </w:r>
    </w:p>
    <w:p>
      <w:pPr>
        <w:spacing w:after="120" w:line="360"/>
        <w:ind w:left="720" w:hanging="720"/>
        <w:jc w:val="left"/>
      </w:pPr>
      <w:r>
        <w:rPr>
          <w:rFonts w:ascii="Times New Roman" w:cs="Times New Roman" w:eastAsia="Times New Roman" w:hAnsi="Times New Roman"/>
          <w:sz w:val="24"/>
          <w:szCs w:val="24"/>
        </w:rPr>
        <w:t xml:space="preserve">Shi, T., He, J., Wang, Z., Wu, L., Li, H., Guo, W., &amp; Song, D. (2025). </w:t>
      </w:r>
      <w:r>
        <w:rPr>
          <w:rFonts w:ascii="Times New Roman" w:cs="Times New Roman" w:eastAsia="Times New Roman" w:hAnsi="Times New Roman"/>
          <w:i/>
          <w:iCs/>
          <w:sz w:val="24"/>
          <w:szCs w:val="24"/>
        </w:rPr>
        <w:t xml:space="preserve">Progent: Securing AI agents with privilege control</w:t>
      </w:r>
      <w:r>
        <w:rPr>
          <w:rFonts w:ascii="Times New Roman" w:cs="Times New Roman" w:eastAsia="Times New Roman" w:hAnsi="Times New Roman"/>
          <w:sz w:val="24"/>
          <w:szCs w:val="24"/>
        </w:rPr>
        <w:t xml:space="preserve"> (arXiv:2504.11703) [Preprint]. arXiv. https://arxiv.org/abs/2504.11703</w:t>
      </w:r>
    </w:p>
    <w:p>
      <w:pPr>
        <w:spacing w:after="120" w:line="360"/>
        <w:ind w:left="720" w:hanging="720"/>
        <w:jc w:val="left"/>
      </w:pPr>
      <w:r>
        <w:rPr>
          <w:rFonts w:ascii="Times New Roman" w:cs="Times New Roman" w:eastAsia="Times New Roman" w:hAnsi="Times New Roman"/>
          <w:sz w:val="24"/>
          <w:szCs w:val="24"/>
        </w:rPr>
        <w:t xml:space="preserve">Sommer, R., &amp; Paxson, V. (2010). Outside the closed world: On using machine learning for network intrusion detection. In </w:t>
      </w:r>
      <w:r>
        <w:rPr>
          <w:rFonts w:ascii="Times New Roman" w:cs="Times New Roman" w:eastAsia="Times New Roman" w:hAnsi="Times New Roman"/>
          <w:i/>
          <w:iCs/>
          <w:sz w:val="24"/>
          <w:szCs w:val="24"/>
        </w:rPr>
        <w:t xml:space="preserve">2010 IEEE Symposium on Security and Privacy</w:t>
      </w:r>
      <w:r>
        <w:rPr>
          <w:rFonts w:ascii="Times New Roman" w:cs="Times New Roman" w:eastAsia="Times New Roman" w:hAnsi="Times New Roman"/>
          <w:sz w:val="24"/>
          <w:szCs w:val="24"/>
        </w:rPr>
        <w:t xml:space="preserve"> (pp. 305–316). IEEE. https://doi.org/10.1109/SP.2010.25</w:t>
      </w:r>
    </w:p>
    <w:p>
      <w:pPr>
        <w:spacing w:after="120" w:line="360"/>
        <w:ind w:left="720" w:hanging="720"/>
        <w:jc w:val="left"/>
      </w:pPr>
      <w:r>
        <w:rPr>
          <w:rFonts w:ascii="Times New Roman" w:cs="Times New Roman" w:eastAsia="Times New Roman" w:hAnsi="Times New Roman"/>
          <w:sz w:val="24"/>
          <w:szCs w:val="24"/>
        </w:rPr>
        <w:t xml:space="preserve">Tsai, L., &amp; Bagdasarian, E. (2025). Contextual agent security: A policy for every purpose. In </w:t>
      </w:r>
      <w:r>
        <w:rPr>
          <w:rFonts w:ascii="Times New Roman" w:cs="Times New Roman" w:eastAsia="Times New Roman" w:hAnsi="Times New Roman"/>
          <w:i/>
          <w:iCs/>
          <w:sz w:val="24"/>
          <w:szCs w:val="24"/>
        </w:rPr>
        <w:t xml:space="preserve">Proceedings of the Workshop on Hot Topics in Operating Systems (HotOS '25)</w:t>
      </w:r>
      <w:r>
        <w:rPr>
          <w:rFonts w:ascii="Times New Roman" w:cs="Times New Roman" w:eastAsia="Times New Roman" w:hAnsi="Times New Roman"/>
          <w:sz w:val="24"/>
          <w:szCs w:val="24"/>
        </w:rPr>
        <w:t xml:space="preserve"> (pp. 8–17). ACM. https://doi.org/10.1145/3713082.3730378</w:t>
      </w:r>
    </w:p>
    <w:p>
      <w:pPr>
        <w:spacing w:after="120" w:line="360"/>
        <w:ind w:left="720" w:hanging="720"/>
        <w:jc w:val="left"/>
      </w:pPr>
      <w:r>
        <w:rPr>
          <w:rFonts w:ascii="Times New Roman" w:cs="Times New Roman" w:eastAsia="Times New Roman" w:hAnsi="Times New Roman"/>
          <w:sz w:val="24"/>
          <w:szCs w:val="24"/>
        </w:rPr>
        <w:t xml:space="preserve">Wang, C. L., Singhal, T., Kelkar, A., &amp; Tuo, J. (2025). </w:t>
      </w:r>
      <w:r>
        <w:rPr>
          <w:rFonts w:ascii="Times New Roman" w:cs="Times New Roman" w:eastAsia="Times New Roman" w:hAnsi="Times New Roman"/>
          <w:i/>
          <w:iCs/>
          <w:sz w:val="24"/>
          <w:szCs w:val="24"/>
        </w:rPr>
        <w:t xml:space="preserve">MI9: An integrated runtime governance framework for agentic AI</w:t>
      </w:r>
      <w:r>
        <w:rPr>
          <w:rFonts w:ascii="Times New Roman" w:cs="Times New Roman" w:eastAsia="Times New Roman" w:hAnsi="Times New Roman"/>
          <w:sz w:val="24"/>
          <w:szCs w:val="24"/>
        </w:rPr>
        <w:t xml:space="preserve"> (arXiv:2508.03858) [Preprint]. arXiv. https://arxiv.org/abs/2508.03858</w:t>
      </w:r>
    </w:p>
    <w:p>
      <w:pPr>
        <w:spacing w:after="120" w:line="360"/>
        <w:ind w:left="720" w:hanging="720"/>
        <w:jc w:val="left"/>
      </w:pPr>
      <w:r>
        <w:rPr>
          <w:rFonts w:ascii="Times New Roman" w:cs="Times New Roman" w:eastAsia="Times New Roman" w:hAnsi="Times New Roman"/>
          <w:sz w:val="24"/>
          <w:szCs w:val="24"/>
        </w:rPr>
        <w:t xml:space="preserve">Wang, H., Poskitt, C. M., &amp; Sun, J. (2026). AgentSpec: Customizable runtime enforcement for safe and reliable LLM agents. In </w:t>
      </w:r>
      <w:r>
        <w:rPr>
          <w:rFonts w:ascii="Times New Roman" w:cs="Times New Roman" w:eastAsia="Times New Roman" w:hAnsi="Times New Roman"/>
          <w:i/>
          <w:iCs/>
          <w:sz w:val="24"/>
          <w:szCs w:val="24"/>
        </w:rPr>
        <w:t xml:space="preserve">Proceedings of the IEEE/ACM 48th International Conference on Software Engineering (ICSE '26)</w:t>
      </w:r>
      <w:r>
        <w:rPr>
          <w:rFonts w:ascii="Times New Roman" w:cs="Times New Roman" w:eastAsia="Times New Roman" w:hAnsi="Times New Roman"/>
          <w:sz w:val="24"/>
          <w:szCs w:val="24"/>
        </w:rPr>
        <w:t xml:space="preserve">. ACM. https://doi.org/10.1145/3744916.3764546</w:t>
      </w:r>
    </w:p>
    <w:p>
      <w:pPr>
        <w:spacing w:after="120" w:line="360"/>
        <w:ind w:left="720" w:hanging="720"/>
        <w:jc w:val="left"/>
      </w:pPr>
      <w:r>
        <w:rPr>
          <w:rFonts w:ascii="Times New Roman" w:cs="Times New Roman" w:eastAsia="Times New Roman" w:hAnsi="Times New Roman"/>
          <w:sz w:val="24"/>
          <w:szCs w:val="24"/>
        </w:rPr>
        <w:t xml:space="preserve">Wang, H., Poskitt, C. M., Wei, J., &amp; Sun, J. (2025). </w:t>
      </w:r>
      <w:r>
        <w:rPr>
          <w:rFonts w:ascii="Times New Roman" w:cs="Times New Roman" w:eastAsia="Times New Roman" w:hAnsi="Times New Roman"/>
          <w:i/>
          <w:iCs/>
          <w:sz w:val="24"/>
          <w:szCs w:val="24"/>
        </w:rPr>
        <w:t xml:space="preserve">ProbGuard: Probabilistic runtime monitoring for LLM agent safety</w:t>
      </w:r>
      <w:r>
        <w:rPr>
          <w:rFonts w:ascii="Times New Roman" w:cs="Times New Roman" w:eastAsia="Times New Roman" w:hAnsi="Times New Roman"/>
          <w:sz w:val="24"/>
          <w:szCs w:val="24"/>
        </w:rPr>
        <w:t xml:space="preserve"> (arXiv:2508.00500; earlier versions titled "Pro2Guard") [Preprint]. arXiv. https://arxiv.org/abs/2508.00500</w:t>
      </w:r>
    </w:p>
    <w:p>
      <w:pPr>
        <w:spacing w:after="120" w:line="360"/>
        <w:ind w:left="720" w:hanging="720"/>
        <w:jc w:val="left"/>
      </w:pPr>
      <w:r>
        <w:rPr>
          <w:rFonts w:ascii="Times New Roman" w:cs="Times New Roman" w:eastAsia="Times New Roman" w:hAnsi="Times New Roman"/>
          <w:sz w:val="24"/>
          <w:szCs w:val="24"/>
        </w:rPr>
        <w:t xml:space="preserve">Wang, L., Ma, C., Feng, X., Zhang, Z., Yang, H., Zhang, J., Chen, Z., Tang, J., Chen, X., Lin, Y., Zhao, W. X., Wei, Z., &amp; Wen, J. (2024). A survey on large language model based autonomous agents. </w:t>
      </w:r>
      <w:r>
        <w:rPr>
          <w:rFonts w:ascii="Times New Roman" w:cs="Times New Roman" w:eastAsia="Times New Roman" w:hAnsi="Times New Roman"/>
          <w:i/>
          <w:iCs/>
          <w:sz w:val="24"/>
          <w:szCs w:val="24"/>
        </w:rPr>
        <w:t xml:space="preserve">Frontiers of Computer Science, 18</w:t>
      </w:r>
      <w:r>
        <w:rPr>
          <w:rFonts w:ascii="Times New Roman" w:cs="Times New Roman" w:eastAsia="Times New Roman" w:hAnsi="Times New Roman"/>
          <w:sz w:val="24"/>
          <w:szCs w:val="24"/>
        </w:rPr>
        <w:t xml:space="preserve">(6), Article 186345. https://doi.org/10.1007/s11704-024-40231-1</w:t>
      </w:r>
    </w:p>
    <w:p>
      <w:pPr>
        <w:spacing w:after="120" w:line="360"/>
        <w:ind w:left="720" w:hanging="720"/>
        <w:jc w:val="left"/>
      </w:pPr>
      <w:r>
        <w:rPr>
          <w:rFonts w:ascii="Times New Roman" w:cs="Times New Roman" w:eastAsia="Times New Roman" w:hAnsi="Times New Roman"/>
          <w:sz w:val="24"/>
          <w:szCs w:val="24"/>
        </w:rPr>
        <w:t xml:space="preserve">Wang, Y., Han, X., Shang, D., Tang, Y., &amp; Liu, B. (2026). </w:t>
      </w:r>
      <w:r>
        <w:rPr>
          <w:rFonts w:ascii="Times New Roman" w:cs="Times New Roman" w:eastAsia="Times New Roman" w:hAnsi="Times New Roman"/>
          <w:i/>
          <w:iCs/>
          <w:sz w:val="24"/>
          <w:szCs w:val="24"/>
        </w:rPr>
        <w:t xml:space="preserve">Safety, or just capability? A validity audit of agent-safety benchmarks</w:t>
      </w:r>
      <w:r>
        <w:rPr>
          <w:rFonts w:ascii="Times New Roman" w:cs="Times New Roman" w:eastAsia="Times New Roman" w:hAnsi="Times New Roman"/>
          <w:sz w:val="24"/>
          <w:szCs w:val="24"/>
        </w:rPr>
        <w:t xml:space="preserve"> (arXiv:2607.28685) [Preprint]. arXiv. https://arxiv.org/abs/2607.28685</w:t>
      </w:r>
    </w:p>
    <w:p>
      <w:pPr>
        <w:spacing w:after="120" w:line="360"/>
        <w:ind w:left="720" w:hanging="720"/>
        <w:jc w:val="left"/>
      </w:pPr>
      <w:r>
        <w:rPr>
          <w:rFonts w:ascii="Times New Roman" w:cs="Times New Roman" w:eastAsia="Times New Roman" w:hAnsi="Times New Roman"/>
          <w:sz w:val="24"/>
          <w:szCs w:val="24"/>
        </w:rPr>
        <w:t xml:space="preserve">Xiang, Z., Zheng, L., Li, Y., Hong, J., Li, Q., Xie, H., Zhang, J., Xiong, Z., Xie, C., Yang, C., Song, D., &amp; Li, B. (2025). GuardAgent: Safeguard LLM agents via knowledge-enabled reasoning. In </w:t>
      </w:r>
      <w:r>
        <w:rPr>
          <w:rFonts w:ascii="Times New Roman" w:cs="Times New Roman" w:eastAsia="Times New Roman" w:hAnsi="Times New Roman"/>
          <w:i/>
          <w:iCs/>
          <w:sz w:val="24"/>
          <w:szCs w:val="24"/>
        </w:rPr>
        <w:t xml:space="preserve">Proceedings of the 42nd International Conference on Machine Learning</w:t>
      </w:r>
      <w:r>
        <w:rPr>
          <w:rFonts w:ascii="Times New Roman" w:cs="Times New Roman" w:eastAsia="Times New Roman" w:hAnsi="Times New Roman"/>
          <w:sz w:val="24"/>
          <w:szCs w:val="24"/>
        </w:rPr>
        <w:t xml:space="preserve"> (Proceedings of Machine Learning Research, Vol. 267, pp. 68316–68342). PMLR.</w:t>
      </w:r>
    </w:p>
    <w:p>
      <w:pPr>
        <w:spacing w:after="120" w:line="360"/>
        <w:ind w:left="720" w:hanging="720"/>
        <w:jc w:val="left"/>
      </w:pPr>
      <w:r>
        <w:rPr>
          <w:rFonts w:ascii="Times New Roman" w:cs="Times New Roman" w:eastAsia="Times New Roman" w:hAnsi="Times New Roman"/>
          <w:sz w:val="24"/>
          <w:szCs w:val="24"/>
        </w:rPr>
        <w:t xml:space="preserve">Yang, C. (2026). </w:t>
      </w:r>
      <w:r>
        <w:rPr>
          <w:rFonts w:ascii="Times New Roman" w:cs="Times New Roman" w:eastAsia="Times New Roman" w:hAnsi="Times New Roman"/>
          <w:i/>
          <w:iCs/>
          <w:sz w:val="24"/>
          <w:szCs w:val="24"/>
        </w:rPr>
        <w:t xml:space="preserve">AgentTrust: Runtime safety evaluation and interception for AI agent tool use</w:t>
      </w:r>
      <w:r>
        <w:rPr>
          <w:rFonts w:ascii="Times New Roman" w:cs="Times New Roman" w:eastAsia="Times New Roman" w:hAnsi="Times New Roman"/>
          <w:sz w:val="24"/>
          <w:szCs w:val="24"/>
        </w:rPr>
        <w:t xml:space="preserve"> (arXiv:2605.04785) [Preprint]. arXiv. https://arxiv.org/abs/2605.04785</w:t>
      </w:r>
    </w:p>
    <w:p>
      <w:pPr>
        <w:spacing w:after="120" w:line="360"/>
        <w:ind w:left="720" w:hanging="720"/>
        <w:jc w:val="left"/>
      </w:pPr>
      <w:r>
        <w:rPr>
          <w:rFonts w:ascii="Times New Roman" w:cs="Times New Roman" w:eastAsia="Times New Roman" w:hAnsi="Times New Roman"/>
          <w:sz w:val="24"/>
          <w:szCs w:val="24"/>
        </w:rPr>
        <w:t xml:space="preserve">Yang, Z., Li, R., Qiang, Q., Wang, J., Lou, F., Li, M., Cheng, D., Xu, R., Lian, H., Zhang, S., Liang, X., Huang, X., Wei, Z., Liu, Z., Guo, X., Wang, H., Chen, R., &amp; Zhang, L. (2026). </w:t>
      </w:r>
      <w:r>
        <w:rPr>
          <w:rFonts w:ascii="Times New Roman" w:cs="Times New Roman" w:eastAsia="Times New Roman" w:hAnsi="Times New Roman"/>
          <w:i/>
          <w:iCs/>
          <w:sz w:val="24"/>
          <w:szCs w:val="24"/>
        </w:rPr>
        <w:t xml:space="preserve">FinVault: Benchmarking financial agent safety in execution-grounded environments</w:t>
      </w:r>
      <w:r>
        <w:rPr>
          <w:rFonts w:ascii="Times New Roman" w:cs="Times New Roman" w:eastAsia="Times New Roman" w:hAnsi="Times New Roman"/>
          <w:sz w:val="24"/>
          <w:szCs w:val="24"/>
        </w:rPr>
        <w:t xml:space="preserve"> (arXiv:2601.07853) [Withdrawn preprint]. arXiv. https://arxiv.org/abs/2601.07853</w:t>
      </w:r>
    </w:p>
    <w:p>
      <w:pPr>
        <w:spacing w:after="120" w:line="360"/>
        <w:ind w:left="720" w:hanging="720"/>
        <w:jc w:val="left"/>
      </w:pPr>
      <w:r>
        <w:rPr>
          <w:rFonts w:ascii="Times New Roman" w:cs="Times New Roman" w:eastAsia="Times New Roman" w:hAnsi="Times New Roman"/>
          <w:sz w:val="24"/>
          <w:szCs w:val="24"/>
        </w:rPr>
        <w:t xml:space="preserve">Yao, S., Zhao, J., Yu, D., Du, N., Shafran, I., Narasimhan, K., &amp; Cao, Y. (2023). ReAct: Synergizing reasoning and acting in language models. In </w:t>
      </w:r>
      <w:r>
        <w:rPr>
          <w:rFonts w:ascii="Times New Roman" w:cs="Times New Roman" w:eastAsia="Times New Roman" w:hAnsi="Times New Roman"/>
          <w:i/>
          <w:iCs/>
          <w:sz w:val="24"/>
          <w:szCs w:val="24"/>
        </w:rPr>
        <w:t xml:space="preserve">The Eleventh International Conference on Learning Representations (ICLR 2023)</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Yu, M., Meng, F., Zhou, X., Wang, S., Mao, J., Pan, L., Chen, T., Wang, K., Li, X., Zhang, Y., An, B., &amp; Wen, Q. (2025). A survey on trustworthy LLM agents: Threats and countermeasures. In </w:t>
      </w:r>
      <w:r>
        <w:rPr>
          <w:rFonts w:ascii="Times New Roman" w:cs="Times New Roman" w:eastAsia="Times New Roman" w:hAnsi="Times New Roman"/>
          <w:i/>
          <w:iCs/>
          <w:sz w:val="24"/>
          <w:szCs w:val="24"/>
        </w:rPr>
        <w:t xml:space="preserve">Proceedings of the 31st ACM SIGKDD Conference on Knowledge Discovery and Data Mining V.2</w:t>
      </w:r>
      <w:r>
        <w:rPr>
          <w:rFonts w:ascii="Times New Roman" w:cs="Times New Roman" w:eastAsia="Times New Roman" w:hAnsi="Times New Roman"/>
          <w:sz w:val="24"/>
          <w:szCs w:val="24"/>
        </w:rPr>
        <w:t xml:space="preserve"> (pp. 6216–6226). ACM. https://doi.org/10.1145/3711896.3736561</w:t>
      </w:r>
    </w:p>
    <w:p>
      <w:pPr>
        <w:spacing w:after="120" w:line="360"/>
        <w:ind w:left="720" w:hanging="720"/>
        <w:jc w:val="left"/>
      </w:pPr>
      <w:r>
        <w:rPr>
          <w:rFonts w:ascii="Times New Roman" w:cs="Times New Roman" w:eastAsia="Times New Roman" w:hAnsi="Times New Roman"/>
          <w:sz w:val="24"/>
          <w:szCs w:val="24"/>
        </w:rPr>
        <w:t xml:space="preserve">Zadrozny, B., &amp; Elkan, C. (2002). Transforming classifier scores into accurate multiclass probability estimates. In </w:t>
      </w:r>
      <w:r>
        <w:rPr>
          <w:rFonts w:ascii="Times New Roman" w:cs="Times New Roman" w:eastAsia="Times New Roman" w:hAnsi="Times New Roman"/>
          <w:i/>
          <w:iCs/>
          <w:sz w:val="24"/>
          <w:szCs w:val="24"/>
        </w:rPr>
        <w:t xml:space="preserve">Proceedings of the Eighth ACM SIGKDD International Conference on Knowledge Discovery and Data Mining</w:t>
      </w:r>
      <w:r>
        <w:rPr>
          <w:rFonts w:ascii="Times New Roman" w:cs="Times New Roman" w:eastAsia="Times New Roman" w:hAnsi="Times New Roman"/>
          <w:sz w:val="24"/>
          <w:szCs w:val="24"/>
        </w:rPr>
        <w:t xml:space="preserve"> (pp. 694–699). ACM. https://doi.org/10.1145/775047.775151</w:t>
      </w:r>
    </w:p>
    <w:p>
      <w:pPr>
        <w:spacing w:after="120" w:line="360"/>
        <w:ind w:left="720" w:hanging="720"/>
        <w:jc w:val="left"/>
      </w:pPr>
      <w:r>
        <w:rPr>
          <w:rFonts w:ascii="Times New Roman" w:cs="Times New Roman" w:eastAsia="Times New Roman" w:hAnsi="Times New Roman"/>
          <w:sz w:val="24"/>
          <w:szCs w:val="24"/>
        </w:rPr>
        <w:t xml:space="preserve">Zhan, Q., Fang, R., Panchal, H. S., &amp; Kang, D. (2025). Adaptive attacks break defenses against indirect prompt injection attacks on LLM agents. In </w:t>
      </w:r>
      <w:r>
        <w:rPr>
          <w:rFonts w:ascii="Times New Roman" w:cs="Times New Roman" w:eastAsia="Times New Roman" w:hAnsi="Times New Roman"/>
          <w:i/>
          <w:iCs/>
          <w:sz w:val="24"/>
          <w:szCs w:val="24"/>
        </w:rPr>
        <w:t xml:space="preserve">Findings of the Association for Computational Linguistics: NAACL 2025</w:t>
      </w:r>
      <w:r>
        <w:rPr>
          <w:rFonts w:ascii="Times New Roman" w:cs="Times New Roman" w:eastAsia="Times New Roman" w:hAnsi="Times New Roman"/>
          <w:sz w:val="24"/>
          <w:szCs w:val="24"/>
        </w:rPr>
        <w:t xml:space="preserve"> (pp. 7116–7132). Association for Computational Linguistics. https://aclanthology.org/2025.findings-naacl.395/</w:t>
      </w:r>
    </w:p>
    <w:p>
      <w:pPr>
        <w:spacing w:after="120" w:line="360"/>
        <w:ind w:left="720" w:hanging="720"/>
        <w:jc w:val="left"/>
      </w:pPr>
      <w:r>
        <w:rPr>
          <w:rFonts w:ascii="Times New Roman" w:cs="Times New Roman" w:eastAsia="Times New Roman" w:hAnsi="Times New Roman"/>
          <w:sz w:val="24"/>
          <w:szCs w:val="24"/>
        </w:rPr>
        <w:t xml:space="preserve">Zhan, Q., Liang, Z., Ying, Z., &amp; Kang, D. (2024). InjecAgent: Benchmarking indirect prompt injections in tool-integrated large language model agents. In </w:t>
      </w:r>
      <w:r>
        <w:rPr>
          <w:rFonts w:ascii="Times New Roman" w:cs="Times New Roman" w:eastAsia="Times New Roman" w:hAnsi="Times New Roman"/>
          <w:i/>
          <w:iCs/>
          <w:sz w:val="24"/>
          <w:szCs w:val="24"/>
        </w:rPr>
        <w:t xml:space="preserve">Findings of the Association for Computational Linguistics: ACL 2024</w:t>
      </w:r>
      <w:r>
        <w:rPr>
          <w:rFonts w:ascii="Times New Roman" w:cs="Times New Roman" w:eastAsia="Times New Roman" w:hAnsi="Times New Roman"/>
          <w:sz w:val="24"/>
          <w:szCs w:val="24"/>
        </w:rPr>
        <w:t xml:space="preserve"> (pp. 10471–10506). Association for Computational Linguistics. https://doi.org/10.18653/v1/2024.findings-acl.624</w:t>
      </w:r>
    </w:p>
    <w:p>
      <w:pPr>
        <w:spacing w:after="120" w:line="360"/>
        <w:ind w:left="720" w:hanging="720"/>
        <w:jc w:val="left"/>
      </w:pPr>
      <w:r>
        <w:rPr>
          <w:rFonts w:ascii="Times New Roman" w:cs="Times New Roman" w:eastAsia="Times New Roman" w:hAnsi="Times New Roman"/>
          <w:sz w:val="24"/>
          <w:szCs w:val="24"/>
        </w:rPr>
        <w:t xml:space="preserve">Zhang, C., Wan, Z., Yu, X., Wu, J., Wen, Q., Zhou, P., Zhao, W., &amp; Tsang, I. (2026). </w:t>
      </w:r>
      <w:r>
        <w:rPr>
          <w:rFonts w:ascii="Times New Roman" w:cs="Times New Roman" w:eastAsia="Times New Roman" w:hAnsi="Times New Roman"/>
          <w:i/>
          <w:iCs/>
          <w:sz w:val="24"/>
          <w:szCs w:val="24"/>
        </w:rPr>
        <w:t xml:space="preserve">Calibration is not control: Why LLM-agent oversight needs intervention</w:t>
      </w:r>
      <w:r>
        <w:rPr>
          <w:rFonts w:ascii="Times New Roman" w:cs="Times New Roman" w:eastAsia="Times New Roman" w:hAnsi="Times New Roman"/>
          <w:sz w:val="24"/>
          <w:szCs w:val="24"/>
        </w:rPr>
        <w:t xml:space="preserve"> (arXiv:2606.21399) [Preprint]. arXiv. https://arxiv.org/abs/2606.21399</w:t>
      </w:r>
    </w:p>
    <w:p>
      <w:pPr>
        <w:spacing w:after="120" w:line="360"/>
        <w:ind w:left="720" w:hanging="720"/>
        <w:jc w:val="left"/>
      </w:pPr>
      <w:r>
        <w:rPr>
          <w:rFonts w:ascii="Times New Roman" w:cs="Times New Roman" w:eastAsia="Times New Roman" w:hAnsi="Times New Roman"/>
          <w:sz w:val="24"/>
          <w:szCs w:val="24"/>
        </w:rPr>
        <w:t xml:space="preserve">Zhang, H., Huang, J., Mei, K., Yao, Y., Wang, Z., Zhan, C., Wang, H., &amp; Zhang, Y. (2025). Agent Security Bench (ASB): Formalizing and benchmarking attacks and defenses in LLM-based agents. In </w:t>
      </w:r>
      <w:r>
        <w:rPr>
          <w:rFonts w:ascii="Times New Roman" w:cs="Times New Roman" w:eastAsia="Times New Roman" w:hAnsi="Times New Roman"/>
          <w:i/>
          <w:iCs/>
          <w:sz w:val="24"/>
          <w:szCs w:val="24"/>
        </w:rPr>
        <w:t xml:space="preserve">The Thirteenth International Conference on Learning Representations (ICLR 2025)</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Zhu, K., Yang, X., Wang, J., Guo, W., &amp; Wang, W. Y. (2025). MELON: Provable defense against indirect prompt injection attacks in AI agents. In </w:t>
      </w:r>
      <w:r>
        <w:rPr>
          <w:rFonts w:ascii="Times New Roman" w:cs="Times New Roman" w:eastAsia="Times New Roman" w:hAnsi="Times New Roman"/>
          <w:i/>
          <w:iCs/>
          <w:sz w:val="24"/>
          <w:szCs w:val="24"/>
        </w:rPr>
        <w:t xml:space="preserve">Proceedings of the 42nd International Conference on Machine Learning</w:t>
      </w:r>
      <w:r>
        <w:rPr>
          <w:rFonts w:ascii="Times New Roman" w:cs="Times New Roman" w:eastAsia="Times New Roman" w:hAnsi="Times New Roman"/>
          <w:sz w:val="24"/>
          <w:szCs w:val="24"/>
        </w:rPr>
        <w:t xml:space="preserve"> (Proceedings of Machine Learning Research, Vol. 267). PMLR.</w:t>
      </w:r>
    </w:p>
    <w:sectPr>
      <w:headerReference w:type="default" r:id="rId17"/>
      <w:footerReference w:type="default" r:id="rId1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000000"/>
      <w:sz w:val="24"/>
      <w:szCs w:val="24"/>
    </w:rPr>
  </w:style>
  <w:style w:type="paragraph" w:styleId="Title">
    <w:name w:val="Title"/>
    <w:basedOn w:val="Normal"/>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Literature Review (Integrated)</dc:title>
  <dc:creator>REM thesis</dc:creator>
  <cp:lastModifiedBy>Un-named</cp:lastModifiedBy>
  <cp:revision>1</cp:revision>
  <dcterms:created xsi:type="dcterms:W3CDTF">2026-09-25T18:30:07.624Z</dcterms:created>
  <dcterms:modified xsi:type="dcterms:W3CDTF">2026-09-25T18:30:07.624Z</dcterms:modified>
</cp:coreProperties>
</file>

<file path=docProps/custom.xml><?xml version="1.0" encoding="utf-8"?>
<Properties xmlns="http://schemas.openxmlformats.org/officeDocument/2006/custom-properties" xmlns:vt="http://schemas.openxmlformats.org/officeDocument/2006/docPropsVTypes"/>
</file>