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8.png" ContentType="image/png"/>
  <Override PartName="/word/media/rId197.png" ContentType="image/png"/>
  <Override PartName="/word/media/rId191.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Runtime</w:t>
      </w:r>
      <w:r>
        <w:t xml:space="preserve"> </w:t>
      </w:r>
      <w:r>
        <w:t xml:space="preserve">Evaluation</w:t>
      </w:r>
      <w:r>
        <w:t xml:space="preserve"> </w:t>
      </w:r>
      <w:r>
        <w:t xml:space="preserve">and</w:t>
      </w:r>
      <w:r>
        <w:t xml:space="preserve"> </w:t>
      </w:r>
      <w:r>
        <w:t xml:space="preserve">Mitigation</w:t>
      </w:r>
      <w:r>
        <w:t xml:space="preserve"> </w:t>
      </w:r>
      <w:r>
        <w:t xml:space="preserve">(REM)</w:t>
      </w:r>
      <w:r>
        <w:t xml:space="preserve"> </w:t>
      </w:r>
      <w:r>
        <w:t xml:space="preserve">Framework</w:t>
      </w:r>
      <w:r>
        <w:t xml:space="preserve"> </w:t>
      </w:r>
      <w:r>
        <w:t xml:space="preserve">for</w:t>
      </w:r>
      <w:r>
        <w:t xml:space="preserve"> </w:t>
      </w:r>
      <w:r>
        <w:t xml:space="preserve">Securing</w:t>
      </w:r>
      <w:r>
        <w:t xml:space="preserve"> </w:t>
      </w:r>
      <w:r>
        <w:t xml:space="preserve">Financial</w:t>
      </w:r>
      <w:r>
        <w:t xml:space="preserve"> </w:t>
      </w:r>
      <w:r>
        <w:t xml:space="preserve">AI</w:t>
      </w:r>
      <w:r>
        <w:t xml:space="preserve"> </w:t>
      </w:r>
      <w:r>
        <w:t xml:space="preserve">Agents</w:t>
      </w:r>
    </w:p>
    <w:p>
      <w:pPr>
        <w:pStyle w:val="Subtitle"/>
      </w:pPr>
      <w:r>
        <w:t xml:space="preserve">Master’s</w:t>
      </w:r>
      <w:r>
        <w:t xml:space="preserve"> </w:t>
      </w:r>
      <w:r>
        <w:t xml:space="preserve">thesis</w:t>
      </w:r>
      <w:r>
        <w:t xml:space="preserve"> </w:t>
      </w:r>
      <w:r>
        <w:t xml:space="preserve">—</w:t>
      </w:r>
      <w:r>
        <w:t xml:space="preserve"> </w:t>
      </w:r>
      <w:r>
        <w:t xml:space="preserve">revised</w:t>
      </w:r>
      <w:r>
        <w:t xml:space="preserve"> </w:t>
      </w:r>
      <w:r>
        <w:t xml:space="preserve">draft</w:t>
      </w:r>
      <w:r>
        <w:t xml:space="preserve"> </w:t>
      </w:r>
      <w:r>
        <w:t xml:space="preserve">R2</w:t>
      </w:r>
      <w:r>
        <w:t xml:space="preserve"> </w:t>
      </w:r>
      <w:r>
        <w:t xml:space="preserve">for</w:t>
      </w:r>
      <w:r>
        <w:t xml:space="preserve"> </w:t>
      </w:r>
      <w:r>
        <w:t xml:space="preserve">supervisor</w:t>
      </w:r>
      <w:r>
        <w:t xml:space="preserve"> </w:t>
      </w:r>
      <w:r>
        <w:t xml:space="preserve">review</w:t>
      </w:r>
    </w:p>
    <w:p>
      <w:pPr>
        <w:pStyle w:val="Author"/>
      </w:pPr>
      <w:r>
        <w:t xml:space="preserve">Al-Balqa</w:t>
      </w:r>
      <w:r>
        <w:t xml:space="preserve"> </w:t>
      </w:r>
      <w:r>
        <w:t xml:space="preserve">Applied</w:t>
      </w:r>
      <w:r>
        <w:t xml:space="preserve"> </w:t>
      </w:r>
      <w:r>
        <w:t xml:space="preserve">University</w:t>
      </w:r>
      <w:r>
        <w:t xml:space="preserve"> </w:t>
      </w:r>
      <w:r>
        <w:t xml:space="preserve">—</w:t>
      </w:r>
      <w:r>
        <w:t xml:space="preserve"> </w:t>
      </w:r>
      <w:r>
        <w:t xml:space="preserve">Faculty</w:t>
      </w:r>
      <w:r>
        <w:t xml:space="preserve"> </w:t>
      </w:r>
      <w:r>
        <w:t xml:space="preserve">of</w:t>
      </w:r>
      <w:r>
        <w:t xml:space="preserve"> </w:t>
      </w:r>
      <w:r>
        <w:t xml:space="preserve">Artificial</w:t>
      </w:r>
      <w:r>
        <w:t xml:space="preserve"> </w:t>
      </w:r>
      <w:r>
        <w:t xml:space="preserve">Intelligence</w:t>
      </w:r>
      <w:r>
        <w:t xml:space="preserve"> </w:t>
      </w:r>
      <w:r>
        <w:t xml:space="preserve">—</w:t>
      </w:r>
      <w:r>
        <w:t xml:space="preserve"> </w:t>
      </w:r>
      <w:r>
        <w:t xml:space="preserve">Department</w:t>
      </w:r>
      <w:r>
        <w:t xml:space="preserve"> </w:t>
      </w:r>
      <w:r>
        <w:t xml:space="preserve">of</w:t>
      </w:r>
      <w:r>
        <w:t xml:space="preserve"> </w:t>
      </w:r>
      <w:r>
        <w:t xml:space="preserve">Intelligent</w:t>
      </w:r>
      <w:r>
        <w:t xml:space="preserve"> </w:t>
      </w:r>
      <w:r>
        <w:t xml:space="preserve">Systems</w:t>
      </w:r>
      <w:r>
        <w:t xml:space="preserve"> </w:t>
      </w:r>
      <w:r>
        <w:t xml:space="preserve">(Cyberspace</w:t>
      </w:r>
      <w:r>
        <w:t xml:space="preserve"> </w:t>
      </w:r>
      <w:r>
        <w:t xml:space="preserve">Security)</w:t>
      </w:r>
    </w:p>
    <w:p>
      <w:pPr>
        <w:pStyle w:val="Date"/>
      </w:pPr>
      <w:r>
        <w:t xml:space="preserve">28</w:t>
      </w:r>
      <w:r>
        <w:t xml:space="preserve"> </w:t>
      </w: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chapter-one"/>
    <w:p>
      <w:pPr>
        <w:pStyle w:val="Heading1"/>
      </w:pPr>
      <w:r>
        <w:t xml:space="preserve">CHAPTER ONE</w:t>
      </w:r>
    </w:p>
    <w:bookmarkEnd w:id="20"/>
    <w:bookmarkStart w:id="34" w:name="introduction"/>
    <w:p>
      <w:pPr>
        <w:pStyle w:val="Heading1"/>
      </w:pPr>
      <w:r>
        <w:t xml:space="preserve">INTRODUCTION</w:t>
      </w:r>
    </w:p>
    <w:bookmarkStart w:id="21" w:name="background"/>
    <w:p>
      <w:pPr>
        <w:pStyle w:val="Heading2"/>
      </w:pPr>
      <w:r>
        <w:t xml:space="preserve">1.1 Background</w:t>
      </w:r>
    </w:p>
    <w:p>
      <w:pPr>
        <w:pStyle w:val="FirstParagraph"/>
      </w:pPr>
      <w:r>
        <w:t xml:space="preserve">Large language model (LLM) agents use a language model as the controller of a system that perceives, reasons, plans and acts in pursuit of a task (L. Wang et al., 2024). In the execution pattern made explicit by ReAct (Yao et al., 2023), the model interleaves reasoning with actions, and the observations returned by those actions re-enter its context and shape the next step. Tool-using agents act through calls to external tools with arguments that the model generates.</w:t>
      </w:r>
    </w:p>
    <w:p>
      <w:pPr>
        <w:pStyle w:val="BodyText"/>
      </w:pPr>
      <w:r>
        <w:t xml:space="preserve">When such an agent operates in a financial setting, a single proposed tool call can have direct external effects:</w:t>
      </w:r>
    </w:p>
    <w:p>
      <w:pPr>
        <w:numPr>
          <w:ilvl w:val="0"/>
          <w:numId w:val="1001"/>
        </w:numPr>
        <w:pStyle w:val="Compact"/>
      </w:pPr>
      <w:r>
        <w:t xml:space="preserve">initiate a payment;</w:t>
      </w:r>
    </w:p>
    <w:p>
      <w:pPr>
        <w:numPr>
          <w:ilvl w:val="0"/>
          <w:numId w:val="1001"/>
        </w:numPr>
        <w:pStyle w:val="Compact"/>
      </w:pPr>
      <w:r>
        <w:t xml:space="preserve">schedule or alter a recurring payment;</w:t>
      </w:r>
    </w:p>
    <w:p>
      <w:pPr>
        <w:numPr>
          <w:ilvl w:val="0"/>
          <w:numId w:val="1001"/>
        </w:numPr>
        <w:pStyle w:val="Compact"/>
      </w:pPr>
      <w:r>
        <w:t xml:space="preserve">change account credentials;</w:t>
      </w:r>
    </w:p>
    <w:p>
      <w:pPr>
        <w:numPr>
          <w:ilvl w:val="0"/>
          <w:numId w:val="1001"/>
        </w:numPr>
        <w:pStyle w:val="Compact"/>
      </w:pPr>
      <w:r>
        <w:t xml:space="preserve">send customer data to an external recipient.</w:t>
      </w:r>
    </w:p>
    <w:p>
      <w:pPr>
        <w:pStyle w:val="FirstParagraph"/>
      </w:pPr>
      <w:r>
        <w:t xml:space="preserve">The security question therefore shifts from what a model says to what an agent does: to the moment at which a proposed action crosses from the agent into its environment (Chapter 2, Section 2.1).</w:t>
      </w:r>
    </w:p>
    <w:bookmarkEnd w:id="21"/>
    <w:bookmarkStart w:id="22" w:name="problem-statement"/>
    <w:p>
      <w:pPr>
        <w:pStyle w:val="Heading2"/>
      </w:pPr>
      <w:r>
        <w:t xml:space="preserve">1.2 Problem Statement</w:t>
      </w:r>
    </w:p>
    <w:p>
      <w:pPr>
        <w:pStyle w:val="FirstParagraph"/>
      </w:pPr>
      <w:r>
        <w:t xml:space="preserve">An agent receives input through channels of different trustworthiness:</w:t>
      </w:r>
    </w:p>
    <w:p>
      <w:pPr>
        <w:numPr>
          <w:ilvl w:val="0"/>
          <w:numId w:val="1002"/>
        </w:numPr>
        <w:pStyle w:val="Compact"/>
      </w:pPr>
      <w:r>
        <w:t xml:space="preserve">the system prompt;</w:t>
      </w:r>
    </w:p>
    <w:p>
      <w:pPr>
        <w:numPr>
          <w:ilvl w:val="0"/>
          <w:numId w:val="1002"/>
        </w:numPr>
        <w:pStyle w:val="Compact"/>
      </w:pPr>
      <w:r>
        <w:t xml:space="preserve">the user’s request;</w:t>
      </w:r>
    </w:p>
    <w:p>
      <w:pPr>
        <w:numPr>
          <w:ilvl w:val="0"/>
          <w:numId w:val="1002"/>
        </w:numPr>
        <w:pStyle w:val="Compact"/>
      </w:pPr>
      <w:r>
        <w:t xml:space="preserve">tool outputs;</w:t>
      </w:r>
    </w:p>
    <w:p>
      <w:pPr>
        <w:numPr>
          <w:ilvl w:val="0"/>
          <w:numId w:val="1002"/>
        </w:numPr>
        <w:pStyle w:val="Compact"/>
      </w:pPr>
      <w:r>
        <w:t xml:space="preserve">retrieved content;</w:t>
      </w:r>
    </w:p>
    <w:p>
      <w:pPr>
        <w:numPr>
          <w:ilvl w:val="0"/>
          <w:numId w:val="1002"/>
        </w:numPr>
        <w:pStyle w:val="Compact"/>
      </w:pPr>
      <w:r>
        <w:t xml:space="preserve">stored memory.</w:t>
      </w:r>
    </w:p>
    <w:p>
      <w:pPr>
        <w:pStyle w:val="FirstParagraph"/>
      </w:pPr>
      <w:r>
        <w:t xml:space="preserve">Indirect prompt injection exploits the difference. Content from an external source, processed by the agent, alters its behavior without any access to the user channel (OWASP Gen AI Security Project, 2025; Greshake et al., 2023). Benchmarks designed for tool-using agents show that the threat is practical, including in environments with financial tools (Debenedetti et al., 2024; Zhan et al., 2024; H. Zhang et al., 2025). The attack-success rates they report depend strongly on benchmark, model and attack template, and they cannot be pooled across studies (Chapter 2, Sections 2.4–2.5).</w:t>
      </w:r>
    </w:p>
    <w:p>
      <w:pPr>
        <w:pStyle w:val="BodyText"/>
      </w:pPr>
      <w:r>
        <w:t xml:space="preserve">Defenses can intervene at several points: at the input, inside the model, in the system architecture, or at the moment a proposed action is about to be executed (Chapter 2, Section 2.6).</w:t>
      </w:r>
      <w:r>
        <w:t xml:space="preserve"> </w:t>
      </w:r>
      <w:r>
        <w:rPr>
          <w:bCs/>
          <w:b/>
        </w:rPr>
        <w:t xml:space="preserve">This thesis chooses the last of these, the action boundary, as its point of intervention.</w:t>
      </w:r>
      <w:r>
        <w:t xml:space="preserve"> </w:t>
      </w:r>
      <w:r>
        <w:t xml:space="preserve">It is the point at which an induced financial action becomes visible as a concrete tool call with concrete arguments, and at which it can still be withheld before it takes effect. It is not the only place where an attack can be stopped, and other defenses act earlier.</w:t>
      </w:r>
    </w:p>
    <w:p>
      <w:pPr>
        <w:pStyle w:val="BodyText"/>
      </w:pPr>
      <w:r>
        <w:t xml:space="preserve">A defense placed at the action boundary must decide, for each proposed tool call, whether to release it, modify it, refer it for human review or block it. Two questions about that decision are not settled by the reviewed literature (Chapter 2, Sections 2.9 and 2.12):</w:t>
      </w:r>
    </w:p>
    <w:p>
      <w:pPr>
        <w:numPr>
          <w:ilvl w:val="0"/>
          <w:numId w:val="1003"/>
        </w:numPr>
        <w:pStyle w:val="Compact"/>
      </w:pPr>
      <w:r>
        <w:t xml:space="preserve">how an estimated probability that an action was adversarially induced should be combined with the consequence of that action when choosing among responses;</w:t>
      </w:r>
    </w:p>
    <w:p>
      <w:pPr>
        <w:numPr>
          <w:ilvl w:val="0"/>
          <w:numId w:val="1003"/>
        </w:numPr>
        <w:pStyle w:val="Compact"/>
      </w:pPr>
      <w:r>
        <w:t xml:space="preserve">how often each response is chosen, and at what cost to legitimate work.</w:t>
      </w:r>
    </w:p>
    <w:p>
      <w:pPr>
        <w:pStyle w:val="FirstParagraph"/>
      </w:pPr>
      <w:r>
        <w:t xml:space="preserve">The problem addressed in this thesis is the runtime compromise of tool-using financial agents through indirect prompt injection. The thesis designs a decision layer at the action boundary that addresses these two questions, and evaluates it on recorded agent behavior in a banking environment.</w:t>
      </w:r>
    </w:p>
    <w:bookmarkEnd w:id="22"/>
    <w:bookmarkStart w:id="23" w:name="motivation"/>
    <w:p>
      <w:pPr>
        <w:pStyle w:val="Heading2"/>
      </w:pPr>
      <w:r>
        <w:t xml:space="preserve">1.3 Motivation</w:t>
      </w:r>
    </w:p>
    <w:p>
      <w:pPr>
        <w:pStyle w:val="FirstParagraph"/>
      </w:pPr>
      <w:r>
        <w:t xml:space="preserve">Three considerations motivate the work.</w:t>
      </w:r>
    </w:p>
    <w:p>
      <w:pPr>
        <w:pStyle w:val="BodyText"/>
      </w:pPr>
      <w:r>
        <w:rPr>
          <w:bCs/>
          <w:b/>
        </w:rPr>
        <w:t xml:space="preserve">Concrete financial consequences.</w:t>
      </w:r>
      <w:r>
        <w:t xml:space="preserve"> </w:t>
      </w:r>
      <w:r>
        <w:t xml:space="preserve">Tools that transfer value, modify payments or change credentials expose money, account control and personal data to manipulation (Chapter 2, Section 2.10). Conventional evaluation of financial LLM agents, based on accuracy and return metrics, has been argued to give an illusion of reliability while overlooking vulnerabilities such as adversarial prompt manipulation (Z. Chen, J. Chen, et al., 2025).</w:t>
      </w:r>
    </w:p>
    <w:p>
      <w:pPr>
        <w:pStyle w:val="BodyText"/>
      </w:pPr>
      <w:r>
        <w:rPr>
          <w:bCs/>
          <w:b/>
        </w:rPr>
        <w:t xml:space="preserve">Record-keeping and human control.</w:t>
      </w:r>
      <w:r>
        <w:t xml:space="preserve"> </w:t>
      </w:r>
      <w:r>
        <w:t xml:space="preserve">Regulation (EU) 2024/1689 requires high-risk AI systems to allow the automatic recording of events and effective human oversight, including the ability to intervene (European Parliament &amp; Council of the European Union, 2024). Whether a given financial agent falls within a high-risk category is not assessed here. The provisions motivate two design properties: an audit record for every decision and an explicit route to human review.</w:t>
      </w:r>
    </w:p>
    <w:p>
      <w:pPr>
        <w:pStyle w:val="BodyText"/>
      </w:pPr>
      <w:r>
        <w:rPr>
          <w:bCs/>
          <w:b/>
        </w:rPr>
        <w:t xml:space="preserve">Fragile evaluation.</w:t>
      </w:r>
      <w:r>
        <w:t xml:space="preserve"> </w:t>
      </w:r>
      <w:r>
        <w:t xml:space="preserve">Pitfalls in the design and evaluation of learning-based security systems lead to unrealistic performance estimates (Arp et al., 2022). Audits of agent-safety benchmarks report metric flaws, inconsistent rankings and contradictory conclusions across benchmarks (Y. Wang et al., 2026; M. Q. Li et al., 2026). A defense for financial agents must therefore be evaluated so that:</w:t>
      </w:r>
    </w:p>
    <w:p>
      <w:pPr>
        <w:numPr>
          <w:ilvl w:val="0"/>
          <w:numId w:val="1004"/>
        </w:numPr>
        <w:pStyle w:val="Compact"/>
      </w:pPr>
      <w:r>
        <w:t xml:space="preserve">attack success is reported together with benign utility;</w:t>
      </w:r>
    </w:p>
    <w:p>
      <w:pPr>
        <w:numPr>
          <w:ilvl w:val="0"/>
          <w:numId w:val="1004"/>
        </w:numPr>
        <w:pStyle w:val="Compact"/>
      </w:pPr>
      <w:r>
        <w:t xml:space="preserve">dependence between benchmark tasks is respected;</w:t>
      </w:r>
    </w:p>
    <w:p>
      <w:pPr>
        <w:numPr>
          <w:ilvl w:val="0"/>
          <w:numId w:val="1004"/>
        </w:numPr>
        <w:pStyle w:val="Compact"/>
      </w:pPr>
      <w:r>
        <w:t xml:space="preserve">leakage between fitting and test data is controlled.</w:t>
      </w:r>
    </w:p>
    <w:bookmarkEnd w:id="23"/>
    <w:bookmarkStart w:id="24" w:name="research-gap"/>
    <w:p>
      <w:pPr>
        <w:pStyle w:val="Heading2"/>
      </w:pPr>
      <w:r>
        <w:t xml:space="preserve">1.4 Research Gap</w:t>
      </w:r>
    </w:p>
    <w:p>
      <w:pPr>
        <w:pStyle w:val="FirstParagraph"/>
      </w:pPr>
      <w:r>
        <w:t xml:space="preserve">The gap is not the absence of runtime guardrails, probability calibration, graduated interventions, human review, provenance analysis or consequence-aware control. Each of these is present in the reviewed literature (Chapter 2, Section 2.13.3). Several recent systems are close to the design studied here:</w:t>
      </w:r>
    </w:p>
    <w:p>
      <w:pPr>
        <w:numPr>
          <w:ilvl w:val="0"/>
          <w:numId w:val="1005"/>
        </w:numPr>
        <w:pStyle w:val="Compact"/>
      </w:pPr>
      <w:r>
        <w:rPr>
          <w:bCs/>
          <w:b/>
        </w:rPr>
        <w:t xml:space="preserve">NEXUS</w:t>
      </w:r>
      <w:r>
        <w:t xml:space="preserve"> </w:t>
      </w:r>
      <w:r>
        <w:t xml:space="preserve">is a structured-plan safety monitor that applies a formal intervention policy to choose among allow, block, request confirmation and request revision. It combines deterministic rules, argument-level inspection and a calibrated logistic-regression risk score (Hossain et al., 2026).</w:t>
      </w:r>
    </w:p>
    <w:p>
      <w:pPr>
        <w:numPr>
          <w:ilvl w:val="0"/>
          <w:numId w:val="1005"/>
        </w:numPr>
        <w:pStyle w:val="Compact"/>
      </w:pPr>
      <w:r>
        <w:rPr>
          <w:bCs/>
          <w:b/>
        </w:rPr>
        <w:t xml:space="preserve">AgentTrust</w:t>
      </w:r>
      <w:r>
        <w:t xml:space="preserve"> </w:t>
      </w:r>
      <w:r>
        <w:t xml:space="preserve">intercepts tool calls before execution and returns one of four verdicts, combining a normalizer, multi-step chain detection and an LLM judge for ambiguous inputs (C. Yang, 2026).</w:t>
      </w:r>
    </w:p>
    <w:p>
      <w:pPr>
        <w:numPr>
          <w:ilvl w:val="0"/>
          <w:numId w:val="1005"/>
        </w:numPr>
        <w:pStyle w:val="Compact"/>
      </w:pPr>
      <w:r>
        <w:rPr>
          <w:bCs/>
          <w:b/>
        </w:rPr>
        <w:t xml:space="preserve">H.-H. Chen (2026)</w:t>
      </w:r>
      <w:r>
        <w:t xml:space="preserve"> </w:t>
      </w:r>
      <w:r>
        <w:t xml:space="preserve">prices the consequence of agent actions against a safe default before execution.</w:t>
      </w:r>
    </w:p>
    <w:p>
      <w:pPr>
        <w:numPr>
          <w:ilvl w:val="0"/>
          <w:numId w:val="1005"/>
        </w:numPr>
        <w:pStyle w:val="Compact"/>
      </w:pPr>
      <w:r>
        <w:rPr>
          <w:bCs/>
          <w:b/>
        </w:rPr>
        <w:t xml:space="preserve">FinHarness</w:t>
      </w:r>
      <w:r>
        <w:t xml:space="preserve"> </w:t>
      </w:r>
      <w:r>
        <w:t xml:space="preserve">addresses runtime safety of financial agents through monitors and an LLM-judge cascade (Jia et al., 2026).</w:t>
      </w:r>
    </w:p>
    <w:p>
      <w:pPr>
        <w:numPr>
          <w:ilvl w:val="0"/>
          <w:numId w:val="1005"/>
        </w:numPr>
        <w:pStyle w:val="Compact"/>
      </w:pPr>
      <w:r>
        <w:rPr>
          <w:bCs/>
          <w:b/>
        </w:rPr>
        <w:t xml:space="preserve">C. Zhang et al. (2026)</w:t>
      </w:r>
      <w:r>
        <w:t xml:space="preserve"> </w:t>
      </w:r>
      <w:r>
        <w:t xml:space="preserve">show that calibrating a risk score need not improve the decisions taken with it.</w:t>
      </w:r>
    </w:p>
    <w:p>
      <w:pPr>
        <w:pStyle w:val="FirstParagraph"/>
      </w:pPr>
      <w:r>
        <w:t xml:space="preserve">The systematic review of Chapter 2 was conducted at record level: full texts could not be retrieved. Within that limit, the gap it supports is</w:t>
      </w:r>
      <w:r>
        <w:t xml:space="preserve"> </w:t>
      </w:r>
      <w:r>
        <w:rPr>
          <w:bCs/>
          <w:b/>
        </w:rPr>
        <w:t xml:space="preserve">empirical</w:t>
      </w:r>
      <w:r>
        <w:t xml:space="preserve"> </w:t>
      </w:r>
      <w:r>
        <w:t xml:space="preserve">(Chapter 2, Section 2.13.2). The review found three things:</w:t>
      </w:r>
    </w:p>
    <w:p>
      <w:pPr>
        <w:numPr>
          <w:ilvl w:val="0"/>
          <w:numId w:val="1006"/>
        </w:numPr>
        <w:pStyle w:val="Compact"/>
      </w:pPr>
      <w:r>
        <w:t xml:space="preserve">limited and conflicting evidence on whether behavioral and provenance evidence improves runtime decisions, and none testing it as input to a calibrated estimator for financial actions;</w:t>
      </w:r>
    </w:p>
    <w:p>
      <w:pPr>
        <w:numPr>
          <w:ilvl w:val="0"/>
          <w:numId w:val="1006"/>
        </w:numPr>
        <w:pStyle w:val="Compact"/>
      </w:pPr>
      <w:r>
        <w:t xml:space="preserve">no verified quantitative evaluation of a runtime defense on financial actions in an open, executable benchmark;</w:t>
      </w:r>
    </w:p>
    <w:p>
      <w:pPr>
        <w:numPr>
          <w:ilvl w:val="0"/>
          <w:numId w:val="1006"/>
        </w:numPr>
        <w:pStyle w:val="Compact"/>
      </w:pPr>
      <w:r>
        <w:t xml:space="preserve">no evaluation comparing a consequence-aware decision with a consequence-independent baseline that shares its estimator, with attack success, benign utility, intervention behavior, calibration and latency reported separately.</w:t>
      </w:r>
    </w:p>
    <w:p>
      <w:pPr>
        <w:pStyle w:val="FirstParagraph"/>
      </w:pPr>
      <w:r>
        <w:t xml:space="preserve">The specific combination that REM implements was not found in the records examined. Because the combination is specific and the review was record-level, its absence is not used as evidence of originality.</w:t>
      </w:r>
    </w:p>
    <w:bookmarkEnd w:id="24"/>
    <w:bookmarkStart w:id="25" w:name="research-aim"/>
    <w:p>
      <w:pPr>
        <w:pStyle w:val="Heading2"/>
      </w:pPr>
      <w:r>
        <w:t xml:space="preserve">1.5 Research Aim</w:t>
      </w:r>
    </w:p>
    <w:p>
      <w:pPr>
        <w:pStyle w:val="FirstParagraph"/>
      </w:pPr>
      <w:r>
        <w:t xml:space="preserve">The approved research proposal states objectives but no separate aim. The aim below is derived from the approved objectives of Section 1.6 and adds nothing to them.</w:t>
      </w:r>
    </w:p>
    <w:p>
      <w:pPr>
        <w:pStyle w:val="BodyText"/>
      </w:pPr>
      <w:r>
        <w:t xml:space="preserve">The aim of this research is to design a runtime evaluation and mitigation framework for the security of financial AI agents, to evaluate it against adversarial attacks, and to compare it with existing security approaches.</w:t>
      </w:r>
    </w:p>
    <w:bookmarkEnd w:id="25"/>
    <w:bookmarkStart w:id="26" w:name="research-objectives"/>
    <w:p>
      <w:pPr>
        <w:pStyle w:val="Heading2"/>
      </w:pPr>
      <w:r>
        <w:t xml:space="preserve">1.6 Research Objectives</w:t>
      </w:r>
    </w:p>
    <w:p>
      <w:pPr>
        <w:pStyle w:val="FirstParagraph"/>
      </w:pPr>
      <w:r>
        <w:t xml:space="preserve">The approved objectives are (Chapter 3, Section 3.1.2):</w:t>
      </w:r>
    </w:p>
    <w:p>
      <w:pPr>
        <w:numPr>
          <w:ilvl w:val="0"/>
          <w:numId w:val="1007"/>
        </w:numPr>
        <w:pStyle w:val="Compact"/>
      </w:pPr>
      <w:r>
        <w:rPr>
          <w:bCs/>
          <w:b/>
        </w:rPr>
        <w:t xml:space="preserve">O1:</w:t>
      </w:r>
      <w:r>
        <w:t xml:space="preserve"> </w:t>
      </w:r>
      <w:r>
        <w:t xml:space="preserve">Design a REM framework for financial AI agents’ and task automation agents’ security.</w:t>
      </w:r>
    </w:p>
    <w:p>
      <w:pPr>
        <w:numPr>
          <w:ilvl w:val="0"/>
          <w:numId w:val="1007"/>
        </w:numPr>
        <w:pStyle w:val="Compact"/>
      </w:pPr>
      <w:r>
        <w:rPr>
          <w:bCs/>
          <w:b/>
        </w:rPr>
        <w:t xml:space="preserve">O2:</w:t>
      </w:r>
      <w:r>
        <w:t xml:space="preserve"> </w:t>
      </w:r>
      <w:r>
        <w:t xml:space="preserve">Evaluate the framework against adversarial attacks.</w:t>
      </w:r>
    </w:p>
    <w:p>
      <w:pPr>
        <w:numPr>
          <w:ilvl w:val="0"/>
          <w:numId w:val="1007"/>
        </w:numPr>
        <w:pStyle w:val="Compact"/>
      </w:pPr>
      <w:r>
        <w:rPr>
          <w:bCs/>
          <w:b/>
        </w:rPr>
        <w:t xml:space="preserve">O3:</w:t>
      </w:r>
      <w:r>
        <w:t xml:space="preserve"> </w:t>
      </w:r>
      <w:r>
        <w:t xml:space="preserve">Compare performance with existing security approaches.</w:t>
      </w:r>
    </w:p>
    <w:p>
      <w:pPr>
        <w:pStyle w:val="FirstParagraph"/>
      </w:pPr>
      <w:r>
        <w:t xml:space="preserve">O1 names task-automation agents as well as financial agents.</w:t>
      </w:r>
      <w:r>
        <w:t xml:space="preserve"> </w:t>
      </w:r>
      <w:r>
        <w:rPr>
          <w:bCs/>
          <w:b/>
        </w:rPr>
        <w:t xml:space="preserve">The evaluation in this thesis is restricted to a banking environment.</w:t>
      </w:r>
      <w:r>
        <w:t xml:space="preserve"> </w:t>
      </w:r>
      <w:r>
        <w:t xml:space="preserve">No task-automation environment was evaluated, so the evidence bears on financial agents only.</w:t>
      </w:r>
    </w:p>
    <w:bookmarkEnd w:id="26"/>
    <w:bookmarkStart w:id="27" w:name="research-questions"/>
    <w:p>
      <w:pPr>
        <w:pStyle w:val="Heading2"/>
      </w:pPr>
      <w:r>
        <w:t xml:space="preserve">1.7 Research Questions</w:t>
      </w:r>
    </w:p>
    <w:p>
      <w:pPr>
        <w:pStyle w:val="FirstParagraph"/>
      </w:pPr>
      <w:r>
        <w:t xml:space="preserve">The research questions below are derived from the approved objectives (Chapter 3, Section 3.1.3). Each is stated together with the kind of evidence this thesis could produce for it.</w:t>
      </w:r>
    </w:p>
    <w:p>
      <w:pPr>
        <w:numPr>
          <w:ilvl w:val="0"/>
          <w:numId w:val="1008"/>
        </w:numPr>
        <w:pStyle w:val="Compact"/>
      </w:pPr>
      <w:r>
        <w:rPr>
          <w:bCs/>
          <w:b/>
        </w:rPr>
        <w:t xml:space="preserve">RQ1 (estimation).</w:t>
      </w:r>
      <w:r>
        <w:t xml:space="preserve"> </w:t>
      </w:r>
      <w:r>
        <w:t xml:space="preserve">How well does a ridge logistic regression estimator, using context, behavioral and action evidence available at the tool-call boundary, discriminate adversarially induced proposed actions in the AgentDojo banking environment, and how well calibrated are its probabilities under grouped cross-fitting?</w:t>
      </w:r>
      <w:r>
        <w:t xml:space="preserve"> </w:t>
      </w:r>
      <w:r>
        <w:rPr>
          <w:iCs/>
          <w:i/>
        </w:rPr>
        <w:t xml:space="preserve">Evidence:</w:t>
      </w:r>
      <w:r>
        <w:t xml:space="preserve"> </w:t>
      </w:r>
      <w:r>
        <w:t xml:space="preserve">offline classification of recorded steps.</w:t>
      </w:r>
    </w:p>
    <w:p>
      <w:pPr>
        <w:numPr>
          <w:ilvl w:val="0"/>
          <w:numId w:val="1008"/>
        </w:numPr>
        <w:pStyle w:val="Compact"/>
      </w:pPr>
      <w:r>
        <w:rPr>
          <w:bCs/>
          <w:b/>
        </w:rPr>
        <w:t xml:space="preserve">RQ2 (decision).</w:t>
      </w:r>
      <w:r>
        <w:t xml:space="preserve"> </w:t>
      </w:r>
      <w:r>
        <w:t xml:space="preserve">Compared with a consequence-independent threshold policy that uses the same estimator, how does consequence-tiered expected-loss verdict selection change intervention behavior, attack success and utility, across a declared range of loss structures?</w:t>
      </w:r>
      <w:r>
        <w:t xml:space="preserve"> </w:t>
      </w:r>
      <w:r>
        <w:rPr>
          <w:iCs/>
          <w:i/>
        </w:rPr>
        <w:t xml:space="preserve">Evidence:</w:t>
      </w:r>
      <w:r>
        <w:t xml:space="preserve"> </w:t>
      </w:r>
      <w:r>
        <w:t xml:space="preserve">observe-only policy analysis of recorded steps, and a replay sensitivity analysis.</w:t>
      </w:r>
    </w:p>
    <w:p>
      <w:pPr>
        <w:numPr>
          <w:ilvl w:val="0"/>
          <w:numId w:val="1008"/>
        </w:numPr>
        <w:pStyle w:val="Compact"/>
      </w:pPr>
      <w:r>
        <w:rPr>
          <w:bCs/>
          <w:b/>
        </w:rPr>
        <w:t xml:space="preserve">RQ3 (mitigation and cost).</w:t>
      </w:r>
      <w:r>
        <w:t xml:space="preserve"> </w:t>
      </w:r>
      <w:r>
        <w:t xml:space="preserve">What residual attack success remains after the Modify mechanism, how often is escalation selected, and what per-step processing time does REM add?</w:t>
      </w:r>
      <w:r>
        <w:t xml:space="preserve"> </w:t>
      </w:r>
      <w:r>
        <w:rPr>
          <w:iCs/>
          <w:i/>
        </w:rPr>
        <w:t xml:space="preserve">Evidence:</w:t>
      </w:r>
      <w:r>
        <w:t xml:space="preserve"> </w:t>
      </w:r>
      <w:r>
        <w:t xml:space="preserve">replay sensitivity analysis and runtime measurement. Residual success against live, adaptive agents is not measured.</w:t>
      </w:r>
    </w:p>
    <w:p>
      <w:pPr>
        <w:numPr>
          <w:ilvl w:val="0"/>
          <w:numId w:val="1008"/>
        </w:numPr>
        <w:pStyle w:val="Compact"/>
      </w:pPr>
      <w:r>
        <w:rPr>
          <w:bCs/>
          <w:b/>
        </w:rPr>
        <w:t xml:space="preserve">RQ4 (component contribution).</w:t>
      </w:r>
      <w:r>
        <w:t xml:space="preserve"> </w:t>
      </w:r>
      <w:r>
        <w:t xml:space="preserve">What is the marginal contribution of each evidence group, of calibration, and of consequence tiers, as determined by ablation?</w:t>
      </w:r>
      <w:r>
        <w:t xml:space="preserve"> </w:t>
      </w:r>
      <w:r>
        <w:rPr>
          <w:iCs/>
          <w:i/>
        </w:rPr>
        <w:t xml:space="preserve">Evidence:</w:t>
      </w:r>
      <w:r>
        <w:t xml:space="preserve"> </w:t>
      </w:r>
      <w:r>
        <w:t xml:space="preserve">offline and observe-only ablations, and replay.</w:t>
      </w:r>
    </w:p>
    <w:bookmarkEnd w:id="27"/>
    <w:bookmarkStart w:id="28" w:name="proposed-approach"/>
    <w:p>
      <w:pPr>
        <w:pStyle w:val="Heading2"/>
      </w:pPr>
      <w:r>
        <w:t xml:space="preserve">1.8 Proposed Approach</w:t>
      </w:r>
    </w:p>
    <w:p>
      <w:pPr>
        <w:pStyle w:val="FirstParagraph"/>
      </w:pPr>
      <w:r>
        <w:t xml:space="preserve">The Runtime Evaluation and Mitigation (REM) framework is a runtime mediation layer placed between one agent and its environment. It treats the agent as opaque: it observes inputs, context, proposed actions and tool results, but not model parameters or internal reasoning (Chapter 3, Section 3.3.1). REM comprises exactly five layers (Chapter 3, Section 3.2.1):</w:t>
      </w:r>
    </w:p>
    <w:p>
      <w:pPr>
        <w:numPr>
          <w:ilvl w:val="0"/>
          <w:numId w:val="1009"/>
        </w:numPr>
        <w:pStyle w:val="Compact"/>
      </w:pPr>
      <w:r>
        <w:rPr>
          <w:bCs/>
          <w:b/>
        </w:rPr>
        <w:t xml:space="preserve">Input &amp; Context Layer.</w:t>
      </w:r>
      <w:r>
        <w:t xml:space="preserve"> </w:t>
      </w:r>
      <w:r>
        <w:t xml:space="preserve">Captures the information the agent handles and the action it proposes, and labels each context segment with its provenance.</w:t>
      </w:r>
    </w:p>
    <w:p>
      <w:pPr>
        <w:numPr>
          <w:ilvl w:val="0"/>
          <w:numId w:val="1009"/>
        </w:numPr>
        <w:pStyle w:val="Compact"/>
      </w:pPr>
      <w:r>
        <w:rPr>
          <w:bCs/>
          <w:b/>
        </w:rPr>
        <w:t xml:space="preserve">Detection Layer.</w:t>
      </w:r>
      <w:r>
        <w:t xml:space="preserve"> </w:t>
      </w:r>
      <w:r>
        <w:t xml:space="preserve">Computes evidence about untrusted context.</w:t>
      </w:r>
    </w:p>
    <w:p>
      <w:pPr>
        <w:numPr>
          <w:ilvl w:val="0"/>
          <w:numId w:val="1009"/>
        </w:numPr>
        <w:pStyle w:val="Compact"/>
      </w:pPr>
      <w:r>
        <w:rPr>
          <w:bCs/>
          <w:b/>
        </w:rPr>
        <w:t xml:space="preserve">Behavioral Analysis Layer.</w:t>
      </w:r>
      <w:r>
        <w:t xml:space="preserve"> </w:t>
      </w:r>
      <w:r>
        <w:t xml:space="preserve">Computes evidence about the episode history and the proposed action.</w:t>
      </w:r>
    </w:p>
    <w:p>
      <w:pPr>
        <w:numPr>
          <w:ilvl w:val="0"/>
          <w:numId w:val="1009"/>
        </w:numPr>
        <w:pStyle w:val="Compact"/>
      </w:pPr>
      <w:r>
        <w:rPr>
          <w:bCs/>
          <w:b/>
        </w:rPr>
        <w:t xml:space="preserve">Decision Engine Layer.</w:t>
      </w:r>
      <w:r>
        <w:t xml:space="preserve"> </w:t>
      </w:r>
      <w:r>
        <w:t xml:space="preserve">Performs five steps:</w:t>
      </w:r>
    </w:p>
    <w:p>
      <w:pPr>
        <w:numPr>
          <w:ilvl w:val="1"/>
          <w:numId w:val="1010"/>
        </w:numPr>
        <w:pStyle w:val="Compact"/>
      </w:pPr>
      <w:r>
        <w:t xml:space="preserve">estimates the probability that the proposed action is adversarially induced, using ridge logistic regression (Cox, 1958; le Cessie &amp; van Houwelingen, 1992);</w:t>
      </w:r>
    </w:p>
    <w:p>
      <w:pPr>
        <w:numPr>
          <w:ilvl w:val="1"/>
          <w:numId w:val="1010"/>
        </w:numPr>
        <w:pStyle w:val="Compact"/>
      </w:pPr>
      <w:r>
        <w:t xml:space="preserve">calibrates that probability on the logit (Platt, 1999; Guo et al., 2017);</w:t>
      </w:r>
    </w:p>
    <w:p>
      <w:pPr>
        <w:numPr>
          <w:ilvl w:val="1"/>
          <w:numId w:val="1010"/>
        </w:numPr>
        <w:pStyle w:val="Compact"/>
      </w:pPr>
      <w:r>
        <w:t xml:space="preserve">assigns a declared consequence tier and applies policy predicates;</w:t>
      </w:r>
    </w:p>
    <w:p>
      <w:pPr>
        <w:numPr>
          <w:ilvl w:val="1"/>
          <w:numId w:val="1010"/>
        </w:numPr>
        <w:pStyle w:val="Compact"/>
      </w:pPr>
      <w:r>
        <w:t xml:space="preserve">selects the verdict among Allow, Modify, Escalate and Block by minimizing conditional risk under tier-indexed losses (Elkan, 2001; Chow, 1970);</w:t>
      </w:r>
    </w:p>
    <w:p>
      <w:pPr>
        <w:numPr>
          <w:ilvl w:val="1"/>
          <w:numId w:val="1010"/>
        </w:numPr>
        <w:pStyle w:val="Compact"/>
      </w:pPr>
      <w:r>
        <w:t xml:space="preserve">writes an audit record.</w:t>
      </w:r>
    </w:p>
    <w:p>
      <w:pPr>
        <w:numPr>
          <w:ilvl w:val="0"/>
          <w:numId w:val="1009"/>
        </w:numPr>
        <w:pStyle w:val="Compact"/>
      </w:pPr>
      <w:r>
        <w:rPr>
          <w:bCs/>
          <w:b/>
        </w:rPr>
        <w:t xml:space="preserve">Mitigation Layer.</w:t>
      </w:r>
      <w:r>
        <w:t xml:space="preserve"> </w:t>
      </w:r>
      <w:r>
        <w:t xml:space="preserve">Executes the mechanism associated with the verdict.</w:t>
      </w:r>
    </w:p>
    <w:p>
      <w:pPr>
        <w:pStyle w:val="FirstParagraph"/>
      </w:pPr>
      <w:r>
        <w:t xml:space="preserve">Offline fitting and recalibration are cross-cutting activities performed between deployments; they are not a layer. A linear attribution of the logit (Lundberg &amp; Lee, 2017) is written to the audit record and never influences the verdict.</w:t>
      </w:r>
    </w:p>
    <w:p>
      <w:pPr>
        <w:pStyle w:val="BodyText"/>
      </w:pPr>
      <w:r>
        <w:rPr>
          <w:bCs/>
          <w:b/>
        </w:rPr>
        <w:t xml:space="preserve">None of these elements is new.</w:t>
      </w:r>
    </w:p>
    <w:p>
      <w:pPr>
        <w:numPr>
          <w:ilvl w:val="0"/>
          <w:numId w:val="1011"/>
        </w:numPr>
        <w:pStyle w:val="Compact"/>
      </w:pPr>
      <w:r>
        <w:t xml:space="preserve">Runtime interception of tool calls, probability calibration and a four-way set of graduated verdicts all have precedents (Chapter 2, Section 2.13.3).</w:t>
      </w:r>
    </w:p>
    <w:p>
      <w:pPr>
        <w:numPr>
          <w:ilvl w:val="0"/>
          <w:numId w:val="1011"/>
        </w:numPr>
        <w:pStyle w:val="Compact"/>
      </w:pPr>
      <w:r>
        <w:t xml:space="preserve">In REM, declared costs play the role that hand-chosen thresholds play in threshold policies: the threshold between two verdicts follows from the declared cost ratio for the action’s consequence tier (Chapter 3, Section 3.7.5).</w:t>
      </w:r>
    </w:p>
    <w:bookmarkEnd w:id="28"/>
    <w:bookmarkStart w:id="29" w:name="research-methodology"/>
    <w:p>
      <w:pPr>
        <w:pStyle w:val="Heading2"/>
      </w:pPr>
      <w:r>
        <w:t xml:space="preserve">1.9 Research Methodology</w:t>
      </w:r>
    </w:p>
    <w:p>
      <w:pPr>
        <w:pStyle w:val="FirstParagraph"/>
      </w:pPr>
      <w:r>
        <w:t xml:space="preserve">The research follows design science research. In design science, knowledge is produced by building an artifact that addresses an identified problem and evaluating it (Hevner et al., 2004), following the six activities of Peffers et al. (2007) (Chapter 3, Section 3.1.1). The artifact is REM.</w:t>
      </w:r>
    </w:p>
    <w:p>
      <w:pPr>
        <w:pStyle w:val="BodyText"/>
      </w:pPr>
      <w:r>
        <w:t xml:space="preserve">The evaluation is quantitative and uses the AgentDojo banking environment (Debenedetti et al., 2024). It compares REM with a baseline that uses the same estimator but a consequence-independent decision rule. A further configuration gives both the same opportunity to escalate, so that the effect of consequence tiers can be separated from the effect of escalation. Estimation, calibration and threshold selection use nested grouped cross-fitting, because the benchmark does not support independent partitions (Chapter 3, Sections 3.11.4–3.11.5).</w:t>
      </w:r>
    </w:p>
    <w:p>
      <w:pPr>
        <w:pStyle w:val="BodyText"/>
      </w:pPr>
      <w:r>
        <w:t xml:space="preserve">Live agent runs with REM enforcing its verdicts require access to a language model, which was not available. The evaluation therefore rests on traces of real agents recorded by the benchmark authors, used in three ways (Chapter 3, Sections 3.11.1 and 3.11.11):</w:t>
      </w:r>
    </w:p>
    <w:p>
      <w:pPr>
        <w:numPr>
          <w:ilvl w:val="0"/>
          <w:numId w:val="1012"/>
        </w:numPr>
        <w:pStyle w:val="Compact"/>
      </w:pPr>
      <w:r>
        <w:rPr>
          <w:bCs/>
          <w:b/>
        </w:rPr>
        <w:t xml:space="preserve">offline classification</w:t>
      </w:r>
      <w:r>
        <w:t xml:space="preserve"> </w:t>
      </w:r>
      <w:r>
        <w:t xml:space="preserve">of recorded steps;</w:t>
      </w:r>
    </w:p>
    <w:p>
      <w:pPr>
        <w:numPr>
          <w:ilvl w:val="0"/>
          <w:numId w:val="1012"/>
        </w:numPr>
        <w:pStyle w:val="Compact"/>
      </w:pPr>
      <w:r>
        <w:rPr>
          <w:bCs/>
          <w:b/>
        </w:rPr>
        <w:t xml:space="preserve">observe-only policy analysis</w:t>
      </w:r>
      <w:r>
        <w:t xml:space="preserve">, in which verdicts are computed but not enforced;</w:t>
      </w:r>
    </w:p>
    <w:p>
      <w:pPr>
        <w:numPr>
          <w:ilvl w:val="0"/>
          <w:numId w:val="1012"/>
        </w:numPr>
        <w:pStyle w:val="Compact"/>
      </w:pPr>
      <w:r>
        <w:t xml:space="preserve">a</w:t>
      </w:r>
      <w:r>
        <w:t xml:space="preserve"> </w:t>
      </w:r>
      <w:r>
        <w:rPr>
          <w:bCs/>
          <w:b/>
        </w:rPr>
        <w:t xml:space="preserve">replay sensitivity analysis</w:t>
      </w:r>
      <w:r>
        <w:t xml:space="preserve"> </w:t>
      </w:r>
      <w:r>
        <w:t xml:space="preserve">that re-executes recorded trajectories under REM, assuming the agent does not adapt to refusals.</w:t>
      </w:r>
    </w:p>
    <w:p>
      <w:pPr>
        <w:pStyle w:val="FirstParagraph"/>
      </w:pPr>
      <w:r>
        <w:t xml:space="preserve">The replay analysis is a proposed amendment to the original scope, which excluded replay-based estimation; its status is stated wherever its results are used.</w:t>
      </w:r>
    </w:p>
    <w:bookmarkEnd w:id="29"/>
    <w:bookmarkStart w:id="30" w:name="scope"/>
    <w:p>
      <w:pPr>
        <w:pStyle w:val="Heading2"/>
      </w:pPr>
      <w:r>
        <w:t xml:space="preserve">1.10 Scope</w:t>
      </w:r>
    </w:p>
    <w:p>
      <w:pPr>
        <w:pStyle w:val="FirstParagraph"/>
      </w:pPr>
      <w:r>
        <w:rPr>
          <w:bCs/>
          <w:b/>
        </w:rPr>
        <w:t xml:space="preserve">In scope (Chapter 3, Section 3.1.4):</w:t>
      </w:r>
    </w:p>
    <w:p>
      <w:pPr>
        <w:numPr>
          <w:ilvl w:val="0"/>
          <w:numId w:val="1013"/>
        </w:numPr>
        <w:pStyle w:val="Compact"/>
      </w:pPr>
      <w:r>
        <w:t xml:space="preserve">a single LLM-based agent that invokes tools with generated arguments;</w:t>
      </w:r>
    </w:p>
    <w:p>
      <w:pPr>
        <w:numPr>
          <w:ilvl w:val="0"/>
          <w:numId w:val="1013"/>
        </w:numPr>
        <w:pStyle w:val="Compact"/>
      </w:pPr>
      <w:r>
        <w:t xml:space="preserve">a financial (banking) task environment with executable tools and state-based checks;</w:t>
      </w:r>
    </w:p>
    <w:p>
      <w:pPr>
        <w:numPr>
          <w:ilvl w:val="0"/>
          <w:numId w:val="1013"/>
        </w:numPr>
        <w:pStyle w:val="Compact"/>
      </w:pPr>
      <w:r>
        <w:t xml:space="preserve">indirect prompt injection through tool outputs as the evaluated attack class;</w:t>
      </w:r>
    </w:p>
    <w:p>
      <w:pPr>
        <w:numPr>
          <w:ilvl w:val="0"/>
          <w:numId w:val="1013"/>
        </w:numPr>
        <w:pStyle w:val="Compact"/>
      </w:pPr>
      <w:r>
        <w:t xml:space="preserve">runtime mediation of each proposed tool call before it is released.</w:t>
      </w:r>
    </w:p>
    <w:p>
      <w:pPr>
        <w:pStyle w:val="FirstParagraph"/>
      </w:pPr>
      <w:r>
        <w:rPr>
          <w:bCs/>
          <w:b/>
        </w:rPr>
        <w:t xml:space="preserve">Out of scope:</w:t>
      </w:r>
    </w:p>
    <w:p>
      <w:pPr>
        <w:numPr>
          <w:ilvl w:val="0"/>
          <w:numId w:val="1014"/>
        </w:numPr>
        <w:pStyle w:val="Compact"/>
      </w:pPr>
      <w:r>
        <w:t xml:space="preserve">training-time defenses and modification of the agent’s model or prompts;</w:t>
      </w:r>
    </w:p>
    <w:p>
      <w:pPr>
        <w:numPr>
          <w:ilvl w:val="0"/>
          <w:numId w:val="1014"/>
        </w:numPr>
        <w:pStyle w:val="Compact"/>
      </w:pPr>
      <w:r>
        <w:t xml:space="preserve">multi-agent systems;</w:t>
      </w:r>
    </w:p>
    <w:p>
      <w:pPr>
        <w:numPr>
          <w:ilvl w:val="0"/>
          <w:numId w:val="1014"/>
        </w:numPr>
        <w:pStyle w:val="Compact"/>
      </w:pPr>
      <w:r>
        <w:t xml:space="preserve">adaptive adversaries who tune attacks to REM;</w:t>
      </w:r>
    </w:p>
    <w:p>
      <w:pPr>
        <w:numPr>
          <w:ilvl w:val="0"/>
          <w:numId w:val="1014"/>
        </w:numPr>
        <w:pStyle w:val="Compact"/>
      </w:pPr>
      <w:r>
        <w:t xml:space="preserve">production deployment in a financial institution;</w:t>
      </w:r>
    </w:p>
    <w:p>
      <w:pPr>
        <w:numPr>
          <w:ilvl w:val="0"/>
          <w:numId w:val="1014"/>
        </w:numPr>
        <w:pStyle w:val="Compact"/>
      </w:pPr>
      <w:r>
        <w:t xml:space="preserve">task-automation environments other than banking;</w:t>
      </w:r>
    </w:p>
    <w:p>
      <w:pPr>
        <w:numPr>
          <w:ilvl w:val="0"/>
          <w:numId w:val="1014"/>
        </w:numPr>
        <w:pStyle w:val="Compact"/>
      </w:pPr>
      <w:r>
        <w:t xml:space="preserve">counterfactual estimation of intervention value for adaptive agents.</w:t>
      </w:r>
    </w:p>
    <w:p>
      <w:pPr>
        <w:pStyle w:val="FirstParagraph"/>
      </w:pPr>
      <w:r>
        <w:t xml:space="preserve">The design rests on stated assumptions (Chapter 3, Table 3.3). Among them:</w:t>
      </w:r>
    </w:p>
    <w:p>
      <w:pPr>
        <w:numPr>
          <w:ilvl w:val="0"/>
          <w:numId w:val="1015"/>
        </w:numPr>
        <w:pStyle w:val="Compact"/>
      </w:pPr>
      <w:r>
        <w:t xml:space="preserve">REM can intercept tool calls and results without modifying the agent (AS-1);</w:t>
      </w:r>
    </w:p>
    <w:p>
      <w:pPr>
        <w:numPr>
          <w:ilvl w:val="0"/>
          <w:numId w:val="1015"/>
        </w:numPr>
        <w:pStyle w:val="Compact"/>
      </w:pPr>
      <w:r>
        <w:t xml:space="preserve">REM’s own code, parameters and logs are protected from the adversary (AS-3);</w:t>
      </w:r>
    </w:p>
    <w:p>
      <w:pPr>
        <w:numPr>
          <w:ilvl w:val="0"/>
          <w:numId w:val="1015"/>
        </w:numPr>
        <w:pStyle w:val="Compact"/>
      </w:pPr>
      <w:r>
        <w:t xml:space="preserve">adversaries do not adapt to REM in the primary evaluation (AS-6).</w:t>
      </w:r>
    </w:p>
    <w:bookmarkEnd w:id="30"/>
    <w:bookmarkStart w:id="31" w:name="contributions-proposed-and-achieved"/>
    <w:p>
      <w:pPr>
        <w:pStyle w:val="Heading2"/>
      </w:pPr>
      <w:r>
        <w:t xml:space="preserve">1.11 Contributions: Proposed and Achieved</w:t>
      </w:r>
    </w:p>
    <w:p>
      <w:pPr>
        <w:pStyle w:val="FirstParagraph"/>
      </w:pPr>
      <w:r>
        <w:rPr>
          <w:bCs/>
          <w:b/>
        </w:rPr>
        <w:t xml:space="preserve">Proposed contribution.</w:t>
      </w:r>
      <w:r>
        <w:t xml:space="preserve"> </w:t>
      </w:r>
      <w:r>
        <w:t xml:space="preserve">The contribution proposed in Chapter 3 (Section 3.13) is empirical and integrative. It is the design and evaluation, on an open and executable banking benchmark under indirect prompt injection, of a non-invasive five-layer runtime layer that combines:</w:t>
      </w:r>
    </w:p>
    <w:p>
      <w:pPr>
        <w:numPr>
          <w:ilvl w:val="0"/>
          <w:numId w:val="1016"/>
        </w:numPr>
        <w:pStyle w:val="Compact"/>
      </w:pPr>
      <w:r>
        <w:t xml:space="preserve">provenance-based action evidence;</w:t>
      </w:r>
    </w:p>
    <w:p>
      <w:pPr>
        <w:numPr>
          <w:ilvl w:val="0"/>
          <w:numId w:val="1016"/>
        </w:numPr>
        <w:pStyle w:val="Compact"/>
      </w:pPr>
      <w:r>
        <w:t xml:space="preserve">a calibrated per-step probability of adversarial inducement;</w:t>
      </w:r>
    </w:p>
    <w:p>
      <w:pPr>
        <w:numPr>
          <w:ilvl w:val="0"/>
          <w:numId w:val="1016"/>
        </w:numPr>
        <w:pStyle w:val="Compact"/>
      </w:pPr>
      <w:r>
        <w:t xml:space="preserve">verdict selection by minimizing conditional risk with losses declared per consequence tier;</w:t>
      </w:r>
    </w:p>
    <w:p>
      <w:pPr>
        <w:numPr>
          <w:ilvl w:val="0"/>
          <w:numId w:val="1016"/>
        </w:numPr>
        <w:pStyle w:val="Compact"/>
      </w:pPr>
      <w:r>
        <w:t xml:space="preserve">deterministic mitigation whose effectiveness is measured.</w:t>
      </w:r>
    </w:p>
    <w:p>
      <w:pPr>
        <w:pStyle w:val="FirstParagraph"/>
      </w:pPr>
      <w:r>
        <w:t xml:space="preserve">It is compared against a consequence-independent baseline on the same estimator.</w:t>
      </w:r>
    </w:p>
    <w:p>
      <w:pPr>
        <w:pStyle w:val="BodyText"/>
      </w:pPr>
      <w:r>
        <w:rPr>
          <w:bCs/>
          <w:b/>
        </w:rPr>
        <w:t xml:space="preserve">What this thesis achieves</w:t>
      </w:r>
      <w:r>
        <w:t xml:space="preserve">, and the evidence for each item (Chapters 4–6):</w:t>
      </w:r>
    </w:p>
    <w:p>
      <w:pPr>
        <w:numPr>
          <w:ilvl w:val="0"/>
          <w:numId w:val="1017"/>
        </w:numPr>
        <w:pStyle w:val="Compact"/>
      </w:pPr>
      <w:r>
        <w:rPr>
          <w:bCs/>
          <w:b/>
        </w:rPr>
        <w:t xml:space="preserve">A specified and implemented framework.</w:t>
      </w:r>
      <w:r>
        <w:t xml:space="preserve"> </w:t>
      </w:r>
      <w:r>
        <w:t xml:space="preserve">The framework is specified (Chapter 3) and implemented, with undeclared design values stopping the software rather than being replaced by defaults (Chapter 4). REM was placed at the tool-execution boundary of the benchmark without modifying the agent.</w:t>
      </w:r>
      <w:r>
        <w:t xml:space="preserve"> </w:t>
      </w:r>
      <w:r>
        <w:rPr>
          <w:iCs/>
          <w:i/>
        </w:rPr>
        <w:t xml:space="preserve">Evidence:</w:t>
      </w:r>
      <w:r>
        <w:t xml:space="preserve"> </w:t>
      </w:r>
      <w:r>
        <w:t xml:space="preserve">software tests and integration runs.</w:t>
      </w:r>
    </w:p>
    <w:p>
      <w:pPr>
        <w:numPr>
          <w:ilvl w:val="0"/>
          <w:numId w:val="1017"/>
        </w:numPr>
        <w:pStyle w:val="Compact"/>
      </w:pPr>
      <w:r>
        <w:rPr>
          <w:bCs/>
          <w:b/>
        </w:rPr>
        <w:t xml:space="preserve">An evaluation protocol</w:t>
      </w:r>
      <w:r>
        <w:t xml:space="preserve"> </w:t>
      </w:r>
      <w:r>
        <w:t xml:space="preserve">that isolates the decision rule from the estimator, and consequence tiers from escalation opportunity. It uses grouped cross-fitting that holds out whole attacker objectives.</w:t>
      </w:r>
      <w:r>
        <w:t xml:space="preserve"> </w:t>
      </w:r>
      <w:r>
        <w:rPr>
          <w:iCs/>
          <w:i/>
        </w:rPr>
        <w:t xml:space="preserve">Evidence:</w:t>
      </w:r>
      <w:r>
        <w:t xml:space="preserve"> </w:t>
      </w:r>
      <w:r>
        <w:t xml:space="preserve">the protocol and its execution (Chapter 5).</w:t>
      </w:r>
    </w:p>
    <w:p>
      <w:pPr>
        <w:numPr>
          <w:ilvl w:val="0"/>
          <w:numId w:val="1017"/>
        </w:numPr>
        <w:pStyle w:val="Compact"/>
      </w:pPr>
      <w:r>
        <w:rPr>
          <w:bCs/>
          <w:b/>
        </w:rPr>
        <w:t xml:space="preserve">Exploratory empirical evidence</w:t>
      </w:r>
      <w:r>
        <w:t xml:space="preserve"> </w:t>
      </w:r>
      <w:r>
        <w:t xml:space="preserve">on traces of 21 real LLM agents. It covers three kinds of analysis: offline discrimination and calibration; observe-only verdict behavior; and a replay sensitivity analysis of attack success and utility.</w:t>
      </w:r>
      <w:r>
        <w:t xml:space="preserve"> </w:t>
      </w:r>
      <w:r>
        <w:rPr>
          <w:iCs/>
          <w:i/>
        </w:rPr>
        <w:t xml:space="preserve">Evidence:</w:t>
      </w:r>
      <w:r>
        <w:t xml:space="preserve"> </w:t>
      </w:r>
      <w:r>
        <w:t xml:space="preserve">exploratory, from one benchmark, without live enforcement.</w:t>
      </w:r>
    </w:p>
    <w:p>
      <w:pPr>
        <w:pStyle w:val="FirstParagraph"/>
      </w:pPr>
      <w:r>
        <w:rPr>
          <w:bCs/>
          <w:b/>
        </w:rPr>
        <w:t xml:space="preserve">What this thesis does not achieve:</w:t>
      </w:r>
    </w:p>
    <w:p>
      <w:pPr>
        <w:numPr>
          <w:ilvl w:val="0"/>
          <w:numId w:val="1018"/>
        </w:numPr>
        <w:pStyle w:val="Compact"/>
      </w:pPr>
      <w:r>
        <w:t xml:space="preserve">an evaluation of enforcement against live agents;</w:t>
      </w:r>
    </w:p>
    <w:p>
      <w:pPr>
        <w:numPr>
          <w:ilvl w:val="0"/>
          <w:numId w:val="1018"/>
        </w:numPr>
        <w:pStyle w:val="Compact"/>
      </w:pPr>
      <w:r>
        <w:t xml:space="preserve">confirmatory results under supervisor-approved design values;</w:t>
      </w:r>
    </w:p>
    <w:p>
      <w:pPr>
        <w:numPr>
          <w:ilvl w:val="0"/>
          <w:numId w:val="1018"/>
        </w:numPr>
        <w:pStyle w:val="Compact"/>
      </w:pPr>
      <w:r>
        <w:t xml:space="preserve">a human audit of the labels;</w:t>
      </w:r>
    </w:p>
    <w:p>
      <w:pPr>
        <w:numPr>
          <w:ilvl w:val="0"/>
          <w:numId w:val="1018"/>
        </w:numPr>
        <w:pStyle w:val="Compact"/>
      </w:pPr>
      <w:r>
        <w:t xml:space="preserve">any per-backbone conclusion.</w:t>
      </w:r>
    </w:p>
    <w:p>
      <w:pPr>
        <w:pStyle w:val="FirstParagraph"/>
      </w:pPr>
      <w:r>
        <w:rPr>
          <w:bCs/>
          <w:b/>
        </w:rPr>
        <w:t xml:space="preserve">What the thesis does not claim:</w:t>
      </w:r>
    </w:p>
    <w:p>
      <w:pPr>
        <w:numPr>
          <w:ilvl w:val="0"/>
          <w:numId w:val="1019"/>
        </w:numPr>
        <w:pStyle w:val="Compact"/>
      </w:pPr>
      <w:r>
        <w:t xml:space="preserve">a new algorithm;</w:t>
      </w:r>
    </w:p>
    <w:p>
      <w:pPr>
        <w:numPr>
          <w:ilvl w:val="0"/>
          <w:numId w:val="1019"/>
        </w:numPr>
        <w:pStyle w:val="Compact"/>
      </w:pPr>
      <w:r>
        <w:t xml:space="preserve">the first runtime guardrail, calibrated agent risk score or consequence-aware controller;</w:t>
      </w:r>
    </w:p>
    <w:p>
      <w:pPr>
        <w:numPr>
          <w:ilvl w:val="0"/>
          <w:numId w:val="1019"/>
        </w:numPr>
        <w:pStyle w:val="Compact"/>
      </w:pPr>
      <w:r>
        <w:t xml:space="preserve">that calibration improves control;</w:t>
      </w:r>
    </w:p>
    <w:p>
      <w:pPr>
        <w:numPr>
          <w:ilvl w:val="0"/>
          <w:numId w:val="1019"/>
        </w:numPr>
        <w:pStyle w:val="Compact"/>
      </w:pPr>
      <w:r>
        <w:t xml:space="preserve">robustness against adaptive adversaries;</w:t>
      </w:r>
    </w:p>
    <w:p>
      <w:pPr>
        <w:numPr>
          <w:ilvl w:val="0"/>
          <w:numId w:val="1019"/>
        </w:numPr>
        <w:pStyle w:val="Compact"/>
      </w:pPr>
      <w:r>
        <w:t xml:space="preserve">any prevention guarantee;</w:t>
      </w:r>
    </w:p>
    <w:p>
      <w:pPr>
        <w:numPr>
          <w:ilvl w:val="0"/>
          <w:numId w:val="1019"/>
        </w:numPr>
        <w:pStyle w:val="Compact"/>
      </w:pPr>
      <w:r>
        <w:t xml:space="preserve">validity in production financial deployment.</w:t>
      </w:r>
    </w:p>
    <w:p>
      <w:pPr>
        <w:pStyle w:val="FirstParagraph"/>
      </w:pPr>
      <w:r>
        <w:t xml:space="preserve">Each constituent mechanism is established and attributed to its source (Chapter 3, Table 3.16).</w:t>
      </w:r>
    </w:p>
    <w:bookmarkEnd w:id="31"/>
    <w:bookmarkStart w:id="32" w:name="thesis-organization"/>
    <w:p>
      <w:pPr>
        <w:pStyle w:val="Heading2"/>
      </w:pPr>
      <w:r>
        <w:t xml:space="preserve">1.12 Thesis Organization</w:t>
      </w:r>
    </w:p>
    <w:p>
      <w:pPr>
        <w:pStyle w:val="FirstParagraph"/>
      </w:pPr>
      <w:r>
        <w:t xml:space="preserve">The thesis is organized in six chapters:</w:t>
      </w:r>
    </w:p>
    <w:p>
      <w:pPr>
        <w:numPr>
          <w:ilvl w:val="0"/>
          <w:numId w:val="1020"/>
        </w:numPr>
        <w:pStyle w:val="Compact"/>
      </w:pPr>
      <w:r>
        <w:rPr>
          <w:bCs/>
          <w:b/>
        </w:rPr>
        <w:t xml:space="preserve">Chapter 1</w:t>
      </w:r>
      <w:r>
        <w:t xml:space="preserve"> </w:t>
      </w:r>
      <w:r>
        <w:t xml:space="preserve">introduces the problem, gap, aim, objectives, research questions, approach and scope.</w:t>
      </w:r>
    </w:p>
    <w:p>
      <w:pPr>
        <w:numPr>
          <w:ilvl w:val="0"/>
          <w:numId w:val="1020"/>
        </w:numPr>
        <w:pStyle w:val="Compact"/>
      </w:pPr>
      <w:r>
        <w:rPr>
          <w:bCs/>
          <w:b/>
        </w:rPr>
        <w:t xml:space="preserve">Chapter 2</w:t>
      </w:r>
      <w:r>
        <w:t xml:space="preserve"> </w:t>
      </w:r>
      <w:r>
        <w:t xml:space="preserve">reports a record-level systematic review of runtime security for tool-using AI agents and states the research gap it supports.</w:t>
      </w:r>
    </w:p>
    <w:p>
      <w:pPr>
        <w:numPr>
          <w:ilvl w:val="0"/>
          <w:numId w:val="1020"/>
        </w:numPr>
        <w:pStyle w:val="Compact"/>
      </w:pPr>
      <w:r>
        <w:rPr>
          <w:bCs/>
          <w:b/>
        </w:rPr>
        <w:t xml:space="preserve">Chapter 3</w:t>
      </w:r>
      <w:r>
        <w:t xml:space="preserve"> </w:t>
      </w:r>
      <w:r>
        <w:t xml:space="preserve">specifies the research methodology and the design of REM: its architecture, threat model, algorithms and equations, runtime procedure, experimental methodology and metrics.</w:t>
      </w:r>
    </w:p>
    <w:p>
      <w:pPr>
        <w:numPr>
          <w:ilvl w:val="0"/>
          <w:numId w:val="1020"/>
        </w:numPr>
        <w:pStyle w:val="Compact"/>
      </w:pPr>
      <w:r>
        <w:rPr>
          <w:bCs/>
          <w:b/>
        </w:rPr>
        <w:t xml:space="preserve">Chapter 4</w:t>
      </w:r>
      <w:r>
        <w:t xml:space="preserve"> </w:t>
      </w:r>
      <w:r>
        <w:t xml:space="preserve">reports the implementation, the integration with AgentDojo, the verification of the software, and the correspondence between Chapter 3 and the code.</w:t>
      </w:r>
    </w:p>
    <w:p>
      <w:pPr>
        <w:numPr>
          <w:ilvl w:val="0"/>
          <w:numId w:val="1020"/>
        </w:numPr>
        <w:pStyle w:val="Compact"/>
      </w:pPr>
      <w:r>
        <w:rPr>
          <w:bCs/>
          <w:b/>
        </w:rPr>
        <w:t xml:space="preserve">Chapter 5</w:t>
      </w:r>
      <w:r>
        <w:t xml:space="preserve"> </w:t>
      </w:r>
      <w:r>
        <w:t xml:space="preserve">reports the exploratory evaluation, with its limits and negative results.</w:t>
      </w:r>
    </w:p>
    <w:p>
      <w:pPr>
        <w:numPr>
          <w:ilvl w:val="0"/>
          <w:numId w:val="1020"/>
        </w:numPr>
        <w:pStyle w:val="Compact"/>
      </w:pPr>
      <w:r>
        <w:rPr>
          <w:bCs/>
          <w:b/>
        </w:rPr>
        <w:t xml:space="preserve">Chapter 6</w:t>
      </w:r>
      <w:r>
        <w:t xml:space="preserve"> </w:t>
      </w:r>
      <w:r>
        <w:t xml:space="preserve">discusses the findings against the objectives, research questions and prior work, separates achieved from proposed contributions, and concludes with future work ordered by dependency.</w:t>
      </w:r>
    </w:p>
    <w:bookmarkEnd w:id="32"/>
    <w:bookmarkStart w:id="33" w:name="references"/>
    <w:p>
      <w:pPr>
        <w:pStyle w:val="Heading2"/>
      </w:pPr>
      <w:r>
        <w:t xml:space="preserve">References</w:t>
      </w:r>
    </w:p>
    <w:p>
      <w:pPr>
        <w:pStyle w:val="FirstParagraph"/>
      </w:pPr>
      <w:r>
        <w:t xml:space="preserve">Arp, D., Quiring, E., Pendlebury, F., Warnecke, A., Pierazzi, F., Wressnegger, C., Cavallaro, L., &amp; Rieck, K. (2022). Dos and don’ts of machine learning in computer security. In</w:t>
      </w:r>
      <w:r>
        <w:t xml:space="preserve"> </w:t>
      </w:r>
      <w:r>
        <w:rPr>
          <w:iCs/>
          <w:i/>
        </w:rPr>
        <w:t xml:space="preserve">31st USENIX Security Symposium</w:t>
      </w:r>
      <w:r>
        <w:t xml:space="preserve">. USENIX Association. https://arxiv.org/abs/2010.09470</w:t>
      </w:r>
    </w:p>
    <w:p>
      <w:pPr>
        <w:pStyle w:val="BodyText"/>
      </w:pPr>
      <w:r>
        <w:t xml:space="preserve">Chen, H.-H. (2026).</w:t>
      </w:r>
      <w:r>
        <w:t xml:space="preserve"> </w:t>
      </w:r>
      <w:r>
        <w:rPr>
          <w:iCs/>
          <w:i/>
        </w:rPr>
        <w:t xml:space="preserve">Insuring every action: An authority frontier framework for runtime actuarial control of autonomous AI agents</w:t>
      </w:r>
      <w:r>
        <w:t xml:space="preserve"> </w:t>
      </w:r>
      <w:r>
        <w:t xml:space="preserve">(arXiv:2605.25632) [Preprint]. arXiv. https://arxiv.org/abs/2605.25632</w:t>
      </w:r>
    </w:p>
    <w:p>
      <w:pPr>
        <w:pStyle w:val="BodyText"/>
      </w:pPr>
      <w:r>
        <w:t xml:space="preserve">Chen, Z., Chen, J., Chen, J., &amp; Sra, M. (2025).</w:t>
      </w:r>
      <w:r>
        <w:t xml:space="preserve"> </w:t>
      </w:r>
      <w:r>
        <w:rPr>
          <w:iCs/>
          <w:i/>
        </w:rPr>
        <w:t xml:space="preserve">Standard benchmarks fail — Auditing LLM agents in finance must prioritize risk</w:t>
      </w:r>
      <w:r>
        <w:t xml:space="preserve"> </w:t>
      </w:r>
      <w:r>
        <w:t xml:space="preserve">(arXiv:2502.15865) [Preprint]. arXiv. https://arxiv.org/abs/2502.15865</w:t>
      </w:r>
    </w:p>
    <w:p>
      <w:pPr>
        <w:pStyle w:val="BodyText"/>
      </w:pPr>
      <w:r>
        <w:t xml:space="preserve">Chow, C. K. (1970). On optimum recognition error and reject tradeoff.</w:t>
      </w:r>
      <w:r>
        <w:t xml:space="preserve"> </w:t>
      </w:r>
      <w:r>
        <w:rPr>
          <w:iCs/>
          <w:i/>
        </w:rPr>
        <w:t xml:space="preserve">IEEE Transactions on Information Theory, 16</w:t>
      </w:r>
      <w:r>
        <w:t xml:space="preserve">(1), 41–46. https://doi.org/10.1109/TIT.1970.1054406</w:t>
      </w:r>
    </w:p>
    <w:p>
      <w:pPr>
        <w:pStyle w:val="BodyText"/>
      </w:pPr>
      <w:r>
        <w:t xml:space="preserve">Cox, D. R. (1958). The regression analysis of binary sequences.</w:t>
      </w:r>
      <w:r>
        <w:t xml:space="preserve"> </w:t>
      </w:r>
      <w:r>
        <w:rPr>
          <w:iCs/>
          <w:i/>
        </w:rPr>
        <w:t xml:space="preserve">Journal of the Royal Statistical Society: Series B (Methodological), 20</w:t>
      </w:r>
      <w:r>
        <w:t xml:space="preserve">(2), 215–232. https://doi.org/10.1111/j.2517-6161.1958.tb00292.x</w:t>
      </w:r>
    </w:p>
    <w:p>
      <w:pPr>
        <w:pStyle w:val="BodyText"/>
      </w:pPr>
      <w:r>
        <w:t xml:space="preserve">Debenedetti, E., Zhang, J., Balunović, M., Beurer-Kellner, L., Fischer, M., &amp; Tramèr, F. (2024). AgentDojo: A dynamic environment to evaluate prompt injection attacks and defenses for LLM agents. In</w:t>
      </w:r>
      <w:r>
        <w:t xml:space="preserve"> </w:t>
      </w:r>
      <w:r>
        <w:rPr>
          <w:iCs/>
          <w:i/>
        </w:rPr>
        <w:t xml:space="preserve">Advances in Neural Information Processing Systems 37</w:t>
      </w:r>
      <w:r>
        <w:t xml:space="preserve">. https://doi.org/10.52202/079017-2636</w:t>
      </w:r>
    </w:p>
    <w:p>
      <w:pPr>
        <w:pStyle w:val="BodyText"/>
      </w:pPr>
      <w:r>
        <w:t xml:space="preserve">Elkan, C. (2001). The foundations of cost-sensitive learning. In</w:t>
      </w:r>
      <w:r>
        <w:t xml:space="preserve"> </w:t>
      </w:r>
      <w:r>
        <w:rPr>
          <w:iCs/>
          <w:i/>
        </w:rPr>
        <w:t xml:space="preserve">Proceedings of the Seventeenth International Joint Conference on Artificial Intelligence (IJCAI-01)</w:t>
      </w:r>
      <w:r>
        <w:t xml:space="preserve">. https://cseweb.ucsd.edu/~elkan/rescale.pdf</w:t>
      </w:r>
    </w:p>
    <w:p>
      <w:pPr>
        <w:pStyle w:val="BodyText"/>
      </w:pPr>
      <w:r>
        <w:t xml:space="preserve">European Parliament &amp; Council of the European Union. (2024).</w:t>
      </w:r>
      <w:r>
        <w:t xml:space="preserve"> </w:t>
      </w:r>
      <w:r>
        <w:rPr>
          <w:iCs/>
          <w:i/>
        </w:rPr>
        <w:t xml:space="preserve">Regulation (EU) 2024/1689 of the European Parliament and of the Council of 13 June 2024 laying down harmonised rules on artificial intelligence</w:t>
      </w:r>
      <w:r>
        <w:t xml:space="preserve">. Official Journal of the European Union. https://eur-lex.europa.eu/eli/reg/2024/1689/oj</w:t>
      </w:r>
    </w:p>
    <w:p>
      <w:pPr>
        <w:pStyle w:val="BodyText"/>
      </w:pPr>
      <w:r>
        <w:t xml:space="preserve">Greshake, K., Abdelnabi, S., Mishra, S., Endres, C., Holz, T., &amp; Fritz, M. (2023). Not what you’ve signed up for: Compromising real-world LLM-integrated applications with indirect prompt injection. In</w:t>
      </w:r>
      <w:r>
        <w:t xml:space="preserve"> </w:t>
      </w:r>
      <w:r>
        <w:rPr>
          <w:iCs/>
          <w:i/>
        </w:rPr>
        <w:t xml:space="preserve">Proceedings of the 16th ACM Workshop on Artificial Intelligence and Security</w:t>
      </w:r>
      <w:r>
        <w:t xml:space="preserve"> </w:t>
      </w:r>
      <w:r>
        <w:t xml:space="preserve">(pp. 79–90). ACM. https://doi.org/10.1145/3605764.3623985</w:t>
      </w:r>
    </w:p>
    <w:p>
      <w:pPr>
        <w:pStyle w:val="BodyText"/>
      </w:pPr>
      <w:r>
        <w:t xml:space="preserve">Guo, C., Pleiss, G., Sun, Y., &amp; Weinberger, K. Q. (2017). On calibration of modern neural networks. In</w:t>
      </w:r>
      <w:r>
        <w:t xml:space="preserve"> </w:t>
      </w:r>
      <w:r>
        <w:rPr>
          <w:iCs/>
          <w:i/>
        </w:rPr>
        <w:t xml:space="preserve">Proceedings of the 34th International Conference on Machine Learning</w:t>
      </w:r>
      <w:r>
        <w:t xml:space="preserve"> </w:t>
      </w:r>
      <w:r>
        <w:t xml:space="preserve">(Vol. 70, pp. 1321–1330). PMLR. https://proceedings.mlr.press/v70/guo17a.html</w:t>
      </w:r>
    </w:p>
    <w:p>
      <w:pPr>
        <w:pStyle w:val="BodyText"/>
      </w:pPr>
      <w:r>
        <w:t xml:space="preserve">Hevner, A. R., March, S. T., Park, J., &amp; Ram, S. (2004). Design science in information systems research.</w:t>
      </w:r>
      <w:r>
        <w:t xml:space="preserve"> </w:t>
      </w:r>
      <w:r>
        <w:rPr>
          <w:iCs/>
          <w:i/>
        </w:rPr>
        <w:t xml:space="preserve">MIS Quarterly, 28</w:t>
      </w:r>
      <w:r>
        <w:t xml:space="preserve">(1), 75–106. https://doi.org/10.2307/25148625</w:t>
      </w:r>
    </w:p>
    <w:p>
      <w:pPr>
        <w:pStyle w:val="BodyText"/>
      </w:pPr>
      <w:r>
        <w:t xml:space="preserve">Hossain, E., Nipu, M. M. H., Ornee, T. N., Rana, R., &amp; Yousefi, N. (2026).</w:t>
      </w:r>
      <w:r>
        <w:t xml:space="preserve"> </w:t>
      </w:r>
      <w:r>
        <w:rPr>
          <w:iCs/>
          <w:i/>
        </w:rPr>
        <w:t xml:space="preserve">NEXUS: Structured runtime safety for tool-using LLM agents</w:t>
      </w:r>
      <w:r>
        <w:t xml:space="preserve"> </w:t>
      </w:r>
      <w:r>
        <w:t xml:space="preserve">(arXiv:2607.19356) [Preprint]. arXiv. https://arxiv.org/abs/2607.19356</w:t>
      </w:r>
    </w:p>
    <w:p>
      <w:pPr>
        <w:pStyle w:val="BodyText"/>
      </w:pPr>
      <w:r>
        <w:t xml:space="preserve">Jia, H., Liu, Y., Chong, B., Yang, Y., Chen, Y., Liang, J., Li, Q., Lu, H., Xu, K., Zheng, H., Zhang, C., Peng, H., &amp; Yu, P. S. (2026).</w:t>
      </w:r>
      <w:r>
        <w:t xml:space="preserve"> </w:t>
      </w:r>
      <w:r>
        <w:rPr>
          <w:iCs/>
          <w:i/>
        </w:rPr>
        <w:t xml:space="preserve">FinHarness: An inline lifecycle safety harness for finance LLM agents</w:t>
      </w:r>
      <w:r>
        <w:t xml:space="preserve"> </w:t>
      </w:r>
      <w:r>
        <w:t xml:space="preserve">(arXiv:2605.27333) [Preprint]. arXiv. https://arxiv.org/abs/2605.27333</w:t>
      </w:r>
    </w:p>
    <w:p>
      <w:pPr>
        <w:pStyle w:val="BodyText"/>
      </w:pPr>
      <w:r>
        <w:t xml:space="preserve">le Cessie, S., &amp; van Houwelingen, J. C. (1992). Ridge estimators in logistic regression.</w:t>
      </w:r>
      <w:r>
        <w:t xml:space="preserve"> </w:t>
      </w:r>
      <w:r>
        <w:rPr>
          <w:iCs/>
          <w:i/>
        </w:rPr>
        <w:t xml:space="preserve">Applied Statistics, 41</w:t>
      </w:r>
      <w:r>
        <w:t xml:space="preserve">(1), 191–201. https://doi.org/10.2307/2347628</w:t>
      </w:r>
    </w:p>
    <w:p>
      <w:pPr>
        <w:pStyle w:val="BodyText"/>
      </w:pPr>
      <w:r>
        <w:t xml:space="preserve">Li, M. Q., Fung, B. C. M., Li, B., Ismail, H., &amp; Iqbal, F. (2026).</w:t>
      </w:r>
      <w:r>
        <w:t xml:space="preserve"> </w:t>
      </w:r>
      <w:r>
        <w:rPr>
          <w:iCs/>
          <w:i/>
        </w:rPr>
        <w:t xml:space="preserve">Taxonomy and consistency analysis of safety benchmarks for AI agents</w:t>
      </w:r>
      <w:r>
        <w:t xml:space="preserve"> </w:t>
      </w:r>
      <w:r>
        <w:t xml:space="preserve">(arXiv:2605.16282) [Preprint]. arXiv. https://arxiv.org/abs/2605.16282</w:t>
      </w:r>
    </w:p>
    <w:p>
      <w:pPr>
        <w:pStyle w:val="BodyText"/>
      </w:pPr>
      <w:r>
        <w:t xml:space="preserve">Lundberg, S. M., &amp; Lee, S.-I. (2017). A unified approach to interpreting model predictions. In</w:t>
      </w:r>
      <w:r>
        <w:t xml:space="preserve"> </w:t>
      </w:r>
      <w:r>
        <w:rPr>
          <w:iCs/>
          <w:i/>
        </w:rPr>
        <w:t xml:space="preserve">Advances in Neural Information Processing Systems 30</w:t>
      </w:r>
      <w:r>
        <w:t xml:space="preserve">. https://arxiv.org/abs/1705.07874</w:t>
      </w:r>
    </w:p>
    <w:p>
      <w:pPr>
        <w:pStyle w:val="BodyText"/>
      </w:pPr>
      <w:r>
        <w:t xml:space="preserve">OWASP Gen AI Security Project. (2025).</w:t>
      </w:r>
      <w:r>
        <w:t xml:space="preserve"> </w:t>
      </w:r>
      <w:r>
        <w:rPr>
          <w:iCs/>
          <w:i/>
        </w:rPr>
        <w:t xml:space="preserve">LLM01:2025 Prompt injection</w:t>
      </w:r>
      <w:r>
        <w:t xml:space="preserve">. OWASP Foundation. https://genai.owasp.org/llmrisk/llm01-prompt-injection/</w:t>
      </w:r>
    </w:p>
    <w:p>
      <w:pPr>
        <w:pStyle w:val="BodyText"/>
      </w:pPr>
      <w:r>
        <w:t xml:space="preserve">Peffers, K., Tuunanen, T., Rothenberger, M. A., &amp; Chatterjee, S. (2007). A design science research methodology for information systems research.</w:t>
      </w:r>
      <w:r>
        <w:t xml:space="preserve"> </w:t>
      </w:r>
      <w:r>
        <w:rPr>
          <w:iCs/>
          <w:i/>
        </w:rPr>
        <w:t xml:space="preserve">Journal of Management Information Systems, 24</w:t>
      </w:r>
      <w:r>
        <w:t xml:space="preserve">(3), 45–77. https://doi.org/10.2753/MIS0742-1222240302</w:t>
      </w:r>
    </w:p>
    <w:p>
      <w:pPr>
        <w:pStyle w:val="BodyText"/>
      </w:pPr>
      <w:r>
        <w:t xml:space="preserve">Platt, J. C. (1999). Probabilistic outputs for support vector machines and comparisons to regularized likelihood methods. In A. J. Smola, P. Bartlett, B. Schölkopf, &amp; D. Schuurmans (Eds.),</w:t>
      </w:r>
      <w:r>
        <w:t xml:space="preserve"> </w:t>
      </w:r>
      <w:r>
        <w:rPr>
          <w:iCs/>
          <w:i/>
        </w:rPr>
        <w:t xml:space="preserve">Advances in large margin classifiers</w:t>
      </w:r>
      <w:r>
        <w:t xml:space="preserve"> </w:t>
      </w:r>
      <w:r>
        <w:t xml:space="preserve">(pp. 61–74). MIT Press.</w:t>
      </w:r>
    </w:p>
    <w:p>
      <w:pPr>
        <w:pStyle w:val="BodyText"/>
      </w:pPr>
      <w:r>
        <w:t xml:space="preserve">Wang, L., Ma, C., Feng, X., Zhang, Z., Yang, H., Zhang, J., Chen, Z., Tang, J., Chen, X., Lin, Y., Zhao, W. X., Wei, Z., &amp; Wen, J. (2024). A survey on large language model based autonomous agents.</w:t>
      </w:r>
      <w:r>
        <w:t xml:space="preserve"> </w:t>
      </w:r>
      <w:r>
        <w:rPr>
          <w:iCs/>
          <w:i/>
        </w:rPr>
        <w:t xml:space="preserve">Frontiers of Computer Science, 18</w:t>
      </w:r>
      <w:r>
        <w:t xml:space="preserve">(6), Article 186345. https://doi.org/10.1007/s11704-024-40231-1</w:t>
      </w:r>
    </w:p>
    <w:p>
      <w:pPr>
        <w:pStyle w:val="BodyText"/>
      </w:pPr>
      <w:r>
        <w:t xml:space="preserve">Wang, Y., Han, X., Shang, D., Tang, Y., &amp; Liu, B. (2026).</w:t>
      </w:r>
      <w:r>
        <w:t xml:space="preserve"> </w:t>
      </w:r>
      <w:r>
        <w:rPr>
          <w:iCs/>
          <w:i/>
        </w:rPr>
        <w:t xml:space="preserve">Safety, or just capability? A validity audit of agent-safety benchmarks</w:t>
      </w:r>
      <w:r>
        <w:t xml:space="preserve"> </w:t>
      </w:r>
      <w:r>
        <w:t xml:space="preserve">(arXiv:2607.28685) [Preprint]. arXiv. https://arxiv.org/abs/2607.28685</w:t>
      </w:r>
    </w:p>
    <w:p>
      <w:pPr>
        <w:pStyle w:val="BodyText"/>
      </w:pPr>
      <w:r>
        <w:t xml:space="preserve">Yang, C. (2026).</w:t>
      </w:r>
      <w:r>
        <w:t xml:space="preserve"> </w:t>
      </w:r>
      <w:r>
        <w:rPr>
          <w:iCs/>
          <w:i/>
        </w:rPr>
        <w:t xml:space="preserve">AgentTrust: Runtime safety evaluation and interception for AI agent tool use</w:t>
      </w:r>
      <w:r>
        <w:t xml:space="preserve"> </w:t>
      </w:r>
      <w:r>
        <w:t xml:space="preserve">(arXiv:2605.04785) [Preprint]. arXiv. https://arxiv.org/abs/2605.04785</w:t>
      </w:r>
    </w:p>
    <w:p>
      <w:pPr>
        <w:pStyle w:val="BodyText"/>
      </w:pPr>
      <w:r>
        <w:t xml:space="preserve">Yao, S., Zhao, J., Yu, D., Du, N., Shafran, I., Narasimhan, K., &amp; Cao, Y. (2023). ReAct: Synergizing reasoning and acting in language models. In</w:t>
      </w:r>
      <w:r>
        <w:t xml:space="preserve"> </w:t>
      </w:r>
      <w:r>
        <w:rPr>
          <w:iCs/>
          <w:i/>
        </w:rPr>
        <w:t xml:space="preserve">International Conference on Learning Representations</w:t>
      </w:r>
      <w:r>
        <w:t xml:space="preserve">. https://arxiv.org/abs/2210.03629</w:t>
      </w:r>
    </w:p>
    <w:p>
      <w:pPr>
        <w:pStyle w:val="BodyText"/>
      </w:pPr>
      <w:r>
        <w:t xml:space="preserve">Zhan, Q., Liang, Z., Ying, Z., &amp; Kang, D. (2024). InjecAgent: Benchmarking indirect prompt injections in tool-integrated large language model agents. In</w:t>
      </w:r>
      <w:r>
        <w:t xml:space="preserve"> </w:t>
      </w:r>
      <w:r>
        <w:rPr>
          <w:iCs/>
          <w:i/>
        </w:rPr>
        <w:t xml:space="preserve">Findings of the Association for Computational Linguistics: ACL 2024</w:t>
      </w:r>
      <w:r>
        <w:t xml:space="preserve">. https://arxiv.org/abs/2403.02691</w:t>
      </w:r>
    </w:p>
    <w:p>
      <w:pPr>
        <w:pStyle w:val="BodyText"/>
      </w:pPr>
      <w:r>
        <w:t xml:space="preserve">Zhang, C., Wan, Z., Yu, X., Wu, J., Wen, Q., Zhou, P., Zhao, W., &amp; Tsang, I. (2026).</w:t>
      </w:r>
      <w:r>
        <w:t xml:space="preserve"> </w:t>
      </w:r>
      <w:r>
        <w:rPr>
          <w:iCs/>
          <w:i/>
        </w:rPr>
        <w:t xml:space="preserve">Calibration is not control: Intervention value for LLM-agent oversight</w:t>
      </w:r>
      <w:r>
        <w:t xml:space="preserve"> </w:t>
      </w:r>
      <w:r>
        <w:t xml:space="preserve">(arXiv:2606.21399) [Preprint]. arXiv. https://arxiv.org/abs/2606.21399</w:t>
      </w:r>
    </w:p>
    <w:p>
      <w:pPr>
        <w:pStyle w:val="BodyText"/>
      </w:pPr>
      <w:r>
        <w:t xml:space="preserve">Zhang, H., Huang, J., Mei, K., Yao, Y., Wang, Z., Zhan, C., Wang, H., &amp; Zhang, Y. (2025). Agent Security Bench (ASB): Formalizing and benchmarking attacks and defenses in LLM-based agents. In</w:t>
      </w:r>
      <w:r>
        <w:t xml:space="preserve"> </w:t>
      </w:r>
      <w:r>
        <w:rPr>
          <w:iCs/>
          <w:i/>
        </w:rPr>
        <w:t xml:space="preserve">International Conference on Learning Representations</w:t>
      </w:r>
      <w:r>
        <w:t xml:space="preserve">. https://arxiv.org/abs/2410.02644</w:t>
      </w:r>
    </w:p>
    <w:bookmarkEnd w:id="33"/>
    <w:bookmarkEnd w:id="34"/>
    <w:bookmarkStart w:id="35" w:name="chapter-two"/>
    <w:p>
      <w:pPr>
        <w:pStyle w:val="Heading1"/>
      </w:pPr>
      <w:r>
        <w:t xml:space="preserve">CHAPTER TWO</w:t>
      </w:r>
    </w:p>
    <w:bookmarkEnd w:id="35"/>
    <w:bookmarkStart w:id="98" w:name="X23694896c068adf54a5324a145b4495f702fc68"/>
    <w:p>
      <w:pPr>
        <w:pStyle w:val="Heading1"/>
      </w:pPr>
      <w:r>
        <w:t xml:space="preserve">LITERATURE REVIEW: A RECORD-LEVEL SYSTEMATIC REVIEW OF RUNTIME SECURITY FOR TOOL-USING AI AGENTS</w:t>
      </w:r>
    </w:p>
    <w:bookmarkStart w:id="36" w:name="introduction-1"/>
    <w:p>
      <w:pPr>
        <w:pStyle w:val="Heading2"/>
      </w:pPr>
      <w:r>
        <w:t xml:space="preserve">2.1 Introduction</w:t>
      </w:r>
    </w:p>
    <w:p>
      <w:pPr>
        <w:pStyle w:val="FirstParagraph"/>
      </w:pPr>
      <w:r>
        <w:t xml:space="preserve">Large language model (LLM) agents no longer only produce text for a human reader. They break tasks into steps, call external tools with arguments they generate themselves, read the results of those calls, and act again on what they read. When such an agent operates on financial tools, a single proposed tool call can:</w:t>
      </w:r>
    </w:p>
    <w:p>
      <w:pPr>
        <w:numPr>
          <w:ilvl w:val="0"/>
          <w:numId w:val="1021"/>
        </w:numPr>
        <w:pStyle w:val="Compact"/>
      </w:pPr>
      <w:r>
        <w:t xml:space="preserve">initiate a transfer;</w:t>
      </w:r>
    </w:p>
    <w:p>
      <w:pPr>
        <w:numPr>
          <w:ilvl w:val="0"/>
          <w:numId w:val="1021"/>
        </w:numPr>
        <w:pStyle w:val="Compact"/>
      </w:pPr>
      <w:r>
        <w:t xml:space="preserve">change a payee;</w:t>
      </w:r>
    </w:p>
    <w:p>
      <w:pPr>
        <w:numPr>
          <w:ilvl w:val="0"/>
          <w:numId w:val="1021"/>
        </w:numPr>
        <w:pStyle w:val="Compact"/>
      </w:pPr>
      <w:r>
        <w:t xml:space="preserve">modify a scheduled payment;</w:t>
      </w:r>
    </w:p>
    <w:p>
      <w:pPr>
        <w:numPr>
          <w:ilvl w:val="0"/>
          <w:numId w:val="1021"/>
        </w:numPr>
        <w:pStyle w:val="Compact"/>
      </w:pPr>
      <w:r>
        <w:t xml:space="preserve">send customer data to an external recipient.</w:t>
      </w:r>
    </w:p>
    <w:p>
      <w:pPr>
        <w:pStyle w:val="FirstParagraph"/>
      </w:pPr>
      <w:r>
        <w:t xml:space="preserve">The security question therefore shifts from what a model</w:t>
      </w:r>
      <w:r>
        <w:t xml:space="preserve"> </w:t>
      </w:r>
      <w:r>
        <w:rPr>
          <w:iCs/>
          <w:i/>
        </w:rPr>
        <w:t xml:space="preserve">says</w:t>
      </w:r>
      <w:r>
        <w:t xml:space="preserve"> </w:t>
      </w:r>
      <w:r>
        <w:t xml:space="preserve">to what an agent</w:t>
      </w:r>
      <w:r>
        <w:t xml:space="preserve"> </w:t>
      </w:r>
      <w:r>
        <w:rPr>
          <w:iCs/>
          <w:i/>
        </w:rPr>
        <w:t xml:space="preserve">does</w:t>
      </w:r>
      <w:r>
        <w:t xml:space="preserve">. More precisely, it shifts to the moment at which a proposed action leaves the agent and takes effect in its environment.</w:t>
      </w:r>
    </w:p>
    <w:p>
      <w:pPr>
        <w:pStyle w:val="BodyText"/>
      </w:pPr>
      <w:r>
        <w:t xml:space="preserve">This chapter reviews the literature on protecting such an agent at runtime. Earlier versions of the chapter were structured narrative reviews. This version is a</w:t>
      </w:r>
      <w:r>
        <w:t xml:space="preserve"> </w:t>
      </w:r>
      <w:r>
        <w:rPr>
          <w:bCs/>
          <w:b/>
        </w:rPr>
        <w:t xml:space="preserve">systematic review conducted at record level, with qualitative, structured evidence synthesis</w:t>
      </w:r>
      <w:r>
        <w:t xml:space="preserve">. The search, screening, eligibility assessment, quality appraisal and data extraction followed a predefined protocol and are reported following PRISMA 2020 and PRISMA-S. Full-text reports could not be retrieved, so eligibility, appraisal and extraction rest on records: titles, abstracts and index metadata.</w:t>
      </w:r>
      <w:r>
        <w:t xml:space="preserve"> </w:t>
      </w:r>
      <w:r>
        <w:rPr>
          <w:bCs/>
          <w:b/>
        </w:rPr>
        <w:t xml:space="preserve">No full-text screening was performed</w:t>
      </w:r>
      <w:r>
        <w:t xml:space="preserve">, and the chapter does not claim the depth of a full-text systematic review. The methodology in Section 2.2 records what was actually done: which sources were searched and which could not be accessed, the exact search strings, the screening decisions, the quality appraisal and the extraction. Where a step of the systematic-review process could not be carried out in full, the limitation is stated rather than concealed. No meta-analysis is attempted. The included studies differ in architecture, threat model, benchmark, metric and intervention, so their quantitative results cannot be pooled (Section 2.2.8).</w:t>
      </w:r>
    </w:p>
    <w:p>
      <w:pPr>
        <w:pStyle w:val="BodyText"/>
      </w:pPr>
      <w:r>
        <w:t xml:space="preserve">The review is used to build an argument in eight steps:</w:t>
      </w:r>
    </w:p>
    <w:p>
      <w:pPr>
        <w:numPr>
          <w:ilvl w:val="0"/>
          <w:numId w:val="1022"/>
        </w:numPr>
        <w:pStyle w:val="Compact"/>
      </w:pPr>
      <w:r>
        <w:t xml:space="preserve">agents create security risks that differ from those of conventional LLM use;</w:t>
      </w:r>
    </w:p>
    <w:p>
      <w:pPr>
        <w:numPr>
          <w:ilvl w:val="0"/>
          <w:numId w:val="1022"/>
        </w:numPr>
        <w:pStyle w:val="Compact"/>
      </w:pPr>
      <w:r>
        <w:t xml:space="preserve">prior research has characterized the main threats and proposed many defenses;</w:t>
      </w:r>
    </w:p>
    <w:p>
      <w:pPr>
        <w:numPr>
          <w:ilvl w:val="0"/>
          <w:numId w:val="1022"/>
        </w:numPr>
        <w:pStyle w:val="Compact"/>
      </w:pPr>
      <w:r>
        <w:t xml:space="preserve">those defenses differ in</w:t>
      </w:r>
      <w:r>
        <w:t xml:space="preserve"> </w:t>
      </w:r>
      <w:r>
        <w:rPr>
          <w:iCs/>
          <w:i/>
        </w:rPr>
        <w:t xml:space="preserve">where</w:t>
      </w:r>
      <w:r>
        <w:t xml:space="preserve"> </w:t>
      </w:r>
      <w:r>
        <w:t xml:space="preserve">they intervene;</w:t>
      </w:r>
    </w:p>
    <w:p>
      <w:pPr>
        <w:numPr>
          <w:ilvl w:val="0"/>
          <w:numId w:val="1022"/>
        </w:numPr>
        <w:pStyle w:val="Compact"/>
      </w:pPr>
      <w:r>
        <w:t xml:space="preserve">they also differ in</w:t>
      </w:r>
      <w:r>
        <w:t xml:space="preserve"> </w:t>
      </w:r>
      <w:r>
        <w:rPr>
          <w:iCs/>
          <w:i/>
        </w:rPr>
        <w:t xml:space="preserve">what</w:t>
      </w:r>
      <w:r>
        <w:t xml:space="preserve"> </w:t>
      </w:r>
      <w:r>
        <w:t xml:space="preserve">they observe;</w:t>
      </w:r>
    </w:p>
    <w:p>
      <w:pPr>
        <w:numPr>
          <w:ilvl w:val="0"/>
          <w:numId w:val="1022"/>
        </w:numPr>
        <w:pStyle w:val="Compact"/>
      </w:pPr>
      <w:r>
        <w:t xml:space="preserve">some capabilities are now well addressed;</w:t>
      </w:r>
    </w:p>
    <w:p>
      <w:pPr>
        <w:numPr>
          <w:ilvl w:val="0"/>
          <w:numId w:val="1022"/>
        </w:numPr>
        <w:pStyle w:val="Compact"/>
      </w:pPr>
      <w:r>
        <w:t xml:space="preserve">others remain fragmented or weakly evidenced;</w:t>
      </w:r>
    </w:p>
    <w:p>
      <w:pPr>
        <w:numPr>
          <w:ilvl w:val="0"/>
          <w:numId w:val="1022"/>
        </w:numPr>
        <w:pStyle w:val="Compact"/>
      </w:pPr>
      <w:r>
        <w:t xml:space="preserve">these patterns locate the Runtime Evaluation and Mitigation (REM) framework studied in this thesis;</w:t>
      </w:r>
    </w:p>
    <w:p>
      <w:pPr>
        <w:numPr>
          <w:ilvl w:val="0"/>
          <w:numId w:val="1022"/>
        </w:numPr>
        <w:pStyle w:val="Compact"/>
      </w:pPr>
      <w:r>
        <w:t xml:space="preserve">the financial setting raises the stakes of each of these questions.</w:t>
      </w:r>
    </w:p>
    <w:p>
      <w:pPr>
        <w:pStyle w:val="FirstParagraph"/>
      </w:pPr>
      <w:r>
        <w:t xml:space="preserve">The research gap at the end of the chapter was derived only after screening, extraction and synthesis were complete. Section 2.13.1 assesses five candidate gaps against the evidence and retains, narrows or rejects each.</w:t>
      </w:r>
    </w:p>
    <w:p>
      <w:pPr>
        <w:pStyle w:val="BodyText"/>
      </w:pPr>
      <w:r>
        <w:rPr>
          <w:bCs/>
          <w:b/>
        </w:rPr>
        <w:t xml:space="preserve">Chapter structure.</w:t>
      </w:r>
    </w:p>
    <w:p>
      <w:pPr>
        <w:numPr>
          <w:ilvl w:val="0"/>
          <w:numId w:val="1023"/>
        </w:numPr>
        <w:pStyle w:val="Compact"/>
      </w:pPr>
      <w:r>
        <w:t xml:space="preserve">Section 2.2 reports the review methodology.</w:t>
      </w:r>
    </w:p>
    <w:p>
      <w:pPr>
        <w:numPr>
          <w:ilvl w:val="0"/>
          <w:numId w:val="1023"/>
        </w:numPr>
        <w:pStyle w:val="Compact"/>
      </w:pPr>
      <w:r>
        <w:t xml:space="preserve">Section 2.3 explains why agent architecture changes the security problem.</w:t>
      </w:r>
    </w:p>
    <w:p>
      <w:pPr>
        <w:numPr>
          <w:ilvl w:val="0"/>
          <w:numId w:val="1023"/>
        </w:numPr>
        <w:pStyle w:val="Compact"/>
      </w:pPr>
      <w:r>
        <w:t xml:space="preserve">Sections 2.4 and 2.5 synthesize the evidence on threats, benchmarks and threat models.</w:t>
      </w:r>
    </w:p>
    <w:p>
      <w:pPr>
        <w:numPr>
          <w:ilvl w:val="0"/>
          <w:numId w:val="1023"/>
        </w:numPr>
        <w:pStyle w:val="Compact"/>
      </w:pPr>
      <w:r>
        <w:t xml:space="preserve">Section 2.6 organizes defenses by where they intervene.</w:t>
      </w:r>
    </w:p>
    <w:p>
      <w:pPr>
        <w:numPr>
          <w:ilvl w:val="0"/>
          <w:numId w:val="1023"/>
        </w:numPr>
        <w:pStyle w:val="Compact"/>
      </w:pPr>
      <w:r>
        <w:t xml:space="preserve">Section 2.7 examines runtime monitoring, behavioral evidence and provenance.</w:t>
      </w:r>
    </w:p>
    <w:p>
      <w:pPr>
        <w:numPr>
          <w:ilvl w:val="0"/>
          <w:numId w:val="1023"/>
        </w:numPr>
        <w:pStyle w:val="Compact"/>
      </w:pPr>
      <w:r>
        <w:t xml:space="preserve">Section 2.8 reviews the statistical and algorithmic foundations on which a runtime decision layer depends. The detailed REM specification is left to Chapter 3.</w:t>
      </w:r>
    </w:p>
    <w:p>
      <w:pPr>
        <w:numPr>
          <w:ilvl w:val="0"/>
          <w:numId w:val="1023"/>
        </w:numPr>
        <w:pStyle w:val="Compact"/>
      </w:pPr>
      <w:r>
        <w:t xml:space="preserve">Section 2.9 examines how runtime systems decide and mitigate.</w:t>
      </w:r>
    </w:p>
    <w:p>
      <w:pPr>
        <w:numPr>
          <w:ilvl w:val="0"/>
          <w:numId w:val="1023"/>
        </w:numPr>
        <w:pStyle w:val="Compact"/>
      </w:pPr>
      <w:r>
        <w:t xml:space="preserve">Section 2.10 separates financial-agent evidence from general agent-security evidence.</w:t>
      </w:r>
    </w:p>
    <w:p>
      <w:pPr>
        <w:numPr>
          <w:ilvl w:val="0"/>
          <w:numId w:val="1023"/>
        </w:numPr>
        <w:pStyle w:val="Compact"/>
      </w:pPr>
      <w:r>
        <w:t xml:space="preserve">Sections 2.11 and 2.12 compare the evidence across studies and synthesize it by theme.</w:t>
      </w:r>
    </w:p>
    <w:p>
      <w:pPr>
        <w:numPr>
          <w:ilvl w:val="0"/>
          <w:numId w:val="1023"/>
        </w:numPr>
        <w:pStyle w:val="Compact"/>
      </w:pPr>
      <w:r>
        <w:t xml:space="preserve">Section 2.13 states the research gap, positions REM, and records the limitations of the review.</w:t>
      </w:r>
    </w:p>
    <w:p>
      <w:pPr>
        <w:numPr>
          <w:ilvl w:val="0"/>
          <w:numId w:val="1023"/>
        </w:numPr>
        <w:pStyle w:val="Compact"/>
      </w:pPr>
      <w:r>
        <w:t xml:space="preserve">Section 2.14 summarizes the chapter.</w:t>
      </w:r>
    </w:p>
    <w:p>
      <w:r>
        <w:pict>
          <v:rect style="width:0;height:1.5pt" o:hralign="center" o:hrstd="t" o:hr="t"/>
        </w:pict>
      </w:r>
    </w:p>
    <w:bookmarkEnd w:id="36"/>
    <w:bookmarkStart w:id="48" w:name="systematic-review-methodology"/>
    <w:p>
      <w:pPr>
        <w:pStyle w:val="Heading2"/>
      </w:pPr>
      <w:r>
        <w:t xml:space="preserve">2.2 Systematic Review Methodology</w:t>
      </w:r>
    </w:p>
    <w:bookmarkStart w:id="37" w:name="review-objectives-and-research-questions"/>
    <w:p>
      <w:pPr>
        <w:pStyle w:val="Heading3"/>
      </w:pPr>
      <w:r>
        <w:t xml:space="preserve">2.2.1 Review objectives and research questions</w:t>
      </w:r>
    </w:p>
    <w:p>
      <w:pPr>
        <w:pStyle w:val="FirstParagraph"/>
      </w:pPr>
      <w:r>
        <w:rPr>
          <w:bCs/>
          <w:b/>
        </w:rPr>
        <w:t xml:space="preserve">Derivation.</w:t>
      </w:r>
      <w:r>
        <w:t xml:space="preserve"> </w:t>
      </w:r>
      <w:r>
        <w:t xml:space="preserve">The review questions are derived from the approved thesis direction and introduce no new thesis research questions. The approved proposal states three objectives:</w:t>
      </w:r>
    </w:p>
    <w:p>
      <w:pPr>
        <w:numPr>
          <w:ilvl w:val="0"/>
          <w:numId w:val="1024"/>
        </w:numPr>
        <w:pStyle w:val="Compact"/>
      </w:pPr>
      <w:r>
        <w:rPr>
          <w:bCs/>
          <w:b/>
        </w:rPr>
        <w:t xml:space="preserve">O1:</w:t>
      </w:r>
      <w:r>
        <w:t xml:space="preserve"> </w:t>
      </w:r>
      <w:r>
        <w:t xml:space="preserve">design a REM framework for financial AI agents’ and task automation agents’ security;</w:t>
      </w:r>
    </w:p>
    <w:p>
      <w:pPr>
        <w:numPr>
          <w:ilvl w:val="0"/>
          <w:numId w:val="1024"/>
        </w:numPr>
        <w:pStyle w:val="Compact"/>
      </w:pPr>
      <w:r>
        <w:rPr>
          <w:bCs/>
          <w:b/>
        </w:rPr>
        <w:t xml:space="preserve">O2:</w:t>
      </w:r>
      <w:r>
        <w:t xml:space="preserve"> </w:t>
      </w:r>
      <w:r>
        <w:t xml:space="preserve">evaluate the framework against adversarial attacks;</w:t>
      </w:r>
    </w:p>
    <w:p>
      <w:pPr>
        <w:numPr>
          <w:ilvl w:val="0"/>
          <w:numId w:val="1024"/>
        </w:numPr>
        <w:pStyle w:val="Compact"/>
      </w:pPr>
      <w:r>
        <w:rPr>
          <w:bCs/>
          <w:b/>
        </w:rPr>
        <w:t xml:space="preserve">O3:</w:t>
      </w:r>
      <w:r>
        <w:t xml:space="preserve"> </w:t>
      </w:r>
      <w:r>
        <w:t xml:space="preserve">compare performance with existing security approaches (Chapter 3, Section 3.1.2).</w:t>
      </w:r>
    </w:p>
    <w:p>
      <w:pPr>
        <w:pStyle w:val="FirstParagraph"/>
      </w:pPr>
      <w:r>
        <w:t xml:space="preserve">The proposal does not state research questions. Chapter 3 (Section 3.1.3) derives four questions, RQ1–RQ4, from these objectives. They concern estimation, decision, mitigation and cost, and component contribution.</w:t>
      </w:r>
    </w:p>
    <w:p>
      <w:pPr>
        <w:pStyle w:val="BodyText"/>
      </w:pPr>
      <w:r>
        <w:rPr>
          <w:bCs/>
          <w:b/>
        </w:rPr>
        <w:t xml:space="preserve">Review questions.</w:t>
      </w:r>
      <w:r>
        <w:t xml:space="preserve"> </w:t>
      </w:r>
      <w:r>
        <w:t xml:space="preserve">The review is designed to supply the literature basis that O1–O3 and RQ1–RQ4 require. It asks five review questions (SRQ). These define the scope of this chapter only; they are not thesis research questions.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Review question</w:t>
            </w:r>
          </w:p>
        </w:tc>
        <w:tc>
          <w:tcPr/>
          <w:p>
            <w:pPr>
              <w:pStyle w:val="Compact"/>
              <w:jc w:val="left"/>
            </w:pPr>
            <w:r>
              <w:t xml:space="preserve">Wording</w:t>
            </w:r>
          </w:p>
        </w:tc>
        <w:tc>
          <w:tcPr/>
          <w:p>
            <w:pPr>
              <w:pStyle w:val="Compact"/>
              <w:jc w:val="left"/>
            </w:pPr>
            <w:r>
              <w:t xml:space="preserve">Serves</w:t>
            </w:r>
          </w:p>
        </w:tc>
      </w:tr>
      <w:tr>
        <w:tc>
          <w:tcPr/>
          <w:p>
            <w:pPr>
              <w:pStyle w:val="Compact"/>
              <w:jc w:val="left"/>
            </w:pPr>
            <w:r>
              <w:t xml:space="preserve">SRQ1</w:t>
            </w:r>
          </w:p>
        </w:tc>
        <w:tc>
          <w:tcPr/>
          <w:p>
            <w:pPr>
              <w:pStyle w:val="Compact"/>
              <w:jc w:val="left"/>
            </w:pPr>
            <w:r>
              <w:t xml:space="preserve">What security threats affect tool-using AI agents, particularly those operating through external tools and multi-step execution?</w:t>
            </w:r>
          </w:p>
        </w:tc>
        <w:tc>
          <w:tcPr/>
          <w:p>
            <w:pPr>
              <w:pStyle w:val="Compact"/>
              <w:jc w:val="left"/>
            </w:pPr>
            <w:r>
              <w:t xml:space="preserve">O1 (threat model); O2 (attack scenarios)</w:t>
            </w:r>
          </w:p>
        </w:tc>
      </w:tr>
      <w:tr>
        <w:tc>
          <w:tcPr/>
          <w:p>
            <w:pPr>
              <w:pStyle w:val="Compact"/>
              <w:jc w:val="left"/>
            </w:pPr>
            <w:r>
              <w:t xml:space="preserve">SRQ2</w:t>
            </w:r>
          </w:p>
        </w:tc>
        <w:tc>
          <w:tcPr/>
          <w:p>
            <w:pPr>
              <w:pStyle w:val="Compact"/>
              <w:jc w:val="left"/>
            </w:pPr>
            <w:r>
              <w:t xml:space="preserve">What defensive approaches have been proposed to detect, monitor, evaluate and mitigate these threats at runtime?</w:t>
            </w:r>
          </w:p>
        </w:tc>
        <w:tc>
          <w:tcPr/>
          <w:p>
            <w:pPr>
              <w:pStyle w:val="Compact"/>
              <w:jc w:val="left"/>
            </w:pPr>
            <w:r>
              <w:t xml:space="preserve">O1 (design space); O3 (comparators)</w:t>
            </w:r>
          </w:p>
        </w:tc>
      </w:tr>
      <w:tr>
        <w:tc>
          <w:tcPr/>
          <w:p>
            <w:pPr>
              <w:pStyle w:val="Compact"/>
              <w:jc w:val="left"/>
            </w:pPr>
            <w:r>
              <w:t xml:space="preserve">SRQ3</w:t>
            </w:r>
          </w:p>
        </w:tc>
        <w:tc>
          <w:tcPr/>
          <w:p>
            <w:pPr>
              <w:pStyle w:val="Compact"/>
              <w:jc w:val="left"/>
            </w:pPr>
            <w:r>
              <w:t xml:space="preserve">What behavioral, provenance, probabilistic, sequential and decision-theoretic techniques are used?</w:t>
            </w:r>
          </w:p>
        </w:tc>
        <w:tc>
          <w:tcPr/>
          <w:p>
            <w:pPr>
              <w:pStyle w:val="Compact"/>
              <w:jc w:val="left"/>
            </w:pPr>
            <w:r>
              <w:t xml:space="preserve">O1; RQ1, RQ2 and RQ4</w:t>
            </w:r>
          </w:p>
        </w:tc>
      </w:tr>
      <w:tr>
        <w:tc>
          <w:tcPr/>
          <w:p>
            <w:pPr>
              <w:pStyle w:val="Compact"/>
              <w:jc w:val="left"/>
            </w:pPr>
            <w:r>
              <w:t xml:space="preserve">SRQ4</w:t>
            </w:r>
          </w:p>
        </w:tc>
        <w:tc>
          <w:tcPr/>
          <w:p>
            <w:pPr>
              <w:pStyle w:val="Compact"/>
              <w:jc w:val="left"/>
            </w:pPr>
            <w:r>
              <w:t xml:space="preserve">What evidence exists for these approaches in financial or financially consequential agent settings?</w:t>
            </w:r>
          </w:p>
        </w:tc>
        <w:tc>
          <w:tcPr/>
          <w:p>
            <w:pPr>
              <w:pStyle w:val="Compact"/>
              <w:jc w:val="left"/>
            </w:pPr>
            <w:r>
              <w:t xml:space="preserve">O1 (financial scope); O2</w:t>
            </w:r>
          </w:p>
        </w:tc>
      </w:tr>
      <w:tr>
        <w:tc>
          <w:tcPr/>
          <w:p>
            <w:pPr>
              <w:pStyle w:val="Compact"/>
              <w:jc w:val="left"/>
            </w:pPr>
            <w:r>
              <w:t xml:space="preserve">SRQ5</w:t>
            </w:r>
          </w:p>
        </w:tc>
        <w:tc>
          <w:tcPr/>
          <w:p>
            <w:pPr>
              <w:pStyle w:val="Compact"/>
              <w:jc w:val="left"/>
            </w:pPr>
            <w:r>
              <w:t xml:space="preserve">What limitations and evidence gaps remain that motivate the REM framework?</w:t>
            </w:r>
          </w:p>
        </w:tc>
        <w:tc>
          <w:tcPr/>
          <w:p>
            <w:pPr>
              <w:pStyle w:val="Compact"/>
              <w:jc w:val="left"/>
            </w:pPr>
            <w:r>
              <w:t xml:space="preserve">Research gap (Section 2.13)</w:t>
            </w:r>
          </w:p>
        </w:tc>
      </w:tr>
    </w:tbl>
    <w:bookmarkEnd w:id="37"/>
    <w:bookmarkStart w:id="38" w:name="information-sources"/>
    <w:p>
      <w:pPr>
        <w:pStyle w:val="Heading3"/>
      </w:pPr>
      <w:r>
        <w:t xml:space="preserve">2.2.2 Information sources</w:t>
      </w:r>
    </w:p>
    <w:p>
      <w:pPr>
        <w:pStyle w:val="FirstParagraph"/>
      </w:pPr>
      <w:r>
        <w:t xml:space="preserve">The review protocol named eleven preferred sources:</w:t>
      </w:r>
    </w:p>
    <w:p>
      <w:pPr>
        <w:numPr>
          <w:ilvl w:val="0"/>
          <w:numId w:val="1025"/>
        </w:numPr>
        <w:pStyle w:val="Compact"/>
      </w:pPr>
      <w:r>
        <w:t xml:space="preserve">IEEE Xplore;</w:t>
      </w:r>
    </w:p>
    <w:p>
      <w:pPr>
        <w:numPr>
          <w:ilvl w:val="0"/>
          <w:numId w:val="1025"/>
        </w:numPr>
        <w:pStyle w:val="Compact"/>
      </w:pPr>
      <w:r>
        <w:t xml:space="preserve">ACM Digital Library;</w:t>
      </w:r>
    </w:p>
    <w:p>
      <w:pPr>
        <w:numPr>
          <w:ilvl w:val="0"/>
          <w:numId w:val="1025"/>
        </w:numPr>
        <w:pStyle w:val="Compact"/>
      </w:pPr>
      <w:r>
        <w:t xml:space="preserve">Scopus or Web of Science;</w:t>
      </w:r>
    </w:p>
    <w:p>
      <w:pPr>
        <w:numPr>
          <w:ilvl w:val="0"/>
          <w:numId w:val="1025"/>
        </w:numPr>
        <w:pStyle w:val="Compact"/>
      </w:pPr>
      <w:r>
        <w:t xml:space="preserve">ScienceDirect;</w:t>
      </w:r>
    </w:p>
    <w:p>
      <w:pPr>
        <w:numPr>
          <w:ilvl w:val="0"/>
          <w:numId w:val="1025"/>
        </w:numPr>
        <w:pStyle w:val="Compact"/>
      </w:pPr>
      <w:r>
        <w:t xml:space="preserve">SpringerLink;</w:t>
      </w:r>
    </w:p>
    <w:p>
      <w:pPr>
        <w:numPr>
          <w:ilvl w:val="0"/>
          <w:numId w:val="1025"/>
        </w:numPr>
        <w:pStyle w:val="Compact"/>
      </w:pPr>
      <w:r>
        <w:t xml:space="preserve">ACL Anthology;</w:t>
      </w:r>
    </w:p>
    <w:p>
      <w:pPr>
        <w:numPr>
          <w:ilvl w:val="0"/>
          <w:numId w:val="1025"/>
        </w:numPr>
        <w:pStyle w:val="Compact"/>
      </w:pPr>
      <w:r>
        <w:t xml:space="preserve">NeurIPS and PMLR proceedings;</w:t>
      </w:r>
    </w:p>
    <w:p>
      <w:pPr>
        <w:numPr>
          <w:ilvl w:val="0"/>
          <w:numId w:val="1025"/>
        </w:numPr>
        <w:pStyle w:val="Compact"/>
      </w:pPr>
      <w:r>
        <w:t xml:space="preserve">ICLR proceedings;</w:t>
      </w:r>
    </w:p>
    <w:p>
      <w:pPr>
        <w:numPr>
          <w:ilvl w:val="0"/>
          <w:numId w:val="1025"/>
        </w:numPr>
        <w:pStyle w:val="Compact"/>
      </w:pPr>
      <w:r>
        <w:t xml:space="preserve">USENIX;</w:t>
      </w:r>
    </w:p>
    <w:p>
      <w:pPr>
        <w:numPr>
          <w:ilvl w:val="0"/>
          <w:numId w:val="1025"/>
        </w:numPr>
        <w:pStyle w:val="Compact"/>
      </w:pPr>
      <w:r>
        <w:t xml:space="preserve">arXiv, as a supplementary source.</w:t>
      </w:r>
    </w:p>
    <w:p>
      <w:pPr>
        <w:pStyle w:val="FirstParagraph"/>
      </w:pPr>
      <w:r>
        <w:t xml:space="preserve">These sources were not directly searchable from the review environment. Direct access was attempted on 25 September 2026, and the network policy refused every connection. The connection log is retained with the search record. An attempt to use Elicit, a second scholarly index, also failed: the account’s plan does not include API access. Each of these sources is therefore recorded as</w:t>
      </w:r>
      <w:r>
        <w:t xml:space="preserve"> </w:t>
      </w:r>
      <w:r>
        <w:rPr>
          <w:bCs/>
          <w:b/>
        </w:rPr>
        <w:t xml:space="preserve">DATABASE ACCESS UNAVAILABLE</w:t>
      </w:r>
      <w:r>
        <w:t xml:space="preserve"> </w:t>
      </w:r>
      <w:r>
        <w:t xml:space="preserve">(</w:t>
      </w:r>
      <w:r>
        <w:rPr>
          <w:rStyle w:val="VerbatimChar"/>
        </w:rPr>
        <w:t xml:space="preserve">CHAPTER2_SYSTEMATIC_SEARCH_STRATEGY.md</w:t>
      </w:r>
      <w:r>
        <w:t xml:space="preserve">, §1).</w:t>
      </w:r>
    </w:p>
    <w:p>
      <w:pPr>
        <w:pStyle w:val="BodyText"/>
      </w:pPr>
      <w:r>
        <w:rPr>
          <w:bCs/>
          <w:b/>
        </w:rPr>
        <w:t xml:space="preserve">Source actually searched.</w:t>
      </w:r>
      <w:r>
        <w:t xml:space="preserve"> </w:t>
      </w:r>
      <w:r>
        <w:t xml:space="preserve">The one bibliographic database searched was</w:t>
      </w:r>
      <w:r>
        <w:t xml:space="preserve"> </w:t>
      </w:r>
      <w:r>
        <w:rPr>
          <w:bCs/>
          <w:b/>
        </w:rPr>
        <w:t xml:space="preserve">OpenAlex</w:t>
      </w:r>
      <w:r>
        <w:t xml:space="preserve">, through a literature-search tool that queries its index of about 250 million records. OpenAlex indexes the proceedings and journals of the publishers listed above, as well as arXiv. Studies from those venues could therefore be retrieved, but only through OpenAlex’s index and relevance ranking, not through each library’s own search interface. The review accordingly does</w:t>
      </w:r>
      <w:r>
        <w:t xml:space="preserve"> </w:t>
      </w:r>
      <w:r>
        <w:rPr>
          <w:bCs/>
          <w:b/>
        </w:rPr>
        <w:t xml:space="preserve">not</w:t>
      </w:r>
      <w:r>
        <w:t xml:space="preserve"> </w:t>
      </w:r>
      <w:r>
        <w:t xml:space="preserve">claim to have searched the named digital libraries.</w:t>
      </w:r>
    </w:p>
    <w:p>
      <w:pPr>
        <w:pStyle w:val="BodyText"/>
      </w:pPr>
      <w:r>
        <w:rPr>
          <w:bCs/>
          <w:b/>
        </w:rPr>
        <w:t xml:space="preserve">Other methods.</w:t>
      </w:r>
      <w:r>
        <w:t xml:space="preserve"> </w:t>
      </w:r>
      <w:r>
        <w:t xml:space="preserve">A second, non-database stream was used, as PRISMA 2020 allows. It consists of the 70 sources in the reference list of the previous integrated version of this chapter. That list was assembled by known-item searching of the thesis corpus and backward citation checking, and it was verified between 16 and 25 September 2026. Crossref was used only to verify metadata, never to identify records.</w:t>
      </w:r>
    </w:p>
    <w:bookmarkEnd w:id="38"/>
    <w:bookmarkStart w:id="39" w:name="search-strategy"/>
    <w:p>
      <w:pPr>
        <w:pStyle w:val="Heading3"/>
      </w:pPr>
      <w:r>
        <w:t xml:space="preserve">2.2.3 Search strategy</w:t>
      </w:r>
    </w:p>
    <w:p>
      <w:pPr>
        <w:pStyle w:val="FirstParagraph"/>
      </w:pPr>
      <w:r>
        <w:rPr>
          <w:bCs/>
          <w:b/>
        </w:rPr>
        <w:t xml:space="preserve">Concept blocks.</w:t>
      </w:r>
      <w:r>
        <w:t xml:space="preserve"> </w:t>
      </w:r>
      <w:r>
        <w:t xml:space="preserve">The protocol defines three concept blocks and a financial block:</w:t>
      </w:r>
    </w:p>
    <w:p>
      <w:pPr>
        <w:numPr>
          <w:ilvl w:val="0"/>
          <w:numId w:val="1026"/>
        </w:numPr>
        <w:pStyle w:val="Compact"/>
      </w:pPr>
      <w:r>
        <w:rPr>
          <w:bCs/>
          <w:b/>
        </w:rPr>
        <w:t xml:space="preserve">A — Agents:</w:t>
      </w:r>
      <w:r>
        <w:t xml:space="preserve"> </w:t>
      </w:r>
      <w:r>
        <w:t xml:space="preserve">“</w:t>
      </w:r>
      <w:r>
        <w:t xml:space="preserve">LLM agent</w:t>
      </w:r>
      <w:r>
        <w:t xml:space="preserve">”</w:t>
      </w:r>
      <w:r>
        <w:t xml:space="preserve">,</w:t>
      </w:r>
      <w:r>
        <w:t xml:space="preserve"> </w:t>
      </w:r>
      <w:r>
        <w:t xml:space="preserve">“</w:t>
      </w:r>
      <w:r>
        <w:t xml:space="preserve">AI agent</w:t>
      </w:r>
      <w:r>
        <w:t xml:space="preserve">”</w:t>
      </w:r>
      <w:r>
        <w:t xml:space="preserve">,</w:t>
      </w:r>
      <w:r>
        <w:t xml:space="preserve"> </w:t>
      </w:r>
      <w:r>
        <w:t xml:space="preserve">“</w:t>
      </w:r>
      <w:r>
        <w:t xml:space="preserve">language model agent</w:t>
      </w:r>
      <w:r>
        <w:t xml:space="preserve">”</w:t>
      </w:r>
      <w:r>
        <w:t xml:space="preserve">,</w:t>
      </w:r>
      <w:r>
        <w:t xml:space="preserve"> </w:t>
      </w:r>
      <w:r>
        <w:t xml:space="preserve">“</w:t>
      </w:r>
      <w:r>
        <w:t xml:space="preserve">tool-using agent</w:t>
      </w:r>
      <w:r>
        <w:t xml:space="preserve">”</w:t>
      </w:r>
      <w:r>
        <w:t xml:space="preserve">,</w:t>
      </w:r>
      <w:r>
        <w:t xml:space="preserve"> </w:t>
      </w:r>
      <w:r>
        <w:t xml:space="preserve">“</w:t>
      </w:r>
      <w:r>
        <w:t xml:space="preserve">autonomous agent</w:t>
      </w:r>
      <w:r>
        <w:t xml:space="preserve">”</w:t>
      </w:r>
      <w:r>
        <w:t xml:space="preserve">;</w:t>
      </w:r>
    </w:p>
    <w:p>
      <w:pPr>
        <w:numPr>
          <w:ilvl w:val="0"/>
          <w:numId w:val="1026"/>
        </w:numPr>
        <w:pStyle w:val="Compact"/>
      </w:pPr>
      <w:r>
        <w:rPr>
          <w:bCs/>
          <w:b/>
        </w:rPr>
        <w:t xml:space="preserve">B — Security:</w:t>
      </w:r>
      <w:r>
        <w:t xml:space="preserve"> </w:t>
      </w:r>
      <w:r>
        <w:t xml:space="preserve">“</w:t>
      </w:r>
      <w:r>
        <w:t xml:space="preserve">security</w:t>
      </w:r>
      <w:r>
        <w:t xml:space="preserve">”</w:t>
      </w:r>
      <w:r>
        <w:t xml:space="preserve">,</w:t>
      </w:r>
      <w:r>
        <w:t xml:space="preserve"> </w:t>
      </w:r>
      <w:r>
        <w:t xml:space="preserve">“</w:t>
      </w:r>
      <w:r>
        <w:t xml:space="preserve">prompt injection</w:t>
      </w:r>
      <w:r>
        <w:t xml:space="preserve">”</w:t>
      </w:r>
      <w:r>
        <w:t xml:space="preserve">,</w:t>
      </w:r>
      <w:r>
        <w:t xml:space="preserve"> </w:t>
      </w:r>
      <w:r>
        <w:t xml:space="preserve">“</w:t>
      </w:r>
      <w:r>
        <w:t xml:space="preserve">indirect prompt injection</w:t>
      </w:r>
      <w:r>
        <w:t xml:space="preserve">”</w:t>
      </w:r>
      <w:r>
        <w:t xml:space="preserve">,</w:t>
      </w:r>
      <w:r>
        <w:t xml:space="preserve"> </w:t>
      </w:r>
      <w:r>
        <w:t xml:space="preserve">“</w:t>
      </w:r>
      <w:r>
        <w:t xml:space="preserve">tool misuse</w:t>
      </w:r>
      <w:r>
        <w:t xml:space="preserve">”</w:t>
      </w:r>
      <w:r>
        <w:t xml:space="preserve">,</w:t>
      </w:r>
      <w:r>
        <w:t xml:space="preserve"> </w:t>
      </w:r>
      <w:r>
        <w:t xml:space="preserve">“</w:t>
      </w:r>
      <w:r>
        <w:t xml:space="preserve">agent safety</w:t>
      </w:r>
      <w:r>
        <w:t xml:space="preserve">”</w:t>
      </w:r>
      <w:r>
        <w:t xml:space="preserve">,</w:t>
      </w:r>
      <w:r>
        <w:t xml:space="preserve"> </w:t>
      </w:r>
      <w:r>
        <w:t xml:space="preserve">“</w:t>
      </w:r>
      <w:r>
        <w:t xml:space="preserve">goal hijacking</w:t>
      </w:r>
      <w:r>
        <w:t xml:space="preserve">”</w:t>
      </w:r>
      <w:r>
        <w:t xml:space="preserve">,</w:t>
      </w:r>
      <w:r>
        <w:t xml:space="preserve"> </w:t>
      </w:r>
      <w:r>
        <w:t xml:space="preserve">“</w:t>
      </w:r>
      <w:r>
        <w:t xml:space="preserve">memory poisoning</w:t>
      </w:r>
      <w:r>
        <w:t xml:space="preserve">”</w:t>
      </w:r>
      <w:r>
        <w:t xml:space="preserve">,</w:t>
      </w:r>
      <w:r>
        <w:t xml:space="preserve"> </w:t>
      </w:r>
      <w:r>
        <w:t xml:space="preserve">“</w:t>
      </w:r>
      <w:r>
        <w:t xml:space="preserve">action manipulation</w:t>
      </w:r>
      <w:r>
        <w:t xml:space="preserve">”</w:t>
      </w:r>
      <w:r>
        <w:t xml:space="preserve">;</w:t>
      </w:r>
    </w:p>
    <w:p>
      <w:pPr>
        <w:numPr>
          <w:ilvl w:val="0"/>
          <w:numId w:val="1026"/>
        </w:numPr>
        <w:pStyle w:val="Compact"/>
      </w:pPr>
      <w:r>
        <w:rPr>
          <w:bCs/>
          <w:b/>
        </w:rPr>
        <w:t xml:space="preserve">C — Runtime, behavior and mitigation:</w:t>
      </w:r>
      <w:r>
        <w:t xml:space="preserve"> </w:t>
      </w:r>
      <w:r>
        <w:t xml:space="preserve">“</w:t>
      </w:r>
      <w:r>
        <w:t xml:space="preserve">runtime monitoring</w:t>
      </w:r>
      <w:r>
        <w:t xml:space="preserve">”</w:t>
      </w:r>
      <w:r>
        <w:t xml:space="preserve">,</w:t>
      </w:r>
      <w:r>
        <w:t xml:space="preserve"> </w:t>
      </w:r>
      <w:r>
        <w:t xml:space="preserve">“</w:t>
      </w:r>
      <w:r>
        <w:t xml:space="preserve">runtime interception</w:t>
      </w:r>
      <w:r>
        <w:t xml:space="preserve">”</w:t>
      </w:r>
      <w:r>
        <w:t xml:space="preserve">,</w:t>
      </w:r>
      <w:r>
        <w:t xml:space="preserve"> </w:t>
      </w:r>
      <w:r>
        <w:t xml:space="preserve">“</w:t>
      </w:r>
      <w:r>
        <w:t xml:space="preserve">behavioral monitoring</w:t>
      </w:r>
      <w:r>
        <w:t xml:space="preserve">”</w:t>
      </w:r>
      <w:r>
        <w:t xml:space="preserve">,</w:t>
      </w:r>
      <w:r>
        <w:t xml:space="preserve"> </w:t>
      </w:r>
      <w:r>
        <w:t xml:space="preserve">“</w:t>
      </w:r>
      <w:r>
        <w:t xml:space="preserve">trajectory</w:t>
      </w:r>
      <w:r>
        <w:t xml:space="preserve">”</w:t>
      </w:r>
      <w:r>
        <w:t xml:space="preserve">,</w:t>
      </w:r>
      <w:r>
        <w:t xml:space="preserve"> </w:t>
      </w:r>
      <w:r>
        <w:t xml:space="preserve">“</w:t>
      </w:r>
      <w:r>
        <w:t xml:space="preserve">tool use</w:t>
      </w:r>
      <w:r>
        <w:t xml:space="preserve">”</w:t>
      </w:r>
      <w:r>
        <w:t xml:space="preserve">,</w:t>
      </w:r>
      <w:r>
        <w:t xml:space="preserve"> </w:t>
      </w:r>
      <w:r>
        <w:t xml:space="preserve">“</w:t>
      </w:r>
      <w:r>
        <w:t xml:space="preserve">provenance</w:t>
      </w:r>
      <w:r>
        <w:t xml:space="preserve">”</w:t>
      </w:r>
      <w:r>
        <w:t xml:space="preserve">,</w:t>
      </w:r>
      <w:r>
        <w:t xml:space="preserve"> </w:t>
      </w:r>
      <w:r>
        <w:t xml:space="preserve">“</w:t>
      </w:r>
      <w:r>
        <w:t xml:space="preserve">anomaly detection</w:t>
      </w:r>
      <w:r>
        <w:t xml:space="preserve">”</w:t>
      </w:r>
      <w:r>
        <w:t xml:space="preserve">,</w:t>
      </w:r>
      <w:r>
        <w:t xml:space="preserve"> </w:t>
      </w:r>
      <w:r>
        <w:t xml:space="preserve">“</w:t>
      </w:r>
      <w:r>
        <w:t xml:space="preserve">mitigation</w:t>
      </w:r>
      <w:r>
        <w:t xml:space="preserve">”</w:t>
      </w:r>
      <w:r>
        <w:t xml:space="preserve">,</w:t>
      </w:r>
      <w:r>
        <w:t xml:space="preserve"> </w:t>
      </w:r>
      <w:r>
        <w:t xml:space="preserve">“</w:t>
      </w:r>
      <w:r>
        <w:t xml:space="preserve">guardrail</w:t>
      </w:r>
      <w:r>
        <w:t xml:space="preserve">”</w:t>
      </w:r>
      <w:r>
        <w:t xml:space="preserve">,</w:t>
      </w:r>
      <w:r>
        <w:t xml:space="preserve"> </w:t>
      </w:r>
      <w:r>
        <w:t xml:space="preserve">“</w:t>
      </w:r>
      <w:r>
        <w:t xml:space="preserve">policy enforcement</w:t>
      </w:r>
      <w:r>
        <w:t xml:space="preserve">”</w:t>
      </w:r>
      <w:r>
        <w:t xml:space="preserve">;</w:t>
      </w:r>
    </w:p>
    <w:p>
      <w:pPr>
        <w:numPr>
          <w:ilvl w:val="0"/>
          <w:numId w:val="1026"/>
        </w:numPr>
        <w:pStyle w:val="Compact"/>
      </w:pPr>
      <w:r>
        <w:rPr>
          <w:bCs/>
          <w:b/>
        </w:rPr>
        <w:t xml:space="preserve">Financial:</w:t>
      </w:r>
      <w:r>
        <w:t xml:space="preserve"> </w:t>
      </w:r>
      <w:r>
        <w:t xml:space="preserve">“</w:t>
      </w:r>
      <w:r>
        <w:t xml:space="preserve">financial agent</w:t>
      </w:r>
      <w:r>
        <w:t xml:space="preserve">”</w:t>
      </w:r>
      <w:r>
        <w:t xml:space="preserve">,</w:t>
      </w:r>
      <w:r>
        <w:t xml:space="preserve"> </w:t>
      </w:r>
      <w:r>
        <w:t xml:space="preserve">“</w:t>
      </w:r>
      <w:r>
        <w:t xml:space="preserve">banking agent</w:t>
      </w:r>
      <w:r>
        <w:t xml:space="preserve">”</w:t>
      </w:r>
      <w:r>
        <w:t xml:space="preserve">,</w:t>
      </w:r>
      <w:r>
        <w:t xml:space="preserve"> </w:t>
      </w:r>
      <w:r>
        <w:t xml:space="preserve">“</w:t>
      </w:r>
      <w:r>
        <w:t xml:space="preserve">financial AI agent</w:t>
      </w:r>
      <w:r>
        <w:t xml:space="preserve">”</w:t>
      </w:r>
      <w:r>
        <w:t xml:space="preserve">,</w:t>
      </w:r>
      <w:r>
        <w:t xml:space="preserve"> </w:t>
      </w:r>
      <w:r>
        <w:t xml:space="preserve">“</w:t>
      </w:r>
      <w:r>
        <w:t xml:space="preserve">financial tool</w:t>
      </w:r>
      <w:r>
        <w:t xml:space="preserve">”</w:t>
      </w:r>
      <w:r>
        <w:t xml:space="preserve">,</w:t>
      </w:r>
      <w:r>
        <w:t xml:space="preserve"> </w:t>
      </w:r>
      <w:r>
        <w:t xml:space="preserve">“</w:t>
      </w:r>
      <w:r>
        <w:t xml:space="preserve">financial transaction</w:t>
      </w:r>
      <w:r>
        <w:t xml:space="preserve">”</w:t>
      </w:r>
      <w:r>
        <w:t xml:space="preserve">, combined with security, prompt-injection, tool-misuse, runtime, safety or mitigation terms.</w:t>
      </w:r>
    </w:p>
    <w:p>
      <w:pPr>
        <w:pStyle w:val="FirstParagraph"/>
      </w:pPr>
      <w:r>
        <w:rPr>
          <w:bCs/>
          <w:b/>
        </w:rPr>
        <w:t xml:space="preserve">Database variant.</w:t>
      </w:r>
      <w:r>
        <w:t xml:space="preserve"> </w:t>
      </w:r>
      <w:r>
        <w:t xml:space="preserve">The OpenAlex interface available to the review is lexical and relevance-ranked, and it does not accept Boolean operators. The blocks were therefore translated into eleven free-text queries, each combining at least one term from blocks A, B and C. Two queries (Q7, Q8) carried the financial block. The exact strings are reproduced in Table 2.1. Each query was restricted to publication years 2019–2026. Page 2 was also retrieved for the two queries with the highest page-1 yield of eligible records (Q1, Q2), giving 13 result pages and 320 records in total.</w:t>
      </w:r>
    </w:p>
    <w:p>
      <w:pPr>
        <w:pStyle w:val="BodyText"/>
      </w:pPr>
      <w:r>
        <w:t xml:space="preserve">The final search date was</w:t>
      </w:r>
      <w:r>
        <w:t xml:space="preserve"> </w:t>
      </w:r>
      <w:r>
        <w:rPr>
          <w:bCs/>
          <w:b/>
        </w:rPr>
        <w:t xml:space="preserve">25 September 2026</w:t>
      </w:r>
      <w:r>
        <w:t xml:space="preserve">, and every counted search ran on that date. The raw output of every query is stored unchanged, and a script recomputes all counts from it (</w:t>
      </w:r>
      <w:r>
        <w:rPr>
          <w:rStyle w:val="VerbatimChar"/>
        </w:rPr>
        <w:t xml:space="preserve">chapter2/slr/</w:t>
      </w:r>
      <w:r>
        <w:t xml:space="preserve">).</w:t>
      </w:r>
    </w:p>
    <w:p>
      <w:pPr>
        <w:pStyle w:val="BodyText"/>
      </w:pPr>
      <w:r>
        <w:rPr>
          <w:bCs/>
          <w:b/>
        </w:rPr>
        <w:t xml:space="preserve">Table 2.1. Database searches (OpenAlex; 25 September 2026; years 2019–2026)</w:t>
      </w:r>
    </w:p>
    <w:tbl>
      <w:tblPr>
        <w:tblStyle w:val="Table"/>
        <w:tblW w:type="pct" w:w="5000"/>
        <w:tblLook w:firstRow="1" w:lastRow="0" w:firstColumn="0" w:lastColumn="0" w:noHBand="0" w:noVBand="0" w:val="0020"/>
        <w:jc w:val="start"/>
      </w:tblPr>
      <w:tblGrid>
        <w:gridCol w:w="1397"/>
        <w:gridCol w:w="1397"/>
        <w:gridCol w:w="1397"/>
        <w:gridCol w:w="1863"/>
        <w:gridCol w:w="1863"/>
      </w:tblGrid>
      <w:tr>
        <w:trPr>
          <w:tblHeader w:val="true"/>
        </w:trPr>
        <w:tc>
          <w:tcPr/>
          <w:p>
            <w:pPr>
              <w:pStyle w:val="Compact"/>
              <w:jc w:val="left"/>
            </w:pPr>
            <w:r>
              <w:t xml:space="preserve">Query</w:t>
            </w:r>
          </w:p>
        </w:tc>
        <w:tc>
          <w:tcPr/>
          <w:p>
            <w:pPr>
              <w:pStyle w:val="Compact"/>
              <w:jc w:val="left"/>
            </w:pPr>
            <w:r>
              <w:t xml:space="preserve">Exact search string</w:t>
            </w:r>
          </w:p>
        </w:tc>
        <w:tc>
          <w:tcPr/>
          <w:p>
            <w:pPr>
              <w:pStyle w:val="Compact"/>
              <w:jc w:val="left"/>
            </w:pPr>
            <w:r>
              <w:t xml:space="preserve">Blocks</w:t>
            </w:r>
          </w:p>
        </w:tc>
        <w:tc>
          <w:tcPr/>
          <w:p>
            <w:pPr>
              <w:pStyle w:val="Compact"/>
              <w:jc w:val="right"/>
            </w:pPr>
            <w:r>
              <w:t xml:space="preserve">Records screened</w:t>
            </w:r>
          </w:p>
        </w:tc>
        <w:tc>
          <w:tcPr/>
          <w:p>
            <w:pPr>
              <w:pStyle w:val="Compact"/>
              <w:jc w:val="right"/>
            </w:pPr>
            <w:r>
              <w:t xml:space="preserve">Index estimate</w:t>
            </w:r>
          </w:p>
        </w:tc>
      </w:tr>
      <w:tr>
        <w:tc>
          <w:tcPr/>
          <w:p>
            <w:pPr>
              <w:pStyle w:val="Compact"/>
              <w:jc w:val="left"/>
            </w:pPr>
            <w:r>
              <w:t xml:space="preserve">Q1 (pages 1–2)</w:t>
            </w:r>
          </w:p>
        </w:tc>
        <w:tc>
          <w:tcPr/>
          <w:p>
            <w:pPr>
              <w:pStyle w:val="Compact"/>
              <w:jc w:val="left"/>
            </w:pPr>
            <w:r>
              <w:t xml:space="preserve">LLM agent indirect prompt injection runtime defense tool use</w:t>
            </w:r>
          </w:p>
        </w:tc>
        <w:tc>
          <w:tcPr/>
          <w:p>
            <w:pPr>
              <w:pStyle w:val="Compact"/>
              <w:jc w:val="left"/>
            </w:pPr>
            <w:r>
              <w:t xml:space="preserve">A+B+C</w:t>
            </w:r>
          </w:p>
        </w:tc>
        <w:tc>
          <w:tcPr/>
          <w:p>
            <w:pPr>
              <w:pStyle w:val="Compact"/>
              <w:jc w:val="right"/>
            </w:pPr>
            <w:r>
              <w:t xml:space="preserve">50</w:t>
            </w:r>
          </w:p>
        </w:tc>
        <w:tc>
          <w:tcPr/>
          <w:p>
            <w:pPr>
              <w:pStyle w:val="Compact"/>
              <w:jc w:val="right"/>
            </w:pPr>
            <w:r>
              <w:t xml:space="preserve">1,366</w:t>
            </w:r>
          </w:p>
        </w:tc>
      </w:tr>
      <w:tr>
        <w:tc>
          <w:tcPr/>
          <w:p>
            <w:pPr>
              <w:pStyle w:val="Compact"/>
              <w:jc w:val="left"/>
            </w:pPr>
            <w:r>
              <w:t xml:space="preserve">Q2 (pages 1–2)</w:t>
            </w:r>
          </w:p>
        </w:tc>
        <w:tc>
          <w:tcPr/>
          <w:p>
            <w:pPr>
              <w:pStyle w:val="Compact"/>
              <w:jc w:val="left"/>
            </w:pPr>
            <w:r>
              <w:t xml:space="preserve">LLM agent security runtime monitoring guardrail tool call</w:t>
            </w:r>
          </w:p>
        </w:tc>
        <w:tc>
          <w:tcPr/>
          <w:p>
            <w:pPr>
              <w:pStyle w:val="Compact"/>
              <w:jc w:val="left"/>
            </w:pPr>
            <w:r>
              <w:t xml:space="preserve">A+B+C</w:t>
            </w:r>
          </w:p>
        </w:tc>
        <w:tc>
          <w:tcPr/>
          <w:p>
            <w:pPr>
              <w:pStyle w:val="Compact"/>
              <w:jc w:val="right"/>
            </w:pPr>
            <w:r>
              <w:t xml:space="preserve">49</w:t>
            </w:r>
          </w:p>
        </w:tc>
        <w:tc>
          <w:tcPr/>
          <w:p>
            <w:pPr>
              <w:pStyle w:val="Compact"/>
              <w:jc w:val="right"/>
            </w:pPr>
            <w:r>
              <w:t xml:space="preserve">1,123</w:t>
            </w:r>
          </w:p>
        </w:tc>
      </w:tr>
      <w:tr>
        <w:tc>
          <w:tcPr/>
          <w:p>
            <w:pPr>
              <w:pStyle w:val="Compact"/>
              <w:jc w:val="left"/>
            </w:pPr>
            <w:r>
              <w:t xml:space="preserve">Q3</w:t>
            </w:r>
          </w:p>
        </w:tc>
        <w:tc>
          <w:tcPr/>
          <w:p>
            <w:pPr>
              <w:pStyle w:val="Compact"/>
              <w:jc w:val="left"/>
            </w:pPr>
            <w:r>
              <w:t xml:space="preserve">tool-using language model agent behavioral trajectory monitoring anomaly detection safety</w:t>
            </w:r>
          </w:p>
        </w:tc>
        <w:tc>
          <w:tcPr/>
          <w:p>
            <w:pPr>
              <w:pStyle w:val="Compact"/>
              <w:jc w:val="left"/>
            </w:pPr>
            <w:r>
              <w:t xml:space="preserve">A+B+C</w:t>
            </w:r>
          </w:p>
        </w:tc>
        <w:tc>
          <w:tcPr/>
          <w:p>
            <w:pPr>
              <w:pStyle w:val="Compact"/>
              <w:jc w:val="right"/>
            </w:pPr>
            <w:r>
              <w:t xml:space="preserve">24</w:t>
            </w:r>
          </w:p>
        </w:tc>
        <w:tc>
          <w:tcPr/>
          <w:p>
            <w:pPr>
              <w:pStyle w:val="Compact"/>
              <w:jc w:val="right"/>
            </w:pPr>
            <w:r>
              <w:t xml:space="preserve">5,572</w:t>
            </w:r>
          </w:p>
        </w:tc>
      </w:tr>
      <w:tr>
        <w:tc>
          <w:tcPr/>
          <w:p>
            <w:pPr>
              <w:pStyle w:val="Compact"/>
              <w:jc w:val="left"/>
            </w:pPr>
            <w:r>
              <w:t xml:space="preserve">Q4</w:t>
            </w:r>
          </w:p>
        </w:tc>
        <w:tc>
          <w:tcPr/>
          <w:p>
            <w:pPr>
              <w:pStyle w:val="Compact"/>
              <w:jc w:val="left"/>
            </w:pPr>
            <w:r>
              <w:t xml:space="preserve">LLM agent provenance goal alignment tool call misalignment detection</w:t>
            </w:r>
          </w:p>
        </w:tc>
        <w:tc>
          <w:tcPr/>
          <w:p>
            <w:pPr>
              <w:pStyle w:val="Compact"/>
              <w:jc w:val="left"/>
            </w:pPr>
            <w:r>
              <w:t xml:space="preserve">A+B+C</w:t>
            </w:r>
          </w:p>
        </w:tc>
        <w:tc>
          <w:tcPr/>
          <w:p>
            <w:pPr>
              <w:pStyle w:val="Compact"/>
              <w:jc w:val="right"/>
            </w:pPr>
            <w:r>
              <w:t xml:space="preserve">25</w:t>
            </w:r>
          </w:p>
        </w:tc>
        <w:tc>
          <w:tcPr/>
          <w:p>
            <w:pPr>
              <w:pStyle w:val="Compact"/>
              <w:jc w:val="right"/>
            </w:pPr>
            <w:r>
              <w:t xml:space="preserve">484</w:t>
            </w:r>
          </w:p>
        </w:tc>
      </w:tr>
      <w:tr>
        <w:tc>
          <w:tcPr/>
          <w:p>
            <w:pPr>
              <w:pStyle w:val="Compact"/>
              <w:jc w:val="left"/>
            </w:pPr>
            <w:r>
              <w:t xml:space="preserve">Q5</w:t>
            </w:r>
          </w:p>
        </w:tc>
        <w:tc>
          <w:tcPr/>
          <w:p>
            <w:pPr>
              <w:pStyle w:val="Compact"/>
              <w:jc w:val="left"/>
            </w:pPr>
            <w:r>
              <w:t xml:space="preserve">prompt injection benchmark tool-integrated LLM agents attacks and defenses evaluation</w:t>
            </w:r>
          </w:p>
        </w:tc>
        <w:tc>
          <w:tcPr/>
          <w:p>
            <w:pPr>
              <w:pStyle w:val="Compact"/>
              <w:jc w:val="left"/>
            </w:pPr>
            <w:r>
              <w:t xml:space="preserve">A+B+C</w:t>
            </w:r>
          </w:p>
        </w:tc>
        <w:tc>
          <w:tcPr/>
          <w:p>
            <w:pPr>
              <w:pStyle w:val="Compact"/>
              <w:jc w:val="right"/>
            </w:pPr>
            <w:r>
              <w:t xml:space="preserve">24</w:t>
            </w:r>
          </w:p>
        </w:tc>
        <w:tc>
          <w:tcPr/>
          <w:p>
            <w:pPr>
              <w:pStyle w:val="Compact"/>
              <w:jc w:val="right"/>
            </w:pPr>
            <w:r>
              <w:t xml:space="preserve">2,950</w:t>
            </w:r>
          </w:p>
        </w:tc>
      </w:tr>
      <w:tr>
        <w:tc>
          <w:tcPr/>
          <w:p>
            <w:pPr>
              <w:pStyle w:val="Compact"/>
              <w:jc w:val="left"/>
            </w:pPr>
            <w:r>
              <w:t xml:space="preserve">Q6</w:t>
            </w:r>
          </w:p>
        </w:tc>
        <w:tc>
          <w:tcPr/>
          <w:p>
            <w:pPr>
              <w:pStyle w:val="Compact"/>
              <w:jc w:val="left"/>
            </w:pPr>
            <w:r>
              <w:t xml:space="preserve">LLM agent memory poisoning goal hijacking multi-step attack</w:t>
            </w:r>
          </w:p>
        </w:tc>
        <w:tc>
          <w:tcPr/>
          <w:p>
            <w:pPr>
              <w:pStyle w:val="Compact"/>
              <w:jc w:val="left"/>
            </w:pPr>
            <w:r>
              <w:t xml:space="preserve">A+B</w:t>
            </w:r>
          </w:p>
        </w:tc>
        <w:tc>
          <w:tcPr/>
          <w:p>
            <w:pPr>
              <w:pStyle w:val="Compact"/>
              <w:jc w:val="right"/>
            </w:pPr>
            <w:r>
              <w:t xml:space="preserve">24</w:t>
            </w:r>
          </w:p>
        </w:tc>
        <w:tc>
          <w:tcPr/>
          <w:p>
            <w:pPr>
              <w:pStyle w:val="Compact"/>
              <w:jc w:val="right"/>
            </w:pPr>
            <w:r>
              <w:t xml:space="preserve">579</w:t>
            </w:r>
          </w:p>
        </w:tc>
      </w:tr>
      <w:tr>
        <w:tc>
          <w:tcPr/>
          <w:p>
            <w:pPr>
              <w:pStyle w:val="Compact"/>
              <w:jc w:val="left"/>
            </w:pPr>
            <w:r>
              <w:t xml:space="preserve">Q7</w:t>
            </w:r>
          </w:p>
        </w:tc>
        <w:tc>
          <w:tcPr/>
          <w:p>
            <w:pPr>
              <w:pStyle w:val="Compact"/>
              <w:jc w:val="left"/>
            </w:pPr>
            <w:r>
              <w:t xml:space="preserve">financial LLM agent security prompt injection tool misuse</w:t>
            </w:r>
          </w:p>
        </w:tc>
        <w:tc>
          <w:tcPr/>
          <w:p>
            <w:pPr>
              <w:pStyle w:val="Compact"/>
              <w:jc w:val="left"/>
            </w:pPr>
            <w:r>
              <w:t xml:space="preserve">Fin+A+B+C</w:t>
            </w:r>
          </w:p>
        </w:tc>
        <w:tc>
          <w:tcPr/>
          <w:p>
            <w:pPr>
              <w:pStyle w:val="Compact"/>
              <w:jc w:val="right"/>
            </w:pPr>
            <w:r>
              <w:t xml:space="preserve">24</w:t>
            </w:r>
          </w:p>
        </w:tc>
        <w:tc>
          <w:tcPr/>
          <w:p>
            <w:pPr>
              <w:pStyle w:val="Compact"/>
              <w:jc w:val="right"/>
            </w:pPr>
            <w:r>
              <w:t xml:space="preserve">1,368</w:t>
            </w:r>
          </w:p>
        </w:tc>
      </w:tr>
      <w:tr>
        <w:tc>
          <w:tcPr/>
          <w:p>
            <w:pPr>
              <w:pStyle w:val="Compact"/>
              <w:jc w:val="left"/>
            </w:pPr>
            <w:r>
              <w:t xml:space="preserve">Q8</w:t>
            </w:r>
          </w:p>
        </w:tc>
        <w:tc>
          <w:tcPr/>
          <w:p>
            <w:pPr>
              <w:pStyle w:val="Compact"/>
              <w:jc w:val="left"/>
            </w:pPr>
            <w:r>
              <w:t xml:space="preserve">banking agent safety benchmark financial transaction LLM agent</w:t>
            </w:r>
          </w:p>
        </w:tc>
        <w:tc>
          <w:tcPr/>
          <w:p>
            <w:pPr>
              <w:pStyle w:val="Compact"/>
              <w:jc w:val="left"/>
            </w:pPr>
            <w:r>
              <w:t xml:space="preserve">Fin+A+B</w:t>
            </w:r>
          </w:p>
        </w:tc>
        <w:tc>
          <w:tcPr/>
          <w:p>
            <w:pPr>
              <w:pStyle w:val="Compact"/>
              <w:jc w:val="right"/>
            </w:pPr>
            <w:r>
              <w:t xml:space="preserve">25</w:t>
            </w:r>
          </w:p>
        </w:tc>
        <w:tc>
          <w:tcPr/>
          <w:p>
            <w:pPr>
              <w:pStyle w:val="Compact"/>
              <w:jc w:val="right"/>
            </w:pPr>
            <w:r>
              <w:t xml:space="preserve">536</w:t>
            </w:r>
          </w:p>
        </w:tc>
      </w:tr>
      <w:tr>
        <w:tc>
          <w:tcPr/>
          <w:p>
            <w:pPr>
              <w:pStyle w:val="Compact"/>
              <w:jc w:val="left"/>
            </w:pPr>
            <w:r>
              <w:t xml:space="preserve">Q9</w:t>
            </w:r>
          </w:p>
        </w:tc>
        <w:tc>
          <w:tcPr/>
          <w:p>
            <w:pPr>
              <w:pStyle w:val="Compact"/>
              <w:jc w:val="left"/>
            </w:pPr>
            <w:r>
              <w:t xml:space="preserve">calibrated risk score intervention policy LLM agent runtime safety</w:t>
            </w:r>
          </w:p>
        </w:tc>
        <w:tc>
          <w:tcPr/>
          <w:p>
            <w:pPr>
              <w:pStyle w:val="Compact"/>
              <w:jc w:val="left"/>
            </w:pPr>
            <w:r>
              <w:t xml:space="preserve">A+B+C</w:t>
            </w:r>
          </w:p>
        </w:tc>
        <w:tc>
          <w:tcPr/>
          <w:p>
            <w:pPr>
              <w:pStyle w:val="Compact"/>
              <w:jc w:val="right"/>
            </w:pPr>
            <w:r>
              <w:t xml:space="preserve">25</w:t>
            </w:r>
          </w:p>
        </w:tc>
        <w:tc>
          <w:tcPr/>
          <w:p>
            <w:pPr>
              <w:pStyle w:val="Compact"/>
              <w:jc w:val="right"/>
            </w:pPr>
            <w:r>
              <w:t xml:space="preserve">880</w:t>
            </w:r>
          </w:p>
        </w:tc>
      </w:tr>
      <w:tr>
        <w:tc>
          <w:tcPr/>
          <w:p>
            <w:pPr>
              <w:pStyle w:val="Compact"/>
              <w:jc w:val="left"/>
            </w:pPr>
            <w:r>
              <w:t xml:space="preserve">Q10</w:t>
            </w:r>
          </w:p>
        </w:tc>
        <w:tc>
          <w:tcPr/>
          <w:p>
            <w:pPr>
              <w:pStyle w:val="Compact"/>
              <w:jc w:val="left"/>
            </w:pPr>
            <w:r>
              <w:t xml:space="preserve">privilege control policy enforcement LLM agents tool calls prompt injection</w:t>
            </w:r>
          </w:p>
        </w:tc>
        <w:tc>
          <w:tcPr/>
          <w:p>
            <w:pPr>
              <w:pStyle w:val="Compact"/>
              <w:jc w:val="left"/>
            </w:pPr>
            <w:r>
              <w:t xml:space="preserve">A+B+C</w:t>
            </w:r>
          </w:p>
        </w:tc>
        <w:tc>
          <w:tcPr/>
          <w:p>
            <w:pPr>
              <w:pStyle w:val="Compact"/>
              <w:jc w:val="right"/>
            </w:pPr>
            <w:r>
              <w:t xml:space="preserve">25</w:t>
            </w:r>
          </w:p>
        </w:tc>
        <w:tc>
          <w:tcPr/>
          <w:p>
            <w:pPr>
              <w:pStyle w:val="Compact"/>
              <w:jc w:val="right"/>
            </w:pPr>
            <w:r>
              <w:t xml:space="preserve">1,380</w:t>
            </w:r>
          </w:p>
        </w:tc>
      </w:tr>
      <w:tr>
        <w:tc>
          <w:tcPr/>
          <w:p>
            <w:pPr>
              <w:pStyle w:val="Compact"/>
              <w:jc w:val="left"/>
            </w:pPr>
            <w:r>
              <w:t xml:space="preserve">Q11</w:t>
            </w:r>
          </w:p>
        </w:tc>
        <w:tc>
          <w:tcPr/>
          <w:p>
            <w:pPr>
              <w:pStyle w:val="Compact"/>
              <w:jc w:val="left"/>
            </w:pPr>
            <w:r>
              <w:t xml:space="preserve">pre-execution action validation guardrail autonomous LLM agent unsafe actions</w:t>
            </w:r>
          </w:p>
        </w:tc>
        <w:tc>
          <w:tcPr/>
          <w:p>
            <w:pPr>
              <w:pStyle w:val="Compact"/>
              <w:jc w:val="left"/>
            </w:pPr>
            <w:r>
              <w:t xml:space="preserve">A+B+C</w:t>
            </w:r>
          </w:p>
        </w:tc>
        <w:tc>
          <w:tcPr/>
          <w:p>
            <w:pPr>
              <w:pStyle w:val="Compact"/>
              <w:jc w:val="right"/>
            </w:pPr>
            <w:r>
              <w:t xml:space="preserve">25</w:t>
            </w:r>
          </w:p>
        </w:tc>
        <w:tc>
          <w:tcPr/>
          <w:p>
            <w:pPr>
              <w:pStyle w:val="Compact"/>
              <w:jc w:val="right"/>
            </w:pPr>
            <w:r>
              <w:t xml:space="preserve">744</w:t>
            </w:r>
          </w:p>
        </w:tc>
      </w:tr>
      <w:tr>
        <w:tc>
          <w:tcPr/>
          <w:p>
            <w:pPr>
              <w:pStyle w:val="Compact"/>
              <w:jc w:val="left"/>
            </w:pPr>
            <w:r>
              <w:rPr>
                <w:bCs/>
                <w:b/>
              </w:rPr>
              <w:t xml:space="preserve">Total</w:t>
            </w:r>
          </w:p>
        </w:tc>
        <w:tc>
          <w:tcPr/>
          <w:p>
            <w:pPr>
              <w:pStyle w:val="Compact"/>
            </w:pPr>
          </w:p>
        </w:tc>
        <w:tc>
          <w:tcPr/>
          <w:p>
            <w:pPr>
              <w:pStyle w:val="Compact"/>
            </w:pPr>
          </w:p>
        </w:tc>
        <w:tc>
          <w:tcPr/>
          <w:p>
            <w:pPr>
              <w:pStyle w:val="Compact"/>
              <w:jc w:val="right"/>
            </w:pPr>
            <w:r>
              <w:rPr>
                <w:bCs/>
                <w:b/>
              </w:rPr>
              <w:t xml:space="preserve">320</w:t>
            </w:r>
          </w:p>
        </w:tc>
        <w:tc>
          <w:tcPr/>
          <w:p>
            <w:pPr>
              <w:pStyle w:val="Compact"/>
              <w:jc w:val="right"/>
            </w:pPr>
            <w:r>
              <w:t xml:space="preserve">—</w:t>
            </w:r>
          </w:p>
        </w:tc>
      </w:tr>
    </w:tbl>
    <w:p>
      <w:pPr>
        <w:pStyle w:val="BodyText"/>
      </w:pPr>
      <w:r>
        <w:rPr>
          <w:bCs/>
          <w:b/>
        </w:rPr>
        <w:t xml:space="preserve">Retrieval cap.</w:t>
      </w:r>
      <w:r>
        <w:t xml:space="preserve"> </w:t>
      </w:r>
      <w:r>
        <w:t xml:space="preserve">Only the relevance-ranked top of each query was screened: 24–25 records per page, the maximum the tool returned. The index estimates show that far more records matched the query terms. This cap is a deliberate feasibility decision, consistent with the protocol’s instruction not to screen thousands of records manually. It is also the review’s largest search limitation (Section 2.13.4). The stopping rule, the tool’s handling of each string, and a one-off pilot probe that is not counted are all documented in the search record.</w:t>
      </w:r>
    </w:p>
    <w:bookmarkEnd w:id="39"/>
    <w:bookmarkStart w:id="40" w:name="eligibility-criteria"/>
    <w:p>
      <w:pPr>
        <w:pStyle w:val="Heading3"/>
      </w:pPr>
      <w:r>
        <w:t xml:space="preserve">2.2.4 Eligibility criteria</w:t>
      </w:r>
    </w:p>
    <w:p>
      <w:pPr>
        <w:pStyle w:val="FirstParagraph"/>
      </w:pPr>
      <w:r>
        <w:t xml:space="preserve">A study was included when it satisfied all six criteria.</w:t>
      </w:r>
    </w:p>
    <w:p>
      <w:pPr>
        <w:numPr>
          <w:ilvl w:val="0"/>
          <w:numId w:val="1027"/>
        </w:numPr>
        <w:pStyle w:val="Compact"/>
      </w:pPr>
      <w:r>
        <w:rPr>
          <w:bCs/>
          <w:b/>
        </w:rPr>
        <w:t xml:space="preserve">I1 — Population.</w:t>
      </w:r>
      <w:r>
        <w:t xml:space="preserve"> </w:t>
      </w:r>
      <w:r>
        <w:t xml:space="preserve">The study addresses AI or LLM agents, tool-using agents or agentic systems.</w:t>
      </w:r>
      <w:r>
        <w:t xml:space="preserve"> </w:t>
      </w:r>
      <w:r>
        <w:rPr>
          <w:iCs/>
          <w:i/>
        </w:rPr>
        <w:t xml:space="preserve">Operational clarification, fixed before eligibility assessment:</w:t>
      </w:r>
      <w:r>
        <w:t xml:space="preserve"> </w:t>
      </w:r>
      <w:r>
        <w:t xml:space="preserve">LLM-integrated applications that ingest untrusted third-party content were counted as satisfying I1 when the attack or defense applies to the agent’s input channel, because indirect injection against agents originates in that setting. Studies whose threat is specific to inter-agent communication in multi-agent systems were treated as outside the review population, which is single tool-using agents.</w:t>
      </w:r>
    </w:p>
    <w:p>
      <w:pPr>
        <w:numPr>
          <w:ilvl w:val="0"/>
          <w:numId w:val="1027"/>
        </w:numPr>
        <w:pStyle w:val="Compact"/>
      </w:pPr>
      <w:r>
        <w:rPr>
          <w:bCs/>
          <w:b/>
        </w:rPr>
        <w:t xml:space="preserve">I2 — Problem.</w:t>
      </w:r>
      <w:r>
        <w:t xml:space="preserve"> </w:t>
      </w:r>
      <w:r>
        <w:t xml:space="preserve">The study addresses a security, safety, robustness, monitoring or misuse problem.</w:t>
      </w:r>
    </w:p>
    <w:p>
      <w:pPr>
        <w:numPr>
          <w:ilvl w:val="0"/>
          <w:numId w:val="1027"/>
        </w:numPr>
        <w:pStyle w:val="Compact"/>
      </w:pPr>
      <w:r>
        <w:rPr>
          <w:bCs/>
          <w:b/>
        </w:rPr>
        <w:t xml:space="preserve">I3 — Contribution.</w:t>
      </w:r>
      <w:r>
        <w:t xml:space="preserve"> </w:t>
      </w:r>
      <w:r>
        <w:t xml:space="preserve">The study contains a substantive technical method, benchmark, empirical evaluation or analytical contribution. Position papers qualified only if they supplied a formal framework, a system design, or an empirical analysis of primary data. Argument-only position papers did not qualify.</w:t>
      </w:r>
    </w:p>
    <w:p>
      <w:pPr>
        <w:numPr>
          <w:ilvl w:val="0"/>
          <w:numId w:val="1027"/>
        </w:numPr>
        <w:pStyle w:val="Compact"/>
      </w:pPr>
      <w:r>
        <w:rPr>
          <w:bCs/>
          <w:b/>
        </w:rPr>
        <w:t xml:space="preserve">I4 — Relevance.</w:t>
      </w:r>
      <w:r>
        <w:t xml:space="preserve"> </w:t>
      </w:r>
      <w:r>
        <w:t xml:space="preserve">The study directly informs at least one REM-relevant dimension: input or context security, runtime monitoring, behavioral analysis, action or tool monitoring, provenance, decision, mitigation, or financial execution security.</w:t>
      </w:r>
    </w:p>
    <w:p>
      <w:pPr>
        <w:numPr>
          <w:ilvl w:val="0"/>
          <w:numId w:val="1027"/>
        </w:numPr>
        <w:pStyle w:val="Compact"/>
      </w:pPr>
      <w:r>
        <w:rPr>
          <w:bCs/>
          <w:b/>
        </w:rPr>
        <w:t xml:space="preserve">I5 — Extractability.</w:t>
      </w:r>
      <w:r>
        <w:t xml:space="preserve"> </w:t>
      </w:r>
      <w:r>
        <w:t xml:space="preserve">The study provides enough information to extract its relevant contribution.</w:t>
      </w:r>
    </w:p>
    <w:p>
      <w:pPr>
        <w:numPr>
          <w:ilvl w:val="0"/>
          <w:numId w:val="1027"/>
        </w:numPr>
        <w:pStyle w:val="Compact"/>
      </w:pPr>
      <w:r>
        <w:rPr>
          <w:bCs/>
          <w:b/>
        </w:rPr>
        <w:t xml:space="preserve">I6 — Period.</w:t>
      </w:r>
      <w:r>
        <w:t xml:space="preserve"> </w:t>
      </w:r>
      <w:r>
        <w:t xml:space="preserve">The study was published between January 2019 and 25 September 2026, or it is a necessary</w:t>
      </w:r>
      <w:r>
        <w:t xml:space="preserve"> </w:t>
      </w:r>
      <w:r>
        <w:rPr>
          <w:bCs/>
          <w:b/>
        </w:rPr>
        <w:t xml:space="preserve">FOUNDATIONAL SOURCE</w:t>
      </w:r>
      <w:r>
        <w:t xml:space="preserve">.</w:t>
      </w:r>
    </w:p>
    <w:p>
      <w:pPr>
        <w:pStyle w:val="FirstParagraph"/>
      </w:pPr>
      <w:r>
        <w:rPr>
          <w:bCs/>
          <w:b/>
        </w:rPr>
        <w:t xml:space="preserve">Exclusion labels.</w:t>
      </w:r>
      <w:r>
        <w:t xml:space="preserve"> </w:t>
      </w:r>
      <w:r>
        <w:t xml:space="preserve">Records were excluded with a standard label:</w:t>
      </w:r>
    </w:p>
    <w:p>
      <w:pPr>
        <w:numPr>
          <w:ilvl w:val="0"/>
          <w:numId w:val="1028"/>
        </w:numPr>
        <w:pStyle w:val="Compact"/>
      </w:pPr>
      <w:r>
        <w:t xml:space="preserve">wrong population/system;</w:t>
      </w:r>
    </w:p>
    <w:p>
      <w:pPr>
        <w:numPr>
          <w:ilvl w:val="0"/>
          <w:numId w:val="1028"/>
        </w:numPr>
        <w:pStyle w:val="Compact"/>
      </w:pPr>
      <w:r>
        <w:t xml:space="preserve">wrong threat;</w:t>
      </w:r>
    </w:p>
    <w:p>
      <w:pPr>
        <w:numPr>
          <w:ilvl w:val="0"/>
          <w:numId w:val="1028"/>
        </w:numPr>
        <w:pStyle w:val="Compact"/>
      </w:pPr>
      <w:r>
        <w:t xml:space="preserve">wrong outcome;</w:t>
      </w:r>
    </w:p>
    <w:p>
      <w:pPr>
        <w:numPr>
          <w:ilvl w:val="0"/>
          <w:numId w:val="1028"/>
        </w:numPr>
        <w:pStyle w:val="Compact"/>
      </w:pPr>
      <w:r>
        <w:t xml:space="preserve">insufficient technical evidence;</w:t>
      </w:r>
    </w:p>
    <w:p>
      <w:pPr>
        <w:numPr>
          <w:ilvl w:val="0"/>
          <w:numId w:val="1028"/>
        </w:numPr>
        <w:pStyle w:val="Compact"/>
      </w:pPr>
      <w:r>
        <w:t xml:space="preserve">duplicate;</w:t>
      </w:r>
    </w:p>
    <w:p>
      <w:pPr>
        <w:numPr>
          <w:ilvl w:val="0"/>
          <w:numId w:val="1028"/>
        </w:numPr>
        <w:pStyle w:val="Compact"/>
      </w:pPr>
      <w:r>
        <w:t xml:space="preserve">outside scope;</w:t>
      </w:r>
    </w:p>
    <w:p>
      <w:pPr>
        <w:numPr>
          <w:ilvl w:val="0"/>
          <w:numId w:val="1028"/>
        </w:numPr>
        <w:pStyle w:val="Compact"/>
      </w:pPr>
      <w:r>
        <w:t xml:space="preserve">inaccessible full text or insufficient information;</w:t>
      </w:r>
    </w:p>
    <w:p>
      <w:pPr>
        <w:numPr>
          <w:ilvl w:val="0"/>
          <w:numId w:val="1028"/>
        </w:numPr>
        <w:pStyle w:val="Compact"/>
      </w:pPr>
      <w:r>
        <w:t xml:space="preserve">secondary study (survey, review, SoK or tutorial);</w:t>
      </w:r>
    </w:p>
    <w:p>
      <w:pPr>
        <w:numPr>
          <w:ilvl w:val="0"/>
          <w:numId w:val="1028"/>
        </w:numPr>
        <w:pStyle w:val="Compact"/>
      </w:pPr>
      <w:r>
        <w:t xml:space="preserve">metadata conflict;</w:t>
      </w:r>
    </w:p>
    <w:p>
      <w:pPr>
        <w:numPr>
          <w:ilvl w:val="0"/>
          <w:numId w:val="1028"/>
        </w:numPr>
        <w:pStyle w:val="Compact"/>
      </w:pPr>
      <w:r>
        <w:t xml:space="preserve">withdrawn.</w:t>
      </w:r>
    </w:p>
    <w:p>
      <w:pPr>
        <w:pStyle w:val="FirstParagraph"/>
      </w:pPr>
      <w:r>
        <w:rPr>
          <w:bCs/>
          <w:b/>
        </w:rPr>
        <w:t xml:space="preserve">Secondary studies and methodological sources.</w:t>
      </w:r>
      <w:r>
        <w:t xml:space="preserve"> </w:t>
      </w:r>
      <w:r>
        <w:t xml:space="preserve">Secondary studies were not synthesized as primary evidence. Three of them, identified by the database search, are cited only as background: two definitional surveys and a finance SoK.</w:t>
      </w:r>
    </w:p>
    <w:p>
      <w:pPr>
        <w:pStyle w:val="BodyText"/>
      </w:pPr>
      <w:r>
        <w:t xml:space="preserve">Methodological sources that do not concern agents also fail I1. These are the statistical, calibration, change-detection, decision-theoretic and anomaly-detection sources, and they were admitted under the second clause of I6 as</w:t>
      </w:r>
      <w:r>
        <w:t xml:space="preserve"> </w:t>
      </w:r>
      <w:r>
        <w:rPr>
          <w:bCs/>
          <w:b/>
        </w:rPr>
        <w:t xml:space="preserve">FOUNDATIONAL SOURCES</w:t>
      </w:r>
      <w:r>
        <w:t xml:space="preserve">. Those published within the review period are labelled methodological sources. They support Section 2.8 and do not count as included studies.</w:t>
      </w:r>
    </w:p>
    <w:p>
      <w:pPr>
        <w:pStyle w:val="BodyText"/>
      </w:pPr>
      <w:r>
        <w:t xml:space="preserve">The prior-art studies named in the protocol were given no special route. Each of AgentTrust, NEXUS, ProvenanceGuard, FinHarness, AgentDojo, AgentHarm, Progent, AgentSpec, ShieldAgent, Task Shield, MELON, CaMeL and LlamaFirewall passed through the same criteria.</w:t>
      </w:r>
    </w:p>
    <w:bookmarkEnd w:id="40"/>
    <w:bookmarkStart w:id="44" w:name="study-selection"/>
    <w:p>
      <w:pPr>
        <w:pStyle w:val="Heading3"/>
      </w:pPr>
      <w:r>
        <w:t xml:space="preserve">2.2.5 Study selection</w:t>
      </w:r>
    </w:p>
    <w:p>
      <w:pPr>
        <w:pStyle w:val="FirstParagraph"/>
      </w:pPr>
      <w:r>
        <w:t xml:space="preserve">Selection had two stages, both carried out by a single reviewer.</w:t>
      </w:r>
    </w:p>
    <w:p>
      <w:pPr>
        <w:numPr>
          <w:ilvl w:val="0"/>
          <w:numId w:val="1029"/>
        </w:numPr>
        <w:pStyle w:val="Compact"/>
      </w:pPr>
      <w:r>
        <w:rPr>
          <w:bCs/>
          <w:b/>
        </w:rPr>
        <w:t xml:space="preserve">Title and abstract screening</w:t>
      </w:r>
      <w:r>
        <w:t xml:space="preserve"> </w:t>
      </w:r>
      <w:r>
        <w:t xml:space="preserve">of the 219 records that remained after automated deduplication. Records counted as duplicates when they shared a DOI or their normalized titles matched; this removed 101 of the 320 hits.</w:t>
      </w:r>
    </w:p>
    <w:p>
      <w:pPr>
        <w:numPr>
          <w:ilvl w:val="0"/>
          <w:numId w:val="1029"/>
        </w:numPr>
        <w:pStyle w:val="Compact"/>
      </w:pPr>
      <w:r>
        <w:rPr>
          <w:bCs/>
          <w:b/>
        </w:rPr>
        <w:t xml:space="preserve">Eligibility assessment</w:t>
      </w:r>
      <w:r>
        <w:t xml:space="preserve"> </w:t>
      </w:r>
      <w:r>
        <w:t xml:space="preserve">of the records that passed screening.</w:t>
      </w:r>
    </w:p>
    <w:p>
      <w:pPr>
        <w:pStyle w:val="FirstParagraph"/>
      </w:pPr>
      <w:r>
        <w:rPr>
          <w:bCs/>
          <w:b/>
        </w:rPr>
        <w:t xml:space="preserve">Full texts were not retrieved.</w:t>
      </w:r>
      <w:r>
        <w:t xml:space="preserve"> </w:t>
      </w:r>
      <w:r>
        <w:t xml:space="preserve">The network policy that blocked the databases also blocked publisher and preprint servers. All 104 reports sought for retrieval (45 database, 59 other-methods) were therefore</w:t>
      </w:r>
      <w:r>
        <w:t xml:space="preserve"> </w:t>
      </w:r>
      <w:r>
        <w:rPr>
          <w:iCs/>
          <w:i/>
        </w:rPr>
        <w:t xml:space="preserve">not retrieved</w:t>
      </w:r>
      <w:r>
        <w:t xml:space="preserve">, and eligibility was assessed on</w:t>
      </w:r>
      <w:r>
        <w:t xml:space="preserve"> </w:t>
      </w:r>
      <w:r>
        <w:rPr>
          <w:bCs/>
          <w:b/>
        </w:rPr>
        <w:t xml:space="preserve">records</w:t>
      </w:r>
      <w:r>
        <w:t xml:space="preserve">: title, abstract, indexed metadata, Crossref metadata and, for two records without an indexed abstract (VIGIL and R-Judge), the abstract text returned by a web search. PRISMA 2020 distinguishes records, reports and studies; in this review each included study is represented by a single index record, and no full-text report was assessed. This departure from standard practice is shown in the PRISMA flow diagram (Figure 2.1). A supplementary check on 28 October 2026 (Section 2.13.4) re-examined the records of the closest studies; it did not add full texts.</w:t>
      </w:r>
    </w:p>
    <w:p>
      <w:pPr>
        <w:pStyle w:val="BodyText"/>
      </w:pPr>
      <w:r>
        <w:rPr>
          <w:bCs/>
          <w:b/>
        </w:rPr>
        <w:t xml:space="preserve">Other-methods stream.</w:t>
      </w:r>
      <w:r>
        <w:t xml:space="preserve"> </w:t>
      </w:r>
      <w:r>
        <w:t xml:space="preserve">The 70 other-methods records were assessed in the same way against the prior verification record. Eleven were the same study as a database record and were counted once.</w:t>
      </w:r>
    </w:p>
    <w:p>
      <w:pPr>
        <w:pStyle w:val="BodyText"/>
      </w:pPr>
      <w:r>
        <w:rPr>
          <w:bCs/>
          <w:b/>
        </w:rPr>
        <w:t xml:space="preserve">Screening log.</w:t>
      </w:r>
      <w:r>
        <w:t xml:space="preserve"> </w:t>
      </w:r>
      <w:r>
        <w:t xml:space="preserve">Every decision, with its reason, is in</w:t>
      </w:r>
      <w:r>
        <w:t xml:space="preserve"> </w:t>
      </w:r>
      <w:r>
        <w:rPr>
          <w:rStyle w:val="VerbatimChar"/>
        </w:rPr>
        <w:t xml:space="preserve">CHAPTER2_SCREENING_LOG.csv</w:t>
      </w:r>
      <w:r>
        <w:t xml:space="preserve">.</w:t>
      </w:r>
    </w:p>
    <w:p>
      <w:pPr>
        <w:pStyle w:val="BodyText"/>
      </w:pPr>
      <w:r>
        <w:rPr>
          <w:bCs/>
          <w:b/>
        </w:rPr>
        <w:t xml:space="preserve">Table 2.2. Study selection (counts computed from the screening log)</w:t>
      </w:r>
    </w:p>
    <w:tbl>
      <w:tblPr>
        <w:tblStyle w:val="Table"/>
        <w:tblW w:type="pct" w:w="5000"/>
        <w:tblLook w:firstRow="1" w:lastRow="0" w:firstColumn="0" w:lastColumn="0" w:noHBand="0" w:noVBand="0" w:val="0020"/>
        <w:jc w:val="start"/>
      </w:tblPr>
      <w:tblGrid>
        <w:gridCol w:w="1697"/>
        <w:gridCol w:w="1697"/>
        <w:gridCol w:w="2262"/>
        <w:gridCol w:w="2262"/>
      </w:tblGrid>
      <w:tr>
        <w:trPr>
          <w:tblHeader w:val="true"/>
        </w:trPr>
        <w:tc>
          <w:tcPr/>
          <w:p>
            <w:pPr>
              <w:pStyle w:val="Compact"/>
              <w:jc w:val="left"/>
            </w:pPr>
            <w:r>
              <w:t xml:space="preserve">Stage</w:t>
            </w:r>
          </w:p>
        </w:tc>
        <w:tc>
          <w:tcPr/>
          <w:p>
            <w:pPr>
              <w:pStyle w:val="Compact"/>
              <w:jc w:val="left"/>
            </w:pPr>
            <w:r>
              <w:t xml:space="preserve">Unit</w:t>
            </w:r>
          </w:p>
        </w:tc>
        <w:tc>
          <w:tcPr/>
          <w:p>
            <w:pPr>
              <w:pStyle w:val="Compact"/>
              <w:jc w:val="right"/>
            </w:pPr>
            <w:r>
              <w:t xml:space="preserve">Databases (OpenAlex)</w:t>
            </w:r>
          </w:p>
        </w:tc>
        <w:tc>
          <w:tcPr/>
          <w:p>
            <w:pPr>
              <w:pStyle w:val="Compact"/>
              <w:jc w:val="right"/>
            </w:pPr>
            <w:r>
              <w:t xml:space="preserve">Other methods</w:t>
            </w:r>
          </w:p>
        </w:tc>
      </w:tr>
      <w:tr>
        <w:tc>
          <w:tcPr/>
          <w:p>
            <w:pPr>
              <w:pStyle w:val="Compact"/>
              <w:jc w:val="left"/>
            </w:pPr>
            <w:r>
              <w:t xml:space="preserve">Identified</w:t>
            </w:r>
          </w:p>
        </w:tc>
        <w:tc>
          <w:tcPr/>
          <w:p>
            <w:pPr>
              <w:pStyle w:val="Compact"/>
              <w:jc w:val="left"/>
            </w:pPr>
            <w:r>
              <w:t xml:space="preserve">records</w:t>
            </w:r>
          </w:p>
        </w:tc>
        <w:tc>
          <w:tcPr/>
          <w:p>
            <w:pPr>
              <w:pStyle w:val="Compact"/>
              <w:jc w:val="right"/>
            </w:pPr>
            <w:r>
              <w:t xml:space="preserve">320</w:t>
            </w:r>
          </w:p>
        </w:tc>
        <w:tc>
          <w:tcPr/>
          <w:p>
            <w:pPr>
              <w:pStyle w:val="Compact"/>
              <w:jc w:val="right"/>
            </w:pPr>
            <w:r>
              <w:t xml:space="preserve">70</w:t>
            </w:r>
          </w:p>
        </w:tc>
      </w:tr>
      <w:tr>
        <w:tc>
          <w:tcPr/>
          <w:p>
            <w:pPr>
              <w:pStyle w:val="Compact"/>
              <w:jc w:val="left"/>
            </w:pPr>
            <w:r>
              <w:t xml:space="preserve">Removed before screening (duplicates; same study as a database record)</w:t>
            </w:r>
          </w:p>
        </w:tc>
        <w:tc>
          <w:tcPr/>
          <w:p>
            <w:pPr>
              <w:pStyle w:val="Compact"/>
              <w:jc w:val="left"/>
            </w:pPr>
            <w:r>
              <w:t xml:space="preserve">records</w:t>
            </w:r>
          </w:p>
        </w:tc>
        <w:tc>
          <w:tcPr/>
          <w:p>
            <w:pPr>
              <w:pStyle w:val="Compact"/>
              <w:jc w:val="right"/>
            </w:pPr>
            <w:r>
              <w:t xml:space="preserve">101</w:t>
            </w:r>
          </w:p>
        </w:tc>
        <w:tc>
          <w:tcPr/>
          <w:p>
            <w:pPr>
              <w:pStyle w:val="Compact"/>
              <w:jc w:val="right"/>
            </w:pPr>
            <w:r>
              <w:t xml:space="preserve">11</w:t>
            </w:r>
          </w:p>
        </w:tc>
      </w:tr>
      <w:tr>
        <w:tc>
          <w:tcPr/>
          <w:p>
            <w:pPr>
              <w:pStyle w:val="Compact"/>
              <w:jc w:val="left"/>
            </w:pPr>
            <w:r>
              <w:t xml:space="preserve">Screened (title/abstract)</w:t>
            </w:r>
          </w:p>
        </w:tc>
        <w:tc>
          <w:tcPr/>
          <w:p>
            <w:pPr>
              <w:pStyle w:val="Compact"/>
              <w:jc w:val="left"/>
            </w:pPr>
            <w:r>
              <w:t xml:space="preserve">records</w:t>
            </w:r>
          </w:p>
        </w:tc>
        <w:tc>
          <w:tcPr/>
          <w:p>
            <w:pPr>
              <w:pStyle w:val="Compact"/>
              <w:jc w:val="right"/>
            </w:pPr>
            <w:r>
              <w:t xml:space="preserve">219</w:t>
            </w:r>
          </w:p>
        </w:tc>
        <w:tc>
          <w:tcPr/>
          <w:p>
            <w:pPr>
              <w:pStyle w:val="Compact"/>
              <w:jc w:val="right"/>
            </w:pPr>
            <w:r>
              <w:t xml:space="preserve">—</w:t>
            </w:r>
          </w:p>
        </w:tc>
      </w:tr>
      <w:tr>
        <w:tc>
          <w:tcPr/>
          <w:p>
            <w:pPr>
              <w:pStyle w:val="Compact"/>
              <w:jc w:val="left"/>
            </w:pPr>
            <w:r>
              <w:t xml:space="preserve">Excluded at screening</w:t>
            </w:r>
          </w:p>
        </w:tc>
        <w:tc>
          <w:tcPr/>
          <w:p>
            <w:pPr>
              <w:pStyle w:val="Compact"/>
              <w:jc w:val="left"/>
            </w:pPr>
            <w:r>
              <w:t xml:space="preserve">records</w:t>
            </w:r>
          </w:p>
        </w:tc>
        <w:tc>
          <w:tcPr/>
          <w:p>
            <w:pPr>
              <w:pStyle w:val="Compact"/>
              <w:jc w:val="right"/>
            </w:pPr>
            <w:r>
              <w:t xml:space="preserve">174</w:t>
            </w:r>
          </w:p>
        </w:tc>
        <w:tc>
          <w:tcPr/>
          <w:p>
            <w:pPr>
              <w:pStyle w:val="Compact"/>
              <w:jc w:val="right"/>
            </w:pPr>
            <w:r>
              <w:t xml:space="preserve">—</w:t>
            </w:r>
          </w:p>
        </w:tc>
      </w:tr>
      <w:tr>
        <w:tc>
          <w:tcPr/>
          <w:p>
            <w:pPr>
              <w:pStyle w:val="Compact"/>
              <w:jc w:val="left"/>
            </w:pPr>
            <w:r>
              <w:t xml:space="preserve">Sought for retrieval (full text)</w:t>
            </w:r>
          </w:p>
        </w:tc>
        <w:tc>
          <w:tcPr/>
          <w:p>
            <w:pPr>
              <w:pStyle w:val="Compact"/>
              <w:jc w:val="left"/>
            </w:pPr>
            <w:r>
              <w:t xml:space="preserve">reports</w:t>
            </w:r>
          </w:p>
        </w:tc>
        <w:tc>
          <w:tcPr/>
          <w:p>
            <w:pPr>
              <w:pStyle w:val="Compact"/>
              <w:jc w:val="right"/>
            </w:pPr>
            <w:r>
              <w:t xml:space="preserve">45</w:t>
            </w:r>
          </w:p>
        </w:tc>
        <w:tc>
          <w:tcPr/>
          <w:p>
            <w:pPr>
              <w:pStyle w:val="Compact"/>
              <w:jc w:val="right"/>
            </w:pPr>
            <w:r>
              <w:t xml:space="preserve">59</w:t>
            </w:r>
          </w:p>
        </w:tc>
      </w:tr>
      <w:tr>
        <w:tc>
          <w:tcPr/>
          <w:p>
            <w:pPr>
              <w:pStyle w:val="Compact"/>
              <w:jc w:val="left"/>
            </w:pPr>
            <w:r>
              <w:rPr>
                <w:bCs/>
                <w:b/>
              </w:rPr>
              <w:t xml:space="preserve">Not retrieved</w:t>
            </w:r>
            <w:r>
              <w:t xml:space="preserve"> </w:t>
            </w:r>
            <w:r>
              <w:t xml:space="preserve">(network policy)</w:t>
            </w:r>
          </w:p>
        </w:tc>
        <w:tc>
          <w:tcPr/>
          <w:p>
            <w:pPr>
              <w:pStyle w:val="Compact"/>
              <w:jc w:val="left"/>
            </w:pPr>
            <w:r>
              <w:t xml:space="preserve">reports</w:t>
            </w:r>
          </w:p>
        </w:tc>
        <w:tc>
          <w:tcPr/>
          <w:p>
            <w:pPr>
              <w:pStyle w:val="Compact"/>
              <w:jc w:val="right"/>
            </w:pPr>
            <w:r>
              <w:rPr>
                <w:bCs/>
                <w:b/>
              </w:rPr>
              <w:t xml:space="preserve">45</w:t>
            </w:r>
          </w:p>
        </w:tc>
        <w:tc>
          <w:tcPr/>
          <w:p>
            <w:pPr>
              <w:pStyle w:val="Compact"/>
              <w:jc w:val="right"/>
            </w:pPr>
            <w:r>
              <w:rPr>
                <w:bCs/>
                <w:b/>
              </w:rPr>
              <w:t xml:space="preserve">59</w:t>
            </w:r>
          </w:p>
        </w:tc>
      </w:tr>
      <w:tr>
        <w:tc>
          <w:tcPr/>
          <w:p>
            <w:pPr>
              <w:pStyle w:val="Compact"/>
              <w:jc w:val="left"/>
            </w:pPr>
            <w:r>
              <w:t xml:space="preserve">Assessed for eligibility</w:t>
            </w:r>
            <w:r>
              <w:t xml:space="preserve"> </w:t>
            </w:r>
            <w:r>
              <w:rPr>
                <w:bCs/>
                <w:b/>
              </w:rPr>
              <w:t xml:space="preserve">at record level</w:t>
            </w:r>
            <w:r>
              <w:t xml:space="preserve"> </w:t>
            </w:r>
            <w:r>
              <w:t xml:space="preserve">(no full-text report available)</w:t>
            </w:r>
          </w:p>
        </w:tc>
        <w:tc>
          <w:tcPr/>
          <w:p>
            <w:pPr>
              <w:pStyle w:val="Compact"/>
              <w:jc w:val="left"/>
            </w:pPr>
            <w:r>
              <w:t xml:space="preserve">records</w:t>
            </w:r>
          </w:p>
        </w:tc>
        <w:tc>
          <w:tcPr/>
          <w:p>
            <w:pPr>
              <w:pStyle w:val="Compact"/>
              <w:jc w:val="right"/>
            </w:pPr>
            <w:r>
              <w:t xml:space="preserve">45</w:t>
            </w:r>
          </w:p>
        </w:tc>
        <w:tc>
          <w:tcPr/>
          <w:p>
            <w:pPr>
              <w:pStyle w:val="Compact"/>
              <w:jc w:val="right"/>
            </w:pPr>
            <w:r>
              <w:t xml:space="preserve">59</w:t>
            </w:r>
          </w:p>
        </w:tc>
      </w:tr>
      <w:tr>
        <w:tc>
          <w:tcPr/>
          <w:p>
            <w:pPr>
              <w:pStyle w:val="Compact"/>
              <w:jc w:val="left"/>
            </w:pPr>
            <w:r>
              <w:t xml:space="preserve">Excluded at eligibility</w:t>
            </w:r>
          </w:p>
        </w:tc>
        <w:tc>
          <w:tcPr/>
          <w:p>
            <w:pPr>
              <w:pStyle w:val="Compact"/>
              <w:jc w:val="left"/>
            </w:pPr>
            <w:r>
              <w:t xml:space="preserve">records</w:t>
            </w:r>
          </w:p>
        </w:tc>
        <w:tc>
          <w:tcPr/>
          <w:p>
            <w:pPr>
              <w:pStyle w:val="Compact"/>
              <w:jc w:val="right"/>
            </w:pPr>
            <w:r>
              <w:t xml:space="preserve">5</w:t>
            </w:r>
          </w:p>
        </w:tc>
        <w:tc>
          <w:tcPr/>
          <w:p>
            <w:pPr>
              <w:pStyle w:val="Compact"/>
              <w:jc w:val="right"/>
            </w:pPr>
            <w:r>
              <w:t xml:space="preserve">28 (6 background, 21 foundational/methodological, 1 withdrawn)</w:t>
            </w:r>
          </w:p>
        </w:tc>
      </w:tr>
      <w:tr>
        <w:tc>
          <w:tcPr/>
          <w:p>
            <w:pPr>
              <w:pStyle w:val="Compact"/>
              <w:jc w:val="left"/>
            </w:pPr>
            <w:r>
              <w:rPr>
                <w:bCs/>
                <w:b/>
              </w:rPr>
              <w:t xml:space="preserve">Included</w:t>
            </w:r>
          </w:p>
        </w:tc>
        <w:tc>
          <w:tcPr/>
          <w:p>
            <w:pPr>
              <w:pStyle w:val="Compact"/>
              <w:jc w:val="left"/>
            </w:pPr>
            <w:r>
              <w:rPr>
                <w:bCs/>
                <w:b/>
              </w:rPr>
              <w:t xml:space="preserve">studies</w:t>
            </w:r>
          </w:p>
        </w:tc>
        <w:tc>
          <w:tcPr/>
          <w:p>
            <w:pPr>
              <w:pStyle w:val="Compact"/>
              <w:jc w:val="right"/>
            </w:pPr>
            <w:r>
              <w:rPr>
                <w:bCs/>
                <w:b/>
              </w:rPr>
              <w:t xml:space="preserve">40</w:t>
            </w:r>
          </w:p>
        </w:tc>
        <w:tc>
          <w:tcPr/>
          <w:p>
            <w:pPr>
              <w:pStyle w:val="Compact"/>
              <w:jc w:val="right"/>
            </w:pPr>
            <w:r>
              <w:rPr>
                <w:bCs/>
                <w:b/>
              </w:rPr>
              <w:t xml:space="preserve">31</w:t>
            </w:r>
          </w:p>
        </w:tc>
      </w:tr>
      <w:tr>
        <w:tc>
          <w:tcPr/>
          <w:p>
            <w:pPr>
              <w:pStyle w:val="Compact"/>
              <w:jc w:val="left"/>
            </w:pPr>
            <w:r>
              <w:rPr>
                <w:bCs/>
                <w:b/>
              </w:rPr>
              <w:t xml:space="preserve">Total included studies</w:t>
            </w:r>
            <w:r>
              <w:t xml:space="preserve"> </w:t>
            </w:r>
            <w:r>
              <w:t xml:space="preserve">(each represented by its index record)</w:t>
            </w:r>
          </w:p>
        </w:tc>
        <w:tc>
          <w:tcPr/>
          <w:p>
            <w:pPr>
              <w:pStyle w:val="Compact"/>
              <w:jc w:val="left"/>
            </w:pPr>
            <w:r>
              <w:t xml:space="preserve">studies</w:t>
            </w:r>
          </w:p>
        </w:tc>
        <w:tc>
          <w:tcPr/>
          <w:p>
            <w:pPr>
              <w:pStyle w:val="Compact"/>
              <w:jc w:val="right"/>
            </w:pPr>
            <w:r>
              <w:rPr>
                <w:bCs/>
                <w:b/>
              </w:rPr>
              <w:t xml:space="preserve">71</w:t>
            </w:r>
          </w:p>
        </w:tc>
        <w:tc>
          <w:tcPr/>
          <w:p>
            <w:pPr>
              <w:pStyle w:val="Compact"/>
            </w:pPr>
          </w:p>
        </w:tc>
      </w:tr>
    </w:tbl>
    <w:p>
      <w:pPr>
        <w:pStyle w:val="BodyText"/>
      </w:pPr>
      <w:r>
        <w:rPr>
          <w:bCs/>
          <w:b/>
        </w:rPr>
        <w:t xml:space="preserve">Exclusions at screening.</w:t>
      </w:r>
      <w:r>
        <w:t xml:space="preserve"> </w:t>
      </w:r>
      <w:r>
        <w:t xml:space="preserve">The 174 records excluded at screening break down as follows:</w:t>
      </w:r>
    </w:p>
    <w:p>
      <w:pPr>
        <w:numPr>
          <w:ilvl w:val="0"/>
          <w:numId w:val="1030"/>
        </w:numPr>
        <w:pStyle w:val="Compact"/>
      </w:pPr>
      <w:r>
        <w:t xml:space="preserve">81 outside scope;</w:t>
      </w:r>
    </w:p>
    <w:p>
      <w:pPr>
        <w:numPr>
          <w:ilvl w:val="0"/>
          <w:numId w:val="1030"/>
        </w:numPr>
        <w:pStyle w:val="Compact"/>
      </w:pPr>
      <w:r>
        <w:t xml:space="preserve">71 secondary studies;</w:t>
      </w:r>
    </w:p>
    <w:p>
      <w:pPr>
        <w:numPr>
          <w:ilvl w:val="0"/>
          <w:numId w:val="1030"/>
        </w:numPr>
        <w:pStyle w:val="Compact"/>
      </w:pPr>
      <w:r>
        <w:t xml:space="preserve">7 multi-agent-channel studies;</w:t>
      </w:r>
    </w:p>
    <w:p>
      <w:pPr>
        <w:numPr>
          <w:ilvl w:val="0"/>
          <w:numId w:val="1030"/>
        </w:numPr>
        <w:pStyle w:val="Compact"/>
      </w:pPr>
      <w:r>
        <w:t xml:space="preserve">7 wrong threat;</w:t>
      </w:r>
    </w:p>
    <w:p>
      <w:pPr>
        <w:numPr>
          <w:ilvl w:val="0"/>
          <w:numId w:val="1030"/>
        </w:numPr>
        <w:pStyle w:val="Compact"/>
      </w:pPr>
      <w:r>
        <w:t xml:space="preserve">4 wrong population;</w:t>
      </w:r>
    </w:p>
    <w:p>
      <w:pPr>
        <w:numPr>
          <w:ilvl w:val="0"/>
          <w:numId w:val="1030"/>
        </w:numPr>
        <w:pStyle w:val="Compact"/>
      </w:pPr>
      <w:r>
        <w:t xml:space="preserve">2 official reports;</w:t>
      </w:r>
    </w:p>
    <w:p>
      <w:pPr>
        <w:numPr>
          <w:ilvl w:val="0"/>
          <w:numId w:val="1030"/>
        </w:numPr>
        <w:pStyle w:val="Compact"/>
      </w:pPr>
      <w:r>
        <w:t xml:space="preserve">1 wrong outcome;</w:t>
      </w:r>
    </w:p>
    <w:p>
      <w:pPr>
        <w:numPr>
          <w:ilvl w:val="0"/>
          <w:numId w:val="1030"/>
        </w:numPr>
        <w:pStyle w:val="Compact"/>
      </w:pPr>
      <w:r>
        <w:t xml:space="preserve">1 duplicate.</w:t>
      </w:r>
    </w:p>
    <w:p>
      <w:pPr>
        <w:pStyle w:val="FirstParagraph"/>
      </w:pPr>
      <w:r>
        <w:rPr>
          <w:bCs/>
          <w:b/>
        </w:rPr>
        <w:t xml:space="preserve">Exclusions at eligibility.</w:t>
      </w:r>
      <w:r>
        <w:t xml:space="preserve"> </w:t>
      </w:r>
      <w:r>
        <w:t xml:space="preserve">Five records passed screening but were excluded at eligibility:</w:t>
      </w:r>
    </w:p>
    <w:p>
      <w:pPr>
        <w:numPr>
          <w:ilvl w:val="0"/>
          <w:numId w:val="1031"/>
        </w:numPr>
        <w:pStyle w:val="Compact"/>
      </w:pPr>
      <w:r>
        <w:t xml:space="preserve">a retrieval-augmented question-answering system without tool actions (wrong population/system);</w:t>
      </w:r>
    </w:p>
    <w:p>
      <w:pPr>
        <w:numPr>
          <w:ilvl w:val="0"/>
          <w:numId w:val="1031"/>
        </w:numPr>
        <w:pStyle w:val="Compact"/>
      </w:pPr>
      <w:r>
        <w:t xml:space="preserve">a record whose index metadata attached AgentDojo’s DOI and authors to an unrelated abstract (metadata conflict);</w:t>
      </w:r>
    </w:p>
    <w:p>
      <w:pPr>
        <w:numPr>
          <w:ilvl w:val="0"/>
          <w:numId w:val="1031"/>
        </w:numPr>
        <w:pStyle w:val="Compact"/>
      </w:pPr>
      <w:r>
        <w:t xml:space="preserve">an argument-only position paper (insufficient technical evidence);</w:t>
      </w:r>
    </w:p>
    <w:p>
      <w:pPr>
        <w:numPr>
          <w:ilvl w:val="0"/>
          <w:numId w:val="1031"/>
        </w:numPr>
        <w:pStyle w:val="Compact"/>
      </w:pPr>
      <w:r>
        <w:t xml:space="preserve">an observability taxonomy without a security evaluation (wrong outcome);</w:t>
      </w:r>
    </w:p>
    <w:p>
      <w:pPr>
        <w:numPr>
          <w:ilvl w:val="0"/>
          <w:numId w:val="1031"/>
        </w:numPr>
        <w:pStyle w:val="Compact"/>
      </w:pPr>
      <w:r>
        <w:t xml:space="preserve">a record without an abstract (insufficient information).</w:t>
      </w:r>
    </w:p>
    <w:p>
      <w:pPr>
        <w:pStyle w:val="FirstParagraph"/>
      </w:pPr>
      <w:r>
        <w:rPr>
          <w:bCs/>
          <w:b/>
        </w:rPr>
        <w:t xml:space="preserve">Recall of the database search.</w:t>
      </w:r>
      <w:r>
        <w:t xml:space="preserve"> </w:t>
      </w:r>
      <w:r>
        <w:t xml:space="preserve">Of the thirteen named prior-art studies, the database search retrieved three: Task Shield, LlamaFirewall and, with corrupted metadata, AgentDojo. The other ten entered through the other-methods stream. This low recall of known relevant studies is itself a finding about the search, discussed in Section 2.13.4.</w:t>
      </w:r>
    </w:p>
    <w:p>
      <w:pPr>
        <w:pStyle w:val="CaptionedFigure"/>
      </w:pPr>
      <w:r>
        <w:drawing>
          <wp:inline>
            <wp:extent cx="4693920" cy="5306170"/>
            <wp:effectExtent b="0" l="0" r="0" t="0"/>
            <wp:docPr descr="Figure 2.1. PRISMA 2020 flow diagram of the record-level review. Full-text reports were sought but not retrieved; eligibility was assessed on records. Counts are computed by script from the stored search output and the screening log." title="" id="42" name="Picture"/>
            <a:graphic>
              <a:graphicData uri="http://schemas.openxmlformats.org/drawingml/2006/picture">
                <pic:pic>
                  <pic:nvPicPr>
                    <pic:cNvPr descr="revision_R2/figures/fig2_1_prisma_r2.png" id="43" name="Picture"/>
                    <pic:cNvPicPr>
                      <a:picLocks noChangeArrowheads="1" noChangeAspect="1"/>
                    </pic:cNvPicPr>
                  </pic:nvPicPr>
                  <pic:blipFill>
                    <a:blip r:embed="rId41"/>
                    <a:stretch>
                      <a:fillRect/>
                    </a:stretch>
                  </pic:blipFill>
                  <pic:spPr bwMode="auto">
                    <a:xfrm>
                      <a:off x="0" y="0"/>
                      <a:ext cx="4693920" cy="5306170"/>
                    </a:xfrm>
                    <a:prstGeom prst="rect">
                      <a:avLst/>
                    </a:prstGeom>
                    <a:noFill/>
                    <a:ln w="9525">
                      <a:noFill/>
                      <a:headEnd/>
                      <a:tailEnd/>
                    </a:ln>
                  </pic:spPr>
                </pic:pic>
              </a:graphicData>
            </a:graphic>
          </wp:inline>
        </w:drawing>
      </w:r>
    </w:p>
    <w:p>
      <w:pPr>
        <w:pStyle w:val="ImageCaption"/>
      </w:pPr>
      <w:r>
        <w:t xml:space="preserve">Figure 2.1. PRISMA 2020 flow diagram of the record-level review. Full-text reports were sought but not retrieved; eligibility was assessed on records. Counts are computed by script from the stored search output and the screening log.</w:t>
      </w:r>
    </w:p>
    <w:bookmarkEnd w:id="44"/>
    <w:bookmarkStart w:id="45" w:name="quality-appraisal"/>
    <w:p>
      <w:pPr>
        <w:pStyle w:val="Heading3"/>
      </w:pPr>
      <w:r>
        <w:t xml:space="preserve">2.2.6 Quality appraisal</w:t>
      </w:r>
    </w:p>
    <w:p>
      <w:pPr>
        <w:pStyle w:val="FirstParagraph"/>
      </w:pPr>
      <w:r>
        <w:t xml:space="preserve">Every included study was appraised against the protocol’s ten-item checklist. The items ask whether the study reports:</w:t>
      </w:r>
    </w:p>
    <w:p>
      <w:pPr>
        <w:numPr>
          <w:ilvl w:val="0"/>
          <w:numId w:val="1032"/>
        </w:numPr>
        <w:pStyle w:val="Compact"/>
      </w:pPr>
      <w:r>
        <w:t xml:space="preserve">Q1 — its objective;</w:t>
      </w:r>
    </w:p>
    <w:p>
      <w:pPr>
        <w:numPr>
          <w:ilvl w:val="0"/>
          <w:numId w:val="1032"/>
        </w:numPr>
        <w:pStyle w:val="Compact"/>
      </w:pPr>
      <w:r>
        <w:t xml:space="preserve">Q2 — its threat model;</w:t>
      </w:r>
    </w:p>
    <w:p>
      <w:pPr>
        <w:numPr>
          <w:ilvl w:val="0"/>
          <w:numId w:val="1032"/>
        </w:numPr>
        <w:pStyle w:val="Compact"/>
      </w:pPr>
      <w:r>
        <w:t xml:space="preserve">Q3 — its method;</w:t>
      </w:r>
    </w:p>
    <w:p>
      <w:pPr>
        <w:numPr>
          <w:ilvl w:val="0"/>
          <w:numId w:val="1032"/>
        </w:numPr>
        <w:pStyle w:val="Compact"/>
      </w:pPr>
      <w:r>
        <w:t xml:space="preserve">Q4 — reproducibility;</w:t>
      </w:r>
    </w:p>
    <w:p>
      <w:pPr>
        <w:numPr>
          <w:ilvl w:val="0"/>
          <w:numId w:val="1032"/>
        </w:numPr>
        <w:pStyle w:val="Compact"/>
      </w:pPr>
      <w:r>
        <w:t xml:space="preserve">Q5 — its dataset or benchmark;</w:t>
      </w:r>
    </w:p>
    <w:p>
      <w:pPr>
        <w:numPr>
          <w:ilvl w:val="0"/>
          <w:numId w:val="1032"/>
        </w:numPr>
        <w:pStyle w:val="Compact"/>
      </w:pPr>
      <w:r>
        <w:t xml:space="preserve">Q6 — its metrics;</w:t>
      </w:r>
    </w:p>
    <w:p>
      <w:pPr>
        <w:numPr>
          <w:ilvl w:val="0"/>
          <w:numId w:val="1032"/>
        </w:numPr>
        <w:pStyle w:val="Compact"/>
      </w:pPr>
      <w:r>
        <w:t xml:space="preserve">Q7 — its comparators;</w:t>
      </w:r>
    </w:p>
    <w:p>
      <w:pPr>
        <w:numPr>
          <w:ilvl w:val="0"/>
          <w:numId w:val="1032"/>
        </w:numPr>
        <w:pStyle w:val="Compact"/>
      </w:pPr>
      <w:r>
        <w:t xml:space="preserve">Q8 — its limitations;</w:t>
      </w:r>
    </w:p>
    <w:p>
      <w:pPr>
        <w:numPr>
          <w:ilvl w:val="0"/>
          <w:numId w:val="1032"/>
        </w:numPr>
        <w:pStyle w:val="Compact"/>
      </w:pPr>
      <w:r>
        <w:t xml:space="preserve">Q9 — evidence for its quantitative claims;</w:t>
      </w:r>
    </w:p>
    <w:p>
      <w:pPr>
        <w:numPr>
          <w:ilvl w:val="0"/>
          <w:numId w:val="1032"/>
        </w:numPr>
        <w:pStyle w:val="Compact"/>
      </w:pPr>
      <w:r>
        <w:t xml:space="preserve">Q10 — peer-review status.</w:t>
      </w:r>
    </w:p>
    <w:p>
      <w:pPr>
        <w:pStyle w:val="FirstParagraph"/>
      </w:pPr>
      <w:r>
        <w:rPr>
          <w:bCs/>
          <w:b/>
        </w:rPr>
        <w:t xml:space="preserve">Codes.</w:t>
      </w:r>
      <w:r>
        <w:t xml:space="preserve"> </w:t>
      </w:r>
      <w:r>
        <w:t xml:space="preserve">Each item is coded Yes, No, Not Verified or Not Applicable. Q10 also has a</w:t>
      </w:r>
      <w:r>
        <w:t xml:space="preserve"> </w:t>
      </w:r>
      <w:r>
        <w:t xml:space="preserve">“</w:t>
      </w:r>
      <w:r>
        <w:t xml:space="preserve">preprint clearly labelled</w:t>
      </w:r>
      <w:r>
        <w:t xml:space="preserve">”</w:t>
      </w:r>
      <w:r>
        <w:t xml:space="preserve"> </w:t>
      </w:r>
      <w:r>
        <w:t xml:space="preserve">code.</w:t>
      </w:r>
    </w:p>
    <w:p>
      <w:pPr>
        <w:pStyle w:val="BodyText"/>
      </w:pPr>
      <w:r>
        <w:rPr>
          <w:bCs/>
          <w:b/>
        </w:rPr>
        <w:t xml:space="preserve">Categories.</w:t>
      </w:r>
      <w:r>
        <w:t xml:space="preserve"> </w:t>
      </w:r>
      <w:r>
        <w:t xml:space="preserve">No numeric score is computed. A fixed, published rule assigns each study to a category of</w:t>
      </w:r>
      <w:r>
        <w:t xml:space="preserve"> </w:t>
      </w:r>
      <w:r>
        <w:rPr>
          <w:bCs/>
          <w:b/>
        </w:rPr>
        <w:t xml:space="preserve">record-visible evidence</w:t>
      </w:r>
      <w:r>
        <w:t xml:space="preserve">:</w:t>
      </w:r>
    </w:p>
    <w:p>
      <w:pPr>
        <w:numPr>
          <w:ilvl w:val="0"/>
          <w:numId w:val="1033"/>
        </w:numPr>
        <w:pStyle w:val="Compact"/>
      </w:pPr>
      <w:r>
        <w:rPr>
          <w:bCs/>
          <w:b/>
        </w:rPr>
        <w:t xml:space="preserve">HIGH EVIDENCE:</w:t>
      </w:r>
      <w:r>
        <w:t xml:space="preserve"> </w:t>
      </w:r>
      <w:r>
        <w:t xml:space="preserve">peer reviewed, with benchmark, figures and comparator all reported in the record;</w:t>
      </w:r>
    </w:p>
    <w:p>
      <w:pPr>
        <w:numPr>
          <w:ilvl w:val="0"/>
          <w:numId w:val="1033"/>
        </w:numPr>
        <w:pStyle w:val="Compact"/>
      </w:pPr>
      <w:r>
        <w:rPr>
          <w:bCs/>
          <w:b/>
        </w:rPr>
        <w:t xml:space="preserve">MODERATE EVIDENCE:</w:t>
      </w:r>
      <w:r>
        <w:t xml:space="preserve"> </w:t>
      </w:r>
      <w:r>
        <w:t xml:space="preserve">quantitative results in a peer-reviewed or clearly labelled preprint record, or a peer-reviewed evaluation without verifiable figures;</w:t>
      </w:r>
    </w:p>
    <w:p>
      <w:pPr>
        <w:numPr>
          <w:ilvl w:val="0"/>
          <w:numId w:val="1033"/>
        </w:numPr>
        <w:pStyle w:val="Compact"/>
      </w:pPr>
      <w:r>
        <w:rPr>
          <w:bCs/>
          <w:b/>
        </w:rPr>
        <w:t xml:space="preserve">LIMITED EVIDENCE:</w:t>
      </w:r>
      <w:r>
        <w:t xml:space="preserve"> </w:t>
      </w:r>
      <w:r>
        <w:t xml:space="preserve">everything else.</w:t>
      </w:r>
    </w:p>
    <w:p>
      <w:pPr>
        <w:pStyle w:val="FirstParagraph"/>
      </w:pPr>
      <w:r>
        <w:t xml:space="preserve">These categories describe</w:t>
      </w:r>
      <w:r>
        <w:t xml:space="preserve"> </w:t>
      </w:r>
      <w:r>
        <w:rPr>
          <w:bCs/>
          <w:b/>
        </w:rPr>
        <w:t xml:space="preserve">how much evidence the record makes visible</w:t>
      </w:r>
      <w:r>
        <w:t xml:space="preserve">, which depends on how much information could be accessed. They are not a judgement of the study’s intrinsic quality: a rigorous study with a terse abstract can fall into LIMITED EVIDENCE, and a full-text appraisal could move it.</w:t>
      </w:r>
    </w:p>
    <w:p>
      <w:pPr>
        <w:pStyle w:val="BodyText"/>
      </w:pPr>
      <w:r>
        <w:rPr>
          <w:bCs/>
          <w:b/>
        </w:rPr>
        <w:t xml:space="preserve">Override.</w:t>
      </w:r>
      <w:r>
        <w:t xml:space="preserve"> </w:t>
      </w:r>
      <w:r>
        <w:t xml:space="preserve">One override is applied and documented. FinHarness is set to LIMITED EVIDENCE because all of its figures were measured on FinVault, whose preprint was recorded on 25 September 2026 as withdrawn by its authors with a comment citing legal, intellectual-property and affiliation reasons rather than a scientific error. The withdrawal does not show that FinHarness’s measurements are wrong; it means they cannot be confirmed against a publicly maintained benchmark. The override reflects confirmability, not invalidity (Section 2.10.2).</w:t>
      </w:r>
    </w:p>
    <w:p>
      <w:pPr>
        <w:pStyle w:val="BodyText"/>
      </w:pPr>
      <w:r>
        <w:rPr>
          <w:bCs/>
          <w:b/>
        </w:rPr>
        <w:t xml:space="preserve">Results.</w:t>
      </w:r>
      <w:r>
        <w:t xml:space="preserve"> </w:t>
      </w:r>
      <w:r>
        <w:t xml:space="preserve">Of the 71 included studies:</w:t>
      </w:r>
    </w:p>
    <w:p>
      <w:pPr>
        <w:numPr>
          <w:ilvl w:val="0"/>
          <w:numId w:val="1034"/>
        </w:numPr>
        <w:pStyle w:val="Compact"/>
      </w:pPr>
      <w:r>
        <w:t xml:space="preserve">10 are HIGH EVIDENCE, 36 MODERATE EVIDENCE and 25 LIMITED EVIDENCE;</w:t>
      </w:r>
    </w:p>
    <w:p>
      <w:pPr>
        <w:numPr>
          <w:ilvl w:val="0"/>
          <w:numId w:val="1034"/>
        </w:numPr>
        <w:pStyle w:val="Compact"/>
      </w:pPr>
      <w:r>
        <w:t xml:space="preserve">36 are peer reviewed and 35 are preprints or working papers;</w:t>
      </w:r>
    </w:p>
    <w:p>
      <w:pPr>
        <w:numPr>
          <w:ilvl w:val="0"/>
          <w:numId w:val="1034"/>
        </w:numPr>
        <w:pStyle w:val="Compact"/>
      </w:pPr>
      <w:r>
        <w:t xml:space="preserve">62 are RECORD-VERIFIED and 9 PARTLY UNVERIFIED. RECORD-VERIFIED means that the bibliographic metadata and the cited contribution were checked against the study’s index record (title, abstract, metadata); it does</w:t>
      </w:r>
      <w:r>
        <w:t xml:space="preserve"> </w:t>
      </w:r>
      <w:r>
        <w:rPr>
          <w:bCs/>
          <w:b/>
        </w:rPr>
        <w:t xml:space="preserve">not</w:t>
      </w:r>
      <w:r>
        <w:t xml:space="preserve"> </w:t>
      </w:r>
      <w:r>
        <w:t xml:space="preserve">mean that the full text was read. PARTLY UNVERIFIED means that at least one cited detail rests only on search-engine excerpts and is unverified.</w:t>
      </w:r>
    </w:p>
    <w:p>
      <w:pPr>
        <w:pStyle w:val="FirstParagraph"/>
      </w:pPr>
      <w:r>
        <w:rPr>
          <w:bCs/>
          <w:b/>
        </w:rPr>
        <w:t xml:space="preserve">Levels of claim verification.</w:t>
      </w:r>
      <w:r>
        <w:t xml:space="preserve"> </w:t>
      </w:r>
      <w:r>
        <w:t xml:space="preserve">Every claim this chapter makes about a study is at one of four levels: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Level</w:t>
            </w:r>
          </w:p>
        </w:tc>
        <w:tc>
          <w:tcPr/>
          <w:p>
            <w:pPr>
              <w:pStyle w:val="Compact"/>
              <w:jc w:val="left"/>
            </w:pPr>
            <w:r>
              <w:t xml:space="preserve">Meaning</w:t>
            </w:r>
          </w:p>
        </w:tc>
      </w:tr>
      <w:tr>
        <w:tc>
          <w:tcPr/>
          <w:p>
            <w:pPr>
              <w:pStyle w:val="Compact"/>
              <w:jc w:val="left"/>
            </w:pPr>
            <w:r>
              <w:rPr>
                <w:bCs/>
                <w:b/>
              </w:rPr>
              <w:t xml:space="preserve">M</w:t>
            </w:r>
            <w:r>
              <w:t xml:space="preserve"> </w:t>
            </w:r>
            <w:r>
              <w:t xml:space="preserve">— metadata verified</w:t>
            </w:r>
          </w:p>
        </w:tc>
        <w:tc>
          <w:tcPr/>
          <w:p>
            <w:pPr>
              <w:pStyle w:val="Compact"/>
              <w:jc w:val="left"/>
            </w:pPr>
            <w:r>
              <w:t xml:space="preserve">Title, authors, venue and year checked against Crossref or the index record</w:t>
            </w:r>
          </w:p>
        </w:tc>
      </w:tr>
      <w:tr>
        <w:tc>
          <w:tcPr/>
          <w:p>
            <w:pPr>
              <w:pStyle w:val="Compact"/>
              <w:jc w:val="left"/>
            </w:pPr>
            <w:r>
              <w:rPr>
                <w:bCs/>
                <w:b/>
              </w:rPr>
              <w:t xml:space="preserve">A</w:t>
            </w:r>
            <w:r>
              <w:t xml:space="preserve"> </w:t>
            </w:r>
            <w:r>
              <w:t xml:space="preserve">— abstract-supported</w:t>
            </w:r>
          </w:p>
        </w:tc>
        <w:tc>
          <w:tcPr/>
          <w:p>
            <w:pPr>
              <w:pStyle w:val="Compact"/>
              <w:jc w:val="left"/>
            </w:pPr>
            <w:r>
              <w:t xml:space="preserve">The claim is stated in the study’s abstract as indexed</w:t>
            </w:r>
          </w:p>
        </w:tc>
      </w:tr>
      <w:tr>
        <w:tc>
          <w:tcPr/>
          <w:p>
            <w:pPr>
              <w:pStyle w:val="Compact"/>
              <w:jc w:val="left"/>
            </w:pPr>
            <w:r>
              <w:rPr>
                <w:bCs/>
                <w:b/>
              </w:rPr>
              <w:t xml:space="preserve">F</w:t>
            </w:r>
            <w:r>
              <w:t xml:space="preserve"> </w:t>
            </w:r>
            <w:r>
              <w:t xml:space="preserve">— full-text verified</w:t>
            </w:r>
          </w:p>
        </w:tc>
        <w:tc>
          <w:tcPr/>
          <w:p>
            <w:pPr>
              <w:pStyle w:val="Compact"/>
              <w:jc w:val="left"/>
            </w:pPr>
            <w:r>
              <w:t xml:space="preserve">The claim was checked against the full text</w:t>
            </w:r>
          </w:p>
        </w:tc>
      </w:tr>
      <w:tr>
        <w:tc>
          <w:tcPr/>
          <w:p>
            <w:pPr>
              <w:pStyle w:val="Compact"/>
              <w:jc w:val="left"/>
            </w:pPr>
            <w:r>
              <w:rPr>
                <w:bCs/>
                <w:b/>
              </w:rPr>
              <w:t xml:space="preserve">U</w:t>
            </w:r>
            <w:r>
              <w:t xml:space="preserve"> </w:t>
            </w:r>
            <w:r>
              <w:t xml:space="preserve">— unverified</w:t>
            </w:r>
          </w:p>
        </w:tc>
        <w:tc>
          <w:tcPr/>
          <w:p>
            <w:pPr>
              <w:pStyle w:val="Compact"/>
              <w:jc w:val="left"/>
            </w:pPr>
            <w:r>
              <w:t xml:space="preserve">The claim rests on search-engine excerpts or an earlier reading that could not be reproduced</w:t>
            </w:r>
          </w:p>
        </w:tc>
      </w:tr>
    </w:tbl>
    <w:p>
      <w:pPr>
        <w:pStyle w:val="BodyText"/>
      </w:pPr>
      <w:r>
        <w:rPr>
          <w:bCs/>
          <w:b/>
        </w:rPr>
        <w:t xml:space="preserve">No claim in this chapter is at level F</w:t>
      </w:r>
      <w:r>
        <w:t xml:space="preserve">, because no full text was retrieved. Claims at level U are marked</w:t>
      </w:r>
      <w:r>
        <w:t xml:space="preserve"> </w:t>
      </w:r>
      <w:r>
        <w:t xml:space="preserve">“</w:t>
      </w:r>
      <w:r>
        <w:t xml:space="preserve">(unverified)</w:t>
      </w:r>
      <w:r>
        <w:t xml:space="preserve">”</w:t>
      </w:r>
      <w:r>
        <w:t xml:space="preserve"> </w:t>
      </w:r>
      <w:r>
        <w:t xml:space="preserve">where they are used.</w:t>
      </w:r>
    </w:p>
    <w:p>
      <w:pPr>
        <w:pStyle w:val="BodyText"/>
      </w:pPr>
      <w:r>
        <w:rPr>
          <w:bCs/>
          <w:b/>
        </w:rPr>
        <w:t xml:space="preserve">What the categories measure.</w:t>
      </w:r>
      <w:r>
        <w:t xml:space="preserve"> </w:t>
      </w:r>
      <w:r>
        <w:t xml:space="preserve">Because full texts were unavailable, the categories measure</w:t>
      </w:r>
      <w:r>
        <w:t xml:space="preserve"> </w:t>
      </w:r>
      <w:r>
        <w:rPr>
          <w:bCs/>
          <w:b/>
        </w:rPr>
        <w:t xml:space="preserve">how much of each study’s evidence could be verified from its record</w:t>
      </w:r>
      <w:r>
        <w:t xml:space="preserve">, not the study’s intrinsic quality (</w:t>
      </w:r>
      <w:r>
        <w:rPr>
          <w:rStyle w:val="VerbatimChar"/>
        </w:rPr>
        <w:t xml:space="preserve">CHAPTER2_QUALITY_APPRAISAL.md</w:t>
      </w:r>
      <w:r>
        <w:t xml:space="preserve">). Items that depend on the full text (Q4 reproducibility, Q7 comparators, Q8 limitations) are most often Not Verified.</w:t>
      </w:r>
    </w:p>
    <w:p>
      <w:pPr>
        <w:pStyle w:val="BodyText"/>
      </w:pPr>
      <w:r>
        <w:rPr>
          <w:bCs/>
          <w:b/>
        </w:rPr>
        <w:t xml:space="preserve">How the categories are used.</w:t>
      </w:r>
      <w:r>
        <w:t xml:space="preserve"> </w:t>
      </w:r>
      <w:r>
        <w:t xml:space="preserve">They qualify how strongly a finding is worded in the synthesis. They were not used to exclude studies.</w:t>
      </w:r>
    </w:p>
    <w:bookmarkEnd w:id="45"/>
    <w:bookmarkStart w:id="46" w:name="data-extraction"/>
    <w:p>
      <w:pPr>
        <w:pStyle w:val="Heading3"/>
      </w:pPr>
      <w:r>
        <w:t xml:space="preserve">2.2.7 Data extraction</w:t>
      </w:r>
    </w:p>
    <w:p>
      <w:pPr>
        <w:pStyle w:val="FirstParagraph"/>
      </w:pPr>
      <w:r>
        <w:t xml:space="preserve">A single reviewer extracted 21 fields per included study into</w:t>
      </w:r>
      <w:r>
        <w:t xml:space="preserve"> </w:t>
      </w:r>
      <w:r>
        <w:rPr>
          <w:rStyle w:val="VerbatimChar"/>
        </w:rPr>
        <w:t xml:space="preserve">CHAPTER2_SYSTEMATIC_EVIDENCE_MATRIX.csv</w:t>
      </w:r>
      <w:r>
        <w:t xml:space="preserve">:</w:t>
      </w:r>
    </w:p>
    <w:p>
      <w:pPr>
        <w:numPr>
          <w:ilvl w:val="0"/>
          <w:numId w:val="1035"/>
        </w:numPr>
        <w:pStyle w:val="Compact"/>
      </w:pPr>
      <w:r>
        <w:t xml:space="preserve">study, year and venue;</w:t>
      </w:r>
    </w:p>
    <w:p>
      <w:pPr>
        <w:numPr>
          <w:ilvl w:val="0"/>
          <w:numId w:val="1035"/>
        </w:numPr>
        <w:pStyle w:val="Compact"/>
      </w:pPr>
      <w:r>
        <w:t xml:space="preserve">agent type;</w:t>
      </w:r>
    </w:p>
    <w:p>
      <w:pPr>
        <w:numPr>
          <w:ilvl w:val="0"/>
          <w:numId w:val="1035"/>
        </w:numPr>
        <w:pStyle w:val="Compact"/>
      </w:pPr>
      <w:r>
        <w:t xml:space="preserve">threat and attack entry point;</w:t>
      </w:r>
    </w:p>
    <w:p>
      <w:pPr>
        <w:numPr>
          <w:ilvl w:val="0"/>
          <w:numId w:val="1035"/>
        </w:numPr>
        <w:pStyle w:val="Compact"/>
      </w:pPr>
      <w:r>
        <w:t xml:space="preserve">whether the study operates at runtime;</w:t>
      </w:r>
    </w:p>
    <w:p>
      <w:pPr>
        <w:numPr>
          <w:ilvl w:val="0"/>
          <w:numId w:val="1035"/>
        </w:numPr>
        <w:pStyle w:val="Compact"/>
      </w:pPr>
      <w:r>
        <w:t xml:space="preserve">context, behavioral, tool/action, multi-step and provenance evidence;</w:t>
      </w:r>
    </w:p>
    <w:p>
      <w:pPr>
        <w:numPr>
          <w:ilvl w:val="0"/>
          <w:numId w:val="1035"/>
        </w:numPr>
        <w:pStyle w:val="Compact"/>
      </w:pPr>
      <w:r>
        <w:t xml:space="preserve">decision mechanism and mitigation;</w:t>
      </w:r>
    </w:p>
    <w:p>
      <w:pPr>
        <w:numPr>
          <w:ilvl w:val="0"/>
          <w:numId w:val="1035"/>
        </w:numPr>
        <w:pStyle w:val="Compact"/>
      </w:pPr>
      <w:r>
        <w:t xml:space="preserve">benchmark;</w:t>
      </w:r>
    </w:p>
    <w:p>
      <w:pPr>
        <w:numPr>
          <w:ilvl w:val="0"/>
          <w:numId w:val="1035"/>
        </w:numPr>
        <w:pStyle w:val="Compact"/>
      </w:pPr>
      <w:r>
        <w:t xml:space="preserve">financial context;</w:t>
      </w:r>
    </w:p>
    <w:p>
      <w:pPr>
        <w:numPr>
          <w:ilvl w:val="0"/>
          <w:numId w:val="1035"/>
        </w:numPr>
        <w:pStyle w:val="Compact"/>
      </w:pPr>
      <w:r>
        <w:t xml:space="preserve">metrics;</w:t>
      </w:r>
    </w:p>
    <w:p>
      <w:pPr>
        <w:numPr>
          <w:ilvl w:val="0"/>
          <w:numId w:val="1035"/>
        </w:numPr>
        <w:pStyle w:val="Compact"/>
      </w:pPr>
      <w:r>
        <w:t xml:space="preserve">main result and limitation;</w:t>
      </w:r>
    </w:p>
    <w:p>
      <w:pPr>
        <w:numPr>
          <w:ilvl w:val="0"/>
          <w:numId w:val="1035"/>
        </w:numPr>
        <w:pStyle w:val="Compact"/>
      </w:pPr>
      <w:r>
        <w:t xml:space="preserve">evidence level.</w:t>
      </w:r>
    </w:p>
    <w:p>
      <w:pPr>
        <w:pStyle w:val="FirstParagraph"/>
      </w:pPr>
      <w:r>
        <w:rPr>
          <w:bCs/>
          <w:b/>
        </w:rPr>
        <w:t xml:space="preserve">Coding values.</w:t>
      </w:r>
      <w:r>
        <w:t xml:space="preserve"> </w:t>
      </w:r>
      <w:r>
        <w:t xml:space="preserve">Each property is coded</w:t>
      </w:r>
      <w:r>
        <w:t xml:space="preserve"> </w:t>
      </w:r>
      <w:r>
        <w:rPr>
          <w:bCs/>
          <w:b/>
        </w:rPr>
        <w:t xml:space="preserve">Yes</w:t>
      </w:r>
      <w:r>
        <w:t xml:space="preserve">,</w:t>
      </w:r>
      <w:r>
        <w:t xml:space="preserve"> </w:t>
      </w:r>
      <w:r>
        <w:rPr>
          <w:bCs/>
          <w:b/>
        </w:rPr>
        <w:t xml:space="preserve">No</w:t>
      </w:r>
      <w:r>
        <w:t xml:space="preserve">,</w:t>
      </w:r>
      <w:r>
        <w:t xml:space="preserve"> </w:t>
      </w:r>
      <w:r>
        <w:rPr>
          <w:bCs/>
          <w:b/>
        </w:rPr>
        <w:t xml:space="preserve">Not Reported</w:t>
      </w:r>
      <w:r>
        <w:t xml:space="preserve">,</w:t>
      </w:r>
      <w:r>
        <w:t xml:space="preserve"> </w:t>
      </w:r>
      <w:r>
        <w:rPr>
          <w:bCs/>
          <w:b/>
        </w:rPr>
        <w:t xml:space="preserve">Not Applicable</w:t>
      </w:r>
      <w:r>
        <w:t xml:space="preserve"> </w:t>
      </w:r>
      <w:r>
        <w:t xml:space="preserve">or</w:t>
      </w:r>
      <w:r>
        <w:t xml:space="preserve"> </w:t>
      </w:r>
      <w:r>
        <w:rPr>
          <w:bCs/>
          <w:b/>
        </w:rPr>
        <w:t xml:space="preserve">Not Verified</w:t>
      </w:r>
      <w:r>
        <w:t xml:space="preserve">.</w:t>
      </w:r>
      <w:r>
        <w:t xml:space="preserve"> </w:t>
      </w:r>
      <w:r>
        <w:t xml:space="preserve">“</w:t>
      </w:r>
      <w:r>
        <w:t xml:space="preserve">Yes</w:t>
      </w:r>
      <w:r>
        <w:t xml:space="preserve">”</w:t>
      </w:r>
      <w:r>
        <w:t xml:space="preserve"> </w:t>
      </w:r>
      <w:r>
        <w:t xml:space="preserve">is never entered for a property that is merely absent from the record. Conversely,</w:t>
      </w:r>
      <w:r>
        <w:t xml:space="preserve"> </w:t>
      </w:r>
      <w:r>
        <w:rPr>
          <w:bCs/>
          <w:b/>
        </w:rPr>
        <w:t xml:space="preserve">Not Reported is not evidence of absence</w:t>
      </w:r>
      <w:r>
        <w:t xml:space="preserve">: a property that the record does not mention may still be present in the system. Counts of</w:t>
      </w:r>
      <w:r>
        <w:t xml:space="preserve"> </w:t>
      </w:r>
      <w:r>
        <w:t xml:space="preserve">“</w:t>
      </w:r>
      <w:r>
        <w:t xml:space="preserve">Not Reported</w:t>
      </w:r>
      <w:r>
        <w:t xml:space="preserve">”</w:t>
      </w:r>
      <w:r>
        <w:t xml:space="preserve"> </w:t>
      </w:r>
      <w:r>
        <w:t xml:space="preserve">cells therefore describe the records, not the systems, and are never used in this chapter to argue that a capability is missing from the literature.</w:t>
      </w:r>
    </w:p>
    <w:p>
      <w:pPr>
        <w:pStyle w:val="BodyText"/>
      </w:pPr>
      <w:r>
        <w:rPr>
          <w:bCs/>
          <w:b/>
        </w:rPr>
        <w:t xml:space="preserve">Definitions and verification.</w:t>
      </w:r>
      <w:r>
        <w:t xml:space="preserve"> </w:t>
      </w:r>
      <w:r>
        <w:t xml:space="preserve">Financial context is coded</w:t>
      </w:r>
      <w:r>
        <w:t xml:space="preserve"> </w:t>
      </w:r>
      <w:r>
        <w:t xml:space="preserve">“</w:t>
      </w:r>
      <w:r>
        <w:t xml:space="preserve">Yes</w:t>
      </w:r>
      <w:r>
        <w:t xml:space="preserve">”</w:t>
      </w:r>
      <w:r>
        <w:t xml:space="preserve"> </w:t>
      </w:r>
      <w:r>
        <w:t xml:space="preserve">only where the study’s setting is primarily financial. A general benchmark that contains one financial scenario is coded</w:t>
      </w:r>
      <w:r>
        <w:t xml:space="preserve"> </w:t>
      </w:r>
      <w:r>
        <w:t xml:space="preserve">“</w:t>
      </w:r>
      <w:r>
        <w:t xml:space="preserve">No</w:t>
      </w:r>
      <w:r>
        <w:t xml:space="preserve">”</w:t>
      </w:r>
      <w:r>
        <w:t xml:space="preserve">, with a note. Every included study also carries a verification label, RECORD-VERIFIED or PARTLY UNVERIFIED, following the thesis rule that search-engine text cannot settle a primary claim.</w:t>
      </w:r>
    </w:p>
    <w:p>
      <w:pPr>
        <w:pStyle w:val="BodyText"/>
      </w:pPr>
      <w:r>
        <w:rPr>
          <w:bCs/>
          <w:b/>
        </w:rPr>
        <w:t xml:space="preserve">Numbers.</w:t>
      </w:r>
      <w:r>
        <w:t xml:space="preserve"> </w:t>
      </w:r>
      <w:r>
        <w:t xml:space="preserve">Every number reported in this chapter is taken from the primary report of the study concerned, as recorded in the matrix.</w:t>
      </w:r>
    </w:p>
    <w:bookmarkEnd w:id="46"/>
    <w:bookmarkStart w:id="47" w:name="evidence-synthesis"/>
    <w:p>
      <w:pPr>
        <w:pStyle w:val="Heading3"/>
      </w:pPr>
      <w:r>
        <w:t xml:space="preserve">2.2.8 Evidence synthesis</w:t>
      </w:r>
    </w:p>
    <w:p>
      <w:pPr>
        <w:pStyle w:val="FirstParagraph"/>
      </w:pPr>
      <w:r>
        <w:rPr>
          <w:bCs/>
          <w:b/>
        </w:rPr>
        <w:t xml:space="preserve">No meta-analysis.</w:t>
      </w:r>
      <w:r>
        <w:t xml:space="preserve"> </w:t>
      </w:r>
      <w:r>
        <w:t xml:space="preserve">Quantitative pooling was not possible. The included studies use different agents, attack sets, benchmarks, success definitions and metrics, and many report only author-selected configurations. A pooled estimate would have no interpretable common parameter.</w:t>
      </w:r>
    </w:p>
    <w:p>
      <w:pPr>
        <w:pStyle w:val="BodyText"/>
      </w:pPr>
      <w:r>
        <w:rPr>
          <w:bCs/>
          <w:b/>
        </w:rPr>
        <w:t xml:space="preserve">Structured synthesis.</w:t>
      </w:r>
      <w:r>
        <w:t xml:space="preserve"> </w:t>
      </w:r>
      <w:r>
        <w:t xml:space="preserve">The synthesis is therefore qualitative and structured. Evidence is organized into eleven themes:</w:t>
      </w:r>
    </w:p>
    <w:p>
      <w:pPr>
        <w:numPr>
          <w:ilvl w:val="0"/>
          <w:numId w:val="1036"/>
        </w:numPr>
        <w:pStyle w:val="Compact"/>
      </w:pPr>
      <w:r>
        <w:t xml:space="preserve">threats;</w:t>
      </w:r>
    </w:p>
    <w:p>
      <w:pPr>
        <w:numPr>
          <w:ilvl w:val="0"/>
          <w:numId w:val="1036"/>
        </w:numPr>
        <w:pStyle w:val="Compact"/>
      </w:pPr>
      <w:r>
        <w:t xml:space="preserve">entry points;</w:t>
      </w:r>
    </w:p>
    <w:p>
      <w:pPr>
        <w:numPr>
          <w:ilvl w:val="0"/>
          <w:numId w:val="1036"/>
        </w:numPr>
        <w:pStyle w:val="Compact"/>
      </w:pPr>
      <w:r>
        <w:t xml:space="preserve">observation granularity;</w:t>
      </w:r>
    </w:p>
    <w:p>
      <w:pPr>
        <w:numPr>
          <w:ilvl w:val="0"/>
          <w:numId w:val="1036"/>
        </w:numPr>
        <w:pStyle w:val="Compact"/>
      </w:pPr>
      <w:r>
        <w:t xml:space="preserve">runtime intervention;</w:t>
      </w:r>
    </w:p>
    <w:p>
      <w:pPr>
        <w:numPr>
          <w:ilvl w:val="0"/>
          <w:numId w:val="1036"/>
        </w:numPr>
        <w:pStyle w:val="Compact"/>
      </w:pPr>
      <w:r>
        <w:t xml:space="preserve">behavioral and trajectory evidence;</w:t>
      </w:r>
    </w:p>
    <w:p>
      <w:pPr>
        <w:numPr>
          <w:ilvl w:val="0"/>
          <w:numId w:val="1036"/>
        </w:numPr>
        <w:pStyle w:val="Compact"/>
      </w:pPr>
      <w:r>
        <w:t xml:space="preserve">provenance and goal–action consistency;</w:t>
      </w:r>
    </w:p>
    <w:p>
      <w:pPr>
        <w:numPr>
          <w:ilvl w:val="0"/>
          <w:numId w:val="1036"/>
        </w:numPr>
        <w:pStyle w:val="Compact"/>
      </w:pPr>
      <w:r>
        <w:t xml:space="preserve">statistical and algorithmic methods;</w:t>
      </w:r>
    </w:p>
    <w:p>
      <w:pPr>
        <w:numPr>
          <w:ilvl w:val="0"/>
          <w:numId w:val="1036"/>
        </w:numPr>
        <w:pStyle w:val="Compact"/>
      </w:pPr>
      <w:r>
        <w:t xml:space="preserve">decision and consequence handling;</w:t>
      </w:r>
    </w:p>
    <w:p>
      <w:pPr>
        <w:numPr>
          <w:ilvl w:val="0"/>
          <w:numId w:val="1036"/>
        </w:numPr>
        <w:pStyle w:val="Compact"/>
      </w:pPr>
      <w:r>
        <w:t xml:space="preserve">mitigation;</w:t>
      </w:r>
    </w:p>
    <w:p>
      <w:pPr>
        <w:numPr>
          <w:ilvl w:val="0"/>
          <w:numId w:val="1036"/>
        </w:numPr>
        <w:pStyle w:val="Compact"/>
      </w:pPr>
      <w:r>
        <w:t xml:space="preserve">financial-agent evidence;</w:t>
      </w:r>
    </w:p>
    <w:p>
      <w:pPr>
        <w:numPr>
          <w:ilvl w:val="0"/>
          <w:numId w:val="1036"/>
        </w:numPr>
        <w:pStyle w:val="Compact"/>
      </w:pPr>
      <w:r>
        <w:t xml:space="preserve">evaluation quality.</w:t>
      </w:r>
    </w:p>
    <w:p>
      <w:pPr>
        <w:pStyle w:val="FirstParagraph"/>
      </w:pPr>
      <w:r>
        <w:rPr>
          <w:bCs/>
          <w:b/>
        </w:rPr>
        <w:t xml:space="preserve">Five questions per theme.</w:t>
      </w:r>
      <w:r>
        <w:t xml:space="preserve"> </w:t>
      </w:r>
      <w:r>
        <w:t xml:space="preserve">For each theme the synthesis asks:</w:t>
      </w:r>
    </w:p>
    <w:p>
      <w:pPr>
        <w:numPr>
          <w:ilvl w:val="0"/>
          <w:numId w:val="1037"/>
        </w:numPr>
        <w:pStyle w:val="Compact"/>
      </w:pPr>
      <w:r>
        <w:t xml:space="preserve">what the literature establishes;</w:t>
      </w:r>
    </w:p>
    <w:p>
      <w:pPr>
        <w:numPr>
          <w:ilvl w:val="0"/>
          <w:numId w:val="1037"/>
        </w:numPr>
        <w:pStyle w:val="Compact"/>
      </w:pPr>
      <w:r>
        <w:t xml:space="preserve">what remains uncertain;</w:t>
      </w:r>
    </w:p>
    <w:p>
      <w:pPr>
        <w:numPr>
          <w:ilvl w:val="0"/>
          <w:numId w:val="1037"/>
        </w:numPr>
        <w:pStyle w:val="Compact"/>
      </w:pPr>
      <w:r>
        <w:t xml:space="preserve">what is under-evaluated;</w:t>
      </w:r>
    </w:p>
    <w:p>
      <w:pPr>
        <w:numPr>
          <w:ilvl w:val="0"/>
          <w:numId w:val="1037"/>
        </w:numPr>
        <w:pStyle w:val="Compact"/>
      </w:pPr>
      <w:r>
        <w:t xml:space="preserve">what differs across studies;</w:t>
      </w:r>
    </w:p>
    <w:p>
      <w:pPr>
        <w:numPr>
          <w:ilvl w:val="0"/>
          <w:numId w:val="1037"/>
        </w:numPr>
        <w:pStyle w:val="Compact"/>
      </w:pPr>
      <w:r>
        <w:t xml:space="preserve">what this implies for REM.</w:t>
      </w:r>
    </w:p>
    <w:p>
      <w:pPr>
        <w:pStyle w:val="FirstParagraph"/>
      </w:pPr>
      <w:r>
        <w:t xml:space="preserve">These syntheses appear at the end of the relevant sections and are consolidated in Section 2.12 (Table 2.10). Conflicting findings are presented side by side rather than resolved in favor of either side.</w:t>
      </w:r>
    </w:p>
    <w:p>
      <w:pPr>
        <w:pStyle w:val="BodyText"/>
      </w:pPr>
      <w:r>
        <w:rPr>
          <w:bCs/>
          <w:b/>
        </w:rPr>
        <w:t xml:space="preserve">How results are worded.</w:t>
      </w:r>
      <w:r>
        <w:t xml:space="preserve"> </w:t>
      </w:r>
      <w:r>
        <w:t xml:space="preserve">Author-reported figures are stated as such, with their setting, and are not compared across studies as if they were measured on a common scale. Claims that rest on a single study are worded as single-study findings.</w:t>
      </w:r>
    </w:p>
    <w:p>
      <w:r>
        <w:pict>
          <v:rect style="width:0;height:1.5pt" o:hralign="center" o:hrstd="t" o:hr="t"/>
        </w:pict>
      </w:r>
    </w:p>
    <w:bookmarkEnd w:id="47"/>
    <w:bookmarkEnd w:id="48"/>
    <w:bookmarkStart w:id="52" w:name="ai-agents-and-emerging-security-risks"/>
    <w:p>
      <w:pPr>
        <w:pStyle w:val="Heading2"/>
      </w:pPr>
      <w:r>
        <w:t xml:space="preserve">2.3 AI Agents and Emerging Security Risks</w:t>
      </w:r>
    </w:p>
    <w:bookmarkStart w:id="49" w:name="from-language-models-to-agents"/>
    <w:p>
      <w:pPr>
        <w:pStyle w:val="Heading3"/>
      </w:pPr>
      <w:r>
        <w:t xml:space="preserve">2.3.1 From language models to agents</w:t>
      </w:r>
    </w:p>
    <w:p>
      <w:pPr>
        <w:pStyle w:val="FirstParagraph"/>
      </w:pPr>
      <w:r>
        <w:t xml:space="preserve">In the survey literature, an LLM-based autonomous agent is a system in which a language model acts as the controller for perception, reasoning, planning and action in pursuit of a task, supported by memory and tool-use modules (L. Wang et al., 2024; background source). Two capability developments made this architecture practical:</w:t>
      </w:r>
    </w:p>
    <w:p>
      <w:pPr>
        <w:numPr>
          <w:ilvl w:val="0"/>
          <w:numId w:val="1038"/>
        </w:numPr>
        <w:pStyle w:val="Compact"/>
      </w:pPr>
      <w:r>
        <w:rPr>
          <w:bCs/>
          <w:b/>
        </w:rPr>
        <w:t xml:space="preserve">ReAct</w:t>
      </w:r>
      <w:r>
        <w:t xml:space="preserve"> </w:t>
      </w:r>
      <w:r>
        <w:t xml:space="preserve">interleaves reasoning with action. The model generates a thought, selects an action, receives the environment’s observation, and conditions its next step on that observation (Yao et al., 2023).</w:t>
      </w:r>
    </w:p>
    <w:p>
      <w:pPr>
        <w:numPr>
          <w:ilvl w:val="0"/>
          <w:numId w:val="1038"/>
        </w:numPr>
        <w:pStyle w:val="Compact"/>
      </w:pPr>
      <w:r>
        <w:rPr>
          <w:bCs/>
          <w:b/>
        </w:rPr>
        <w:t xml:space="preserve">Toolformer</w:t>
      </w:r>
      <w:r>
        <w:t xml:space="preserve"> </w:t>
      </w:r>
      <w:r>
        <w:t xml:space="preserve">showed that a language model can learn which application programming interfaces to call, when to call them, and with what arguments (Schick et al., 2023).</w:t>
      </w:r>
    </w:p>
    <w:p>
      <w:pPr>
        <w:pStyle w:val="FirstParagraph"/>
      </w:pPr>
      <w:r>
        <w:t xml:space="preserve">Both are capability papers. They fail criterion I2 and are cited only as background. Together they describe the execution pattern that most agent frameworks still follow: a loop of reasoning, tool invocation and observation, which continues until the model judges the task complete.</w:t>
      </w:r>
    </w:p>
    <w:bookmarkEnd w:id="49"/>
    <w:bookmarkStart w:id="50" w:name="X3c04fdb5f4d1b44df1f4203523f11ad73ef6443"/>
    <w:p>
      <w:pPr>
        <w:pStyle w:val="Heading3"/>
      </w:pPr>
      <w:r>
        <w:t xml:space="preserve">2.3.2 Why agent architecture changes the security problem</w:t>
      </w:r>
    </w:p>
    <w:p>
      <w:pPr>
        <w:pStyle w:val="FirstParagraph"/>
      </w:pPr>
      <w:r>
        <w:t xml:space="preserve">The loop that makes agents useful also creates their attack surface. Three structural properties distinguish agent security from the security of a stand-alone model:</w:t>
      </w:r>
    </w:p>
    <w:p>
      <w:pPr>
        <w:numPr>
          <w:ilvl w:val="0"/>
          <w:numId w:val="1039"/>
        </w:numPr>
        <w:pStyle w:val="Compact"/>
      </w:pPr>
      <w:r>
        <w:rPr>
          <w:bCs/>
          <w:b/>
        </w:rPr>
        <w:t xml:space="preserve">Several input channels of different trustworthiness.</w:t>
      </w:r>
      <w:r>
        <w:t xml:space="preserve"> </w:t>
      </w:r>
      <w:r>
        <w:t xml:space="preserve">The system prompt, the user’s request, tool outputs, retrieved documents and stored memory all enter the same context window, and the model interprets all of them.</w:t>
      </w:r>
    </w:p>
    <w:p>
      <w:pPr>
        <w:numPr>
          <w:ilvl w:val="0"/>
          <w:numId w:val="1039"/>
        </w:numPr>
        <w:pStyle w:val="Compact"/>
      </w:pPr>
      <w:r>
        <w:rPr>
          <w:bCs/>
          <w:b/>
        </w:rPr>
        <w:t xml:space="preserve">Statefulness across a trajectory.</w:t>
      </w:r>
      <w:r>
        <w:t xml:space="preserve"> </w:t>
      </w:r>
      <w:r>
        <w:t xml:space="preserve">Content that enters at one step can influence an action several steps later. The unit of analysis is therefore a trajectory, not an input–output pair.</w:t>
      </w:r>
    </w:p>
    <w:p>
      <w:pPr>
        <w:numPr>
          <w:ilvl w:val="0"/>
          <w:numId w:val="1039"/>
        </w:numPr>
        <w:pStyle w:val="Compact"/>
      </w:pPr>
      <w:r>
        <w:rPr>
          <w:bCs/>
          <w:b/>
        </w:rPr>
        <w:t xml:space="preserve">Outputs with external effects.</w:t>
      </w:r>
      <w:r>
        <w:t xml:space="preserve"> </w:t>
      </w:r>
      <w:r>
        <w:t xml:space="preserve">An agent’s outputs include tool calls. A successful manipulation does not stay in the text domain; it becomes a state change in an external system.</w:t>
      </w:r>
    </w:p>
    <w:p>
      <w:pPr>
        <w:pStyle w:val="FirstParagraph"/>
      </w:pPr>
      <w:r>
        <w:t xml:space="preserve">A component view of agent threats organizes the same observation around the model</w:t>
      </w:r>
      <w:r>
        <w:t xml:space="preserve"> </w:t>
      </w:r>
      <w:r>
        <w:t xml:space="preserve">“</w:t>
      </w:r>
      <w:r>
        <w:t xml:space="preserve">brain</w:t>
      </w:r>
      <w:r>
        <w:t xml:space="preserve">”</w:t>
      </w:r>
      <w:r>
        <w:t xml:space="preserve">, memory, tools and environment interaction (Yu et al., 2025; background source).</w:t>
      </w:r>
    </w:p>
    <w:p>
      <w:pPr>
        <w:pStyle w:val="BodyText"/>
      </w:pPr>
      <w:r>
        <w:t xml:space="preserve">Two included benchmark studies show that these properties matter empirically:</w:t>
      </w:r>
    </w:p>
    <w:p>
      <w:pPr>
        <w:numPr>
          <w:ilvl w:val="0"/>
          <w:numId w:val="1040"/>
        </w:numPr>
        <w:pStyle w:val="Compact"/>
      </w:pPr>
      <w:r>
        <w:rPr>
          <w:bCs/>
          <w:b/>
        </w:rPr>
        <w:t xml:space="preserve">ClawSafety</w:t>
      </w:r>
      <w:r>
        <w:t xml:space="preserve"> </w:t>
      </w:r>
      <w:r>
        <w:t xml:space="preserve">ran 2,520 sandboxed trials of personal agents with elevated local privileges. Attack success varied from 40% to 75% across five backbone models, and varied sharply with the channel through which the injection arrived. Cross-scaffold experiments showed that safety depended on the whole deployment stack, not on the backbone model alone (Wei et al., 2026; preprint).</w:t>
      </w:r>
    </w:p>
    <w:p>
      <w:pPr>
        <w:numPr>
          <w:ilvl w:val="0"/>
          <w:numId w:val="1040"/>
        </w:numPr>
        <w:pStyle w:val="Compact"/>
      </w:pPr>
      <w:r>
        <w:rPr>
          <w:bCs/>
          <w:b/>
        </w:rPr>
        <w:t xml:space="preserve">ToolEmu</w:t>
      </w:r>
      <w:r>
        <w:t xml:space="preserve"> </w:t>
      </w:r>
      <w:r>
        <w:t xml:space="preserve">showed that agent risk does not require an attacker. In an LM-emulated sandbox with 36 toolkits and 144 test cases, even the safest agent tested failed in 23.9% of cases. Human evaluators judged 68.8% of the failures identified to be valid real-world failures (Ruan et al., 2024).</w:t>
      </w:r>
    </w:p>
    <w:bookmarkEnd w:id="50"/>
    <w:bookmarkStart w:id="51" w:name="implication"/>
    <w:p>
      <w:pPr>
        <w:pStyle w:val="Heading3"/>
      </w:pPr>
      <w:r>
        <w:t xml:space="preserve">2.3.3 Implication</w:t>
      </w:r>
    </w:p>
    <w:p>
      <w:pPr>
        <w:pStyle w:val="FirstParagraph"/>
      </w:pPr>
      <w:r>
        <w:t xml:space="preserve">The reviewed studies locate agent risk at the interaction between the model, its heterogeneous input channels, its accumulated state and its tools, and ClawSafety adds the agent framework itself. A defense that inspects only the user’s input, or only the final text, does not observe the point at which the agent’s decision becomes an external effect. The remainder of the chapter therefore attends to</w:t>
      </w:r>
      <w:r>
        <w:t xml:space="preserve"> </w:t>
      </w:r>
      <w:r>
        <w:rPr>
          <w:bCs/>
          <w:b/>
        </w:rPr>
        <w:t xml:space="preserve">where</w:t>
      </w:r>
      <w:r>
        <w:t xml:space="preserve"> </w:t>
      </w:r>
      <w:r>
        <w:t xml:space="preserve">defenses intervene and</w:t>
      </w:r>
      <w:r>
        <w:t xml:space="preserve"> </w:t>
      </w:r>
      <w:r>
        <w:rPr>
          <w:bCs/>
          <w:b/>
        </w:rPr>
        <w:t xml:space="preserve">what</w:t>
      </w:r>
      <w:r>
        <w:t xml:space="preserve"> </w:t>
      </w:r>
      <w:r>
        <w:t xml:space="preserve">they observe.</w:t>
      </w:r>
    </w:p>
    <w:p>
      <w:r>
        <w:pict>
          <v:rect style="width:0;height:1.5pt" o:hralign="center" o:hrstd="t" o:hr="t"/>
        </w:pict>
      </w:r>
    </w:p>
    <w:bookmarkEnd w:id="51"/>
    <w:bookmarkEnd w:id="52"/>
    <w:bookmarkStart w:id="58" w:name="threats-against-ai-agents"/>
    <w:p>
      <w:pPr>
        <w:pStyle w:val="Heading2"/>
      </w:pPr>
      <w:r>
        <w:t xml:space="preserve">2.4 Threats Against AI Agents</w:t>
      </w:r>
    </w:p>
    <w:p>
      <w:pPr>
        <w:pStyle w:val="FirstParagraph"/>
      </w:pPr>
      <w:r>
        <w:t xml:space="preserve">The OWASP Gen AI Security Project lists prompt injection first among risks to LLM applications. It distinguishes</w:t>
      </w:r>
      <w:r>
        <w:t xml:space="preserve"> </w:t>
      </w:r>
      <w:r>
        <w:rPr>
          <w:iCs/>
          <w:i/>
        </w:rPr>
        <w:t xml:space="preserve">direct</w:t>
      </w:r>
      <w:r>
        <w:t xml:space="preserve"> </w:t>
      </w:r>
      <w:r>
        <w:t xml:space="preserve">injection through the user’s prompt from</w:t>
      </w:r>
      <w:r>
        <w:t xml:space="preserve"> </w:t>
      </w:r>
      <w:r>
        <w:rPr>
          <w:iCs/>
          <w:i/>
        </w:rPr>
        <w:t xml:space="preserve">indirect</w:t>
      </w:r>
      <w:r>
        <w:t xml:space="preserve"> </w:t>
      </w:r>
      <w:r>
        <w:t xml:space="preserve">injection through external content (OWASP Gen AI Security Project, 2025). This is an official practitioner source and is used only for terminology.</w:t>
      </w:r>
    </w:p>
    <w:p>
      <w:pPr>
        <w:pStyle w:val="BodyText"/>
      </w:pPr>
      <w:r>
        <w:t xml:space="preserve">The threat evidence below comes from 23 included studies whose primary role is an attack, benchmark or threat analysis. Studies of defenses contribute threat evidence where they evaluate against named attacks.</w:t>
      </w:r>
    </w:p>
    <w:bookmarkStart w:id="53" w:name="direct-and-indirect-prompt-injection"/>
    <w:p>
      <w:pPr>
        <w:pStyle w:val="Heading3"/>
      </w:pPr>
      <w:r>
        <w:t xml:space="preserve">2.4.1 Direct and indirect prompt injection</w:t>
      </w:r>
    </w:p>
    <w:p>
      <w:pPr>
        <w:pStyle w:val="FirstParagraph"/>
      </w:pPr>
      <w:r>
        <w:rPr>
          <w:bCs/>
          <w:b/>
        </w:rPr>
        <w:t xml:space="preserve">Direct injection.</w:t>
      </w:r>
      <w:r>
        <w:t xml:space="preserve"> </w:t>
      </w:r>
      <w:r>
        <w:t xml:space="preserve">Y. Liu et al. (2024) moved prompt-injection research from demonstrations to systematic evaluation. They formalized attacks in a common framework and benchmarked five attacks against ten defenses across ten LLMs and seven tasks. HouYi, a black-box injection technique, found 31 of 36 commercial LLM-integrated applications susceptible, a result validated by ten vendors (Y. Liu et al., 2023; preprint). For a financial agent, direct injection matters less than its indirect counterpart, because the user of such an agent is usually the principal it serves rather than the adversary.</w:t>
      </w:r>
    </w:p>
    <w:p>
      <w:pPr>
        <w:pStyle w:val="BodyText"/>
      </w:pPr>
      <w:r>
        <w:rPr>
          <w:bCs/>
          <w:b/>
        </w:rPr>
        <w:t xml:space="preserve">Indirect injection.</w:t>
      </w:r>
      <w:r>
        <w:t xml:space="preserve"> </w:t>
      </w:r>
      <w:r>
        <w:t xml:space="preserve">Greshake et al. (2023) showed that instructions planted in data retrieved at inference time can compromise an LLM-integrated application remotely. Such retrieved prompts can act like arbitrary code execution and control which APIs are called. In tool-using agents, the attacker needs only to influence some content the agent will read. The malicious content then enters through the</w:t>
      </w:r>
      <w:r>
        <w:t xml:space="preserve"> </w:t>
      </w:r>
      <w:r>
        <w:rPr>
          <w:bCs/>
          <w:b/>
        </w:rPr>
        <w:t xml:space="preserve">observation channel</w:t>
      </w:r>
      <w:r>
        <w:t xml:space="preserve">,</w:t>
      </w:r>
      <w:r>
        <w:t xml:space="preserve"> </w:t>
      </w:r>
      <w:r>
        <w:rPr>
          <w:iCs/>
          <w:i/>
        </w:rPr>
        <w:t xml:space="preserve">after</w:t>
      </w:r>
      <w:r>
        <w:t xml:space="preserve"> </w:t>
      </w:r>
      <w:r>
        <w:t xml:space="preserve">the user’s request has been received and inspected.</w:t>
      </w:r>
    </w:p>
    <w:p>
      <w:pPr>
        <w:pStyle w:val="BodyText"/>
      </w:pPr>
      <w:r>
        <w:rPr>
          <w:bCs/>
          <w:b/>
        </w:rPr>
        <w:t xml:space="preserve">Benchmark evidence.</w:t>
      </w:r>
      <w:r>
        <w:t xml:space="preserve"> </w:t>
      </w:r>
      <w:r>
        <w:t xml:space="preserve">Agent-specific benchmarks quantify the threat:</w:t>
      </w:r>
    </w:p>
    <w:p>
      <w:pPr>
        <w:numPr>
          <w:ilvl w:val="0"/>
          <w:numId w:val="1041"/>
        </w:numPr>
        <w:pStyle w:val="Compact"/>
      </w:pPr>
      <w:r>
        <w:rPr>
          <w:bCs/>
          <w:b/>
        </w:rPr>
        <w:t xml:space="preserve">InjecAgent</w:t>
      </w:r>
      <w:r>
        <w:t xml:space="preserve"> </w:t>
      </w:r>
      <w:r>
        <w:t xml:space="preserve">has 1,054 cases covering 17 user tools and 62 attacker tools. A ReAct-prompted GPT-4 agent was vulnerable in 24% of cases, and success nearly doubled when the injection was reinforced with a</w:t>
      </w:r>
      <w:r>
        <w:t xml:space="preserve"> </w:t>
      </w:r>
      <w:r>
        <w:t xml:space="preserve">“</w:t>
      </w:r>
      <w:r>
        <w:t xml:space="preserve">hacking prompt</w:t>
      </w:r>
      <w:r>
        <w:t xml:space="preserve">”</w:t>
      </w:r>
      <w:r>
        <w:t xml:space="preserve"> </w:t>
      </w:r>
      <w:r>
        <w:t xml:space="preserve">(Zhan et al., 2024).</w:t>
      </w:r>
    </w:p>
    <w:p>
      <w:pPr>
        <w:numPr>
          <w:ilvl w:val="0"/>
          <w:numId w:val="1041"/>
        </w:numPr>
        <w:pStyle w:val="Compact"/>
      </w:pPr>
      <w:r>
        <w:rPr>
          <w:bCs/>
          <w:b/>
        </w:rPr>
        <w:t xml:space="preserve">Agent Security Bench (ASB)</w:t>
      </w:r>
      <w:r>
        <w:t xml:space="preserve"> </w:t>
      </w:r>
      <w:r>
        <w:t xml:space="preserve">covers ten scenarios with more than 400 tools and 27 attack and defense methods. It reported a highest average attack success rate of 84.30% across 13 backbones, and found current defenses of limited effectiveness (H. Zhang et al., 2025).</w:t>
      </w:r>
    </w:p>
    <w:p>
      <w:pPr>
        <w:numPr>
          <w:ilvl w:val="0"/>
          <w:numId w:val="1041"/>
        </w:numPr>
        <w:pStyle w:val="Compact"/>
      </w:pPr>
      <w:r>
        <w:rPr>
          <w:bCs/>
          <w:b/>
        </w:rPr>
        <w:t xml:space="preserve">AgentVigil</w:t>
      </w:r>
      <w:r>
        <w:t xml:space="preserve"> </w:t>
      </w:r>
      <w:r>
        <w:t xml:space="preserve">automates black-box red-teaming. It achieved 71% and 70% success against agents based on o3-mini and GPT-4o on AgentDojo and VWA-adv, nearly double handcrafted baselines (Z. Wang et al., 2025).</w:t>
      </w:r>
    </w:p>
    <w:p>
      <w:pPr>
        <w:numPr>
          <w:ilvl w:val="0"/>
          <w:numId w:val="1041"/>
        </w:numPr>
        <w:pStyle w:val="Compact"/>
      </w:pPr>
      <w:r>
        <w:t xml:space="preserve">A demonstration against web-navigation agents embedded universal triggers in page HTML and achieved credential exfiltration and forced clicks on real websites (Johnson et al., 2025). This study is LIMITED EVIDENCE: its abstract gives no figures.</w:t>
      </w:r>
    </w:p>
    <w:bookmarkEnd w:id="53"/>
    <w:bookmarkStart w:id="54" w:name="X6483998b784e59d7c481a68f0674b75d2ab3b9b"/>
    <w:p>
      <w:pPr>
        <w:pStyle w:val="Heading3"/>
      </w:pPr>
      <w:r>
        <w:t xml:space="preserve">2.4.2 Tool misuse, action manipulation and new tool channels</w:t>
      </w:r>
    </w:p>
    <w:p>
      <w:pPr>
        <w:pStyle w:val="FirstParagraph"/>
      </w:pPr>
      <w:r>
        <w:t xml:space="preserve">Tool misuse is the use of a legitimate capability against the user’s intent. Action manipulation is its adversarially induced form: a well-formed call to a permitted tool, with attacker-chosen arguments or timing. The included studies show that the tool interface is now an attack surface in its own right:</w:t>
      </w:r>
    </w:p>
    <w:p>
      <w:pPr>
        <w:numPr>
          <w:ilvl w:val="0"/>
          <w:numId w:val="1042"/>
        </w:numPr>
        <w:pStyle w:val="Compact"/>
      </w:pPr>
      <w:r>
        <w:rPr>
          <w:bCs/>
          <w:b/>
        </w:rPr>
        <w:t xml:space="preserve">Tool selection.</w:t>
      </w:r>
      <w:r>
        <w:t xml:space="preserve"> </w:t>
      </w:r>
      <w:r>
        <w:t xml:space="preserve">ToolHijacker injects a malicious tool document into the tool library so that the agent selects the attacker’s tool. Six prevention-based and detection-based defenses proved insufficient against it (J. Shi et al., 2026).</w:t>
      </w:r>
    </w:p>
    <w:p>
      <w:pPr>
        <w:numPr>
          <w:ilvl w:val="0"/>
          <w:numId w:val="1042"/>
        </w:numPr>
        <w:pStyle w:val="Compact"/>
      </w:pPr>
      <w:r>
        <w:rPr>
          <w:bCs/>
          <w:b/>
        </w:rPr>
        <w:t xml:space="preserve">Tool metadata.</w:t>
      </w:r>
      <w:r>
        <w:t xml:space="preserve"> </w:t>
      </w:r>
      <w:r>
        <w:t xml:space="preserve">A STRIDE/DREAD threat model of the Model Context Protocol (MCP) identified</w:t>
      </w:r>
      <w:r>
        <w:t xml:space="preserve"> </w:t>
      </w:r>
      <w:r>
        <w:rPr>
          <w:iCs/>
          <w:i/>
        </w:rPr>
        <w:t xml:space="preserve">tool poisoning</w:t>
      </w:r>
      <w:r>
        <w:t xml:space="preserve">, meaning instructions embedded in tool metadata, as the most prevalent client-side vulnerability. Most of the seven MCP clients tested showed weaknesses in static validation and parameter visibility (C. Huang et al., 2026).</w:t>
      </w:r>
    </w:p>
    <w:p>
      <w:pPr>
        <w:numPr>
          <w:ilvl w:val="0"/>
          <w:numId w:val="1042"/>
        </w:numPr>
        <w:pStyle w:val="Compact"/>
      </w:pPr>
      <w:r>
        <w:rPr>
          <w:bCs/>
          <w:b/>
        </w:rPr>
        <w:t xml:space="preserve">Tool servers.</w:t>
      </w:r>
      <w:r>
        <w:t xml:space="preserve"> </w:t>
      </w:r>
      <w:r>
        <w:t xml:space="preserve">A study of 1,899 open-source MCP servers found MCP-specific tool poisoning in 5.5% of servers and general vulnerabilities in 7.2% (Hasan et al., 2026).</w:t>
      </w:r>
    </w:p>
    <w:p>
      <w:pPr>
        <w:numPr>
          <w:ilvl w:val="0"/>
          <w:numId w:val="1042"/>
        </w:numPr>
        <w:pStyle w:val="Compact"/>
      </w:pPr>
      <w:r>
        <w:rPr>
          <w:bCs/>
          <w:b/>
        </w:rPr>
        <w:t xml:space="preserve">Tool arguments and plans.</w:t>
      </w:r>
      <w:r>
        <w:t xml:space="preserve"> </w:t>
      </w:r>
      <w:r>
        <w:t xml:space="preserve">Imprompter optimizes obfuscated prompts that cause improper tool use; its information-exfiltration attack succeeded end to end in nearly 80% of trials against a production agent (Fu et al., 2024; preprint). AI² builds semantically harmless inputs that hijack an application’s action plan. It reports an average success rate of 84.30% and bypasses common safety filters in 92.7% of cases (Y. Zhang et al., 2024; preprint).</w:t>
      </w:r>
    </w:p>
    <w:p>
      <w:pPr>
        <w:numPr>
          <w:ilvl w:val="0"/>
          <w:numId w:val="1042"/>
        </w:numPr>
        <w:pStyle w:val="Compact"/>
      </w:pPr>
      <w:r>
        <w:rPr>
          <w:bCs/>
          <w:b/>
        </w:rPr>
        <w:t xml:space="preserve">Framework tools.</w:t>
      </w:r>
      <w:r>
        <w:t xml:space="preserve"> </w:t>
      </w:r>
      <w:r>
        <w:t xml:space="preserve">In LLM-integrated frameworks, prompt injection reaches code-execution and database tools. LLMSmith found 20 vulnerabilities in 11 frameworks, 19 of them remote code execution, of which 17 were confirmed and 11 received CVEs (T. Liu et al., 2023; preprint). Prompt-to-SQL injection was shown to be pervasive across seven LLMs in LangChain applications (Pedro et al., 2023; preprint).</w:t>
      </w:r>
    </w:p>
    <w:p>
      <w:pPr>
        <w:numPr>
          <w:ilvl w:val="0"/>
          <w:numId w:val="1042"/>
        </w:numPr>
        <w:pStyle w:val="Compact"/>
      </w:pPr>
      <w:r>
        <w:rPr>
          <w:bCs/>
          <w:b/>
        </w:rPr>
        <w:t xml:space="preserve">Skills.</w:t>
      </w:r>
      <w:r>
        <w:t xml:space="preserve"> </w:t>
      </w:r>
      <w:r>
        <w:t xml:space="preserve">Reusable agent</w:t>
      </w:r>
      <w:r>
        <w:t xml:space="preserve"> </w:t>
      </w:r>
      <w:r>
        <w:t xml:space="preserve">“</w:t>
      </w:r>
      <w:r>
        <w:t xml:space="preserve">skills</w:t>
      </w:r>
      <w:r>
        <w:t xml:space="preserve">”</w:t>
      </w:r>
      <w:r>
        <w:t xml:space="preserve"> </w:t>
      </w:r>
      <w:r>
        <w:t xml:space="preserve">create a supply-chain channel. SkillJect automatically poisons skill instructions and helper scripts and outperforms manual skill-injection attacks (X. Jia et al., 2026; preprint; LIMITED EVIDENCE).</w:t>
      </w:r>
    </w:p>
    <w:p>
      <w:pPr>
        <w:pStyle w:val="FirstParagraph"/>
      </w:pPr>
      <w:r>
        <w:rPr>
          <w:bCs/>
          <w:b/>
        </w:rPr>
        <w:t xml:space="preserve">Malicious users.</w:t>
      </w:r>
      <w:r>
        <w:t xml:space="preserve"> </w:t>
      </w:r>
      <w:r>
        <w:t xml:space="preserve">Harmful behavior can also be requested directly. AgentHarm contains 110 malicious agentic tasks (440 with augmentations) in 11 harm categories (Andriushchenko et al., 2025). Its threat model, a malicious</w:t>
      </w:r>
      <w:r>
        <w:t xml:space="preserve"> </w:t>
      </w:r>
      <w:r>
        <w:rPr>
          <w:iCs/>
          <w:i/>
        </w:rPr>
        <w:t xml:space="preserve">user</w:t>
      </w:r>
      <w:r>
        <w:t xml:space="preserve">, contrasts with REM’s primary threat model, in which the adversary sits in the data read by a benign user’s agent.</w:t>
      </w:r>
    </w:p>
    <w:bookmarkEnd w:id="54"/>
    <w:bookmarkStart w:id="55" w:name="context-and-memory-manipulation"/>
    <w:p>
      <w:pPr>
        <w:pStyle w:val="Heading3"/>
      </w:pPr>
      <w:r>
        <w:t xml:space="preserve">2.4.3 Context and memory manipulation</w:t>
      </w:r>
    </w:p>
    <w:p>
      <w:pPr>
        <w:pStyle w:val="FirstParagraph"/>
      </w:pPr>
      <w:r>
        <w:t xml:space="preserve">Where an agent retrieves from memory or a knowledge base, an adversary can plant content that is acted on later. AgentPoison reported an attack success rate of at least 80%, with benign impact of at most 1%, at a poison rate below 0.1% (Z. Chen et al., 2024). Memory poisoning separates the write from the activation in time. To an observer without provenance information, the eventual retrieval therefore looks legitimate.</w:t>
      </w:r>
    </w:p>
    <w:bookmarkEnd w:id="55"/>
    <w:bookmarkStart w:id="56" w:name="Xbadefbe86933d8ec852ecacf14a35e9195e92c5"/>
    <w:p>
      <w:pPr>
        <w:pStyle w:val="Heading3"/>
      </w:pPr>
      <w:r>
        <w:t xml:space="preserve">2.4.4 Multi-step propagation, goal drift and abnormal execution</w:t>
      </w:r>
    </w:p>
    <w:p>
      <w:pPr>
        <w:pStyle w:val="FirstParagraph"/>
      </w:pPr>
      <w:r>
        <w:t xml:space="preserve">Some compromises contain no single anomalous step. Several runtime systems target this pattern:</w:t>
      </w:r>
    </w:p>
    <w:p>
      <w:pPr>
        <w:numPr>
          <w:ilvl w:val="0"/>
          <w:numId w:val="1043"/>
        </w:numPr>
        <w:pStyle w:val="Compact"/>
      </w:pPr>
      <w:r>
        <w:t xml:space="preserve">goal-conditioned drift detection (C. L. Wang et al., 2025);</w:t>
      </w:r>
    </w:p>
    <w:p>
      <w:pPr>
        <w:numPr>
          <w:ilvl w:val="0"/>
          <w:numId w:val="1043"/>
        </w:numPr>
        <w:pStyle w:val="Compact"/>
      </w:pPr>
      <w:r>
        <w:t xml:space="preserve">cross-turn drift in a financial query monitor (H. Jia et al., 2026);</w:t>
      </w:r>
    </w:p>
    <w:p>
      <w:pPr>
        <w:numPr>
          <w:ilvl w:val="0"/>
          <w:numId w:val="1043"/>
        </w:numPr>
        <w:pStyle w:val="Compact"/>
      </w:pPr>
      <w:r>
        <w:t xml:space="preserve">hazardous drift through individually benign actions (W. Lin et al., 2026);</w:t>
      </w:r>
    </w:p>
    <w:p>
      <w:pPr>
        <w:numPr>
          <w:ilvl w:val="0"/>
          <w:numId w:val="1043"/>
        </w:numPr>
        <w:pStyle w:val="Compact"/>
      </w:pPr>
      <w:r>
        <w:t xml:space="preserve">task-level transactions that expose cross-step violations (Z. Chen et al., 2026).</w:t>
      </w:r>
    </w:p>
    <w:p>
      <w:pPr>
        <w:pStyle w:val="FirstParagraph"/>
      </w:pPr>
      <w:r>
        <w:rPr>
          <w:bCs/>
          <w:b/>
        </w:rPr>
        <w:t xml:space="preserve">Abnormal execution.</w:t>
      </w:r>
      <w:r>
        <w:t xml:space="preserve"> </w:t>
      </w:r>
      <w:r>
        <w:t xml:space="preserve">Abnormal execution can itself be the attack. Malfunction amplification misleads agents into repetitive or irrelevant actions. It induced failure rates above 80% in several scenarios, and its authors found it harder to detect than overtly harmful attacks (B. Zhang et al., 2025). In anomaly-detection terms, a sequence of individually normal events whose</w:t>
      </w:r>
      <w:r>
        <w:t xml:space="preserve"> </w:t>
      </w:r>
      <w:r>
        <w:rPr>
          <w:iCs/>
          <w:i/>
        </w:rPr>
        <w:t xml:space="preserve">combination</w:t>
      </w:r>
      <w:r>
        <w:t xml:space="preserve"> </w:t>
      </w:r>
      <w:r>
        <w:t xml:space="preserve">is anomalous is a</w:t>
      </w:r>
      <w:r>
        <w:t xml:space="preserve"> </w:t>
      </w:r>
      <w:r>
        <w:rPr>
          <w:iCs/>
          <w:i/>
        </w:rPr>
        <w:t xml:space="preserve">collective</w:t>
      </w:r>
      <w:r>
        <w:t xml:space="preserve"> </w:t>
      </w:r>
      <w:r>
        <w:t xml:space="preserve">anomaly (Chandola et al., 2009; foundational source).</w:t>
      </w:r>
    </w:p>
    <w:p>
      <w:pPr>
        <w:pStyle w:val="BodyText"/>
      </w:pPr>
      <w:r>
        <w:rPr>
          <w:bCs/>
          <w:b/>
        </w:rPr>
        <w:t xml:space="preserve">Misaligned agents.</w:t>
      </w:r>
      <w:r>
        <w:t xml:space="preserve"> </w:t>
      </w:r>
      <w:r>
        <w:t xml:space="preserve">A distinct threat is posed by an agent that is itself misaligned. Monitors for covert</w:t>
      </w:r>
      <w:r>
        <w:t xml:space="preserve"> </w:t>
      </w:r>
      <w:r>
        <w:t xml:space="preserve">“</w:t>
      </w:r>
      <w:r>
        <w:t xml:space="preserve">scheming</w:t>
      </w:r>
      <w:r>
        <w:t xml:space="preserve">”</w:t>
      </w:r>
      <w:r>
        <w:t xml:space="preserve"> </w:t>
      </w:r>
      <w:r>
        <w:t xml:space="preserve">operate on observable trajectories. Monitors trained on synthetic data generalized to more realistic environments, but their performance saturated quickly (Storf et al., 2026; preprint).</w:t>
      </w:r>
    </w:p>
    <w:bookmarkEnd w:id="56"/>
    <w:bookmarkStart w:id="57" w:name="adaptive-attackers"/>
    <w:p>
      <w:pPr>
        <w:pStyle w:val="Heading3"/>
      </w:pPr>
      <w:r>
        <w:t xml:space="preserve">2.4.5 Adaptive attackers</w:t>
      </w:r>
    </w:p>
    <w:p>
      <w:pPr>
        <w:pStyle w:val="FirstParagraph"/>
      </w:pPr>
      <w:r>
        <w:t xml:space="preserve">Adaptive attacks bypassed all eight indirect-injection defenses evaluated by Zhan et al. (2025), with attack success consistently above 50%. ToolHijacker (J. Shi et al., 2026) and AI² (Y. Zhang et al., 2024) report similar defeats of the defenses they tested. Detection results measured against fixed attack templates are therefore upper bounds on robustness, not estimates of it.</w:t>
      </w:r>
    </w:p>
    <w:p>
      <w:pPr>
        <w:pStyle w:val="BodyText"/>
      </w:pPr>
      <w:r>
        <w:rPr>
          <w:bCs/>
          <w:b/>
        </w:rPr>
        <w:t xml:space="preserve">Table 2.3. Threat classes and the included evidence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Threat class</w:t>
            </w:r>
          </w:p>
        </w:tc>
        <w:tc>
          <w:tcPr/>
          <w:p>
            <w:pPr>
              <w:pStyle w:val="Compact"/>
              <w:jc w:val="left"/>
            </w:pPr>
            <w:r>
              <w:t xml:space="preserve">Entry point</w:t>
            </w:r>
          </w:p>
        </w:tc>
        <w:tc>
          <w:tcPr/>
          <w:p>
            <w:pPr>
              <w:pStyle w:val="Compact"/>
              <w:jc w:val="left"/>
            </w:pPr>
            <w:r>
              <w:t xml:space="preserve">Temporal scope</w:t>
            </w:r>
          </w:p>
        </w:tc>
        <w:tc>
          <w:tcPr/>
          <w:p>
            <w:pPr>
              <w:pStyle w:val="Compact"/>
              <w:jc w:val="left"/>
            </w:pPr>
            <w:r>
              <w:t xml:space="preserve">Why it is hard to detect</w:t>
            </w:r>
          </w:p>
        </w:tc>
        <w:tc>
          <w:tcPr/>
          <w:p>
            <w:pPr>
              <w:pStyle w:val="Compact"/>
              <w:jc w:val="left"/>
            </w:pPr>
            <w:r>
              <w:t xml:space="preserve">Included studies (evidence level)</w:t>
            </w:r>
          </w:p>
        </w:tc>
      </w:tr>
      <w:tr>
        <w:tc>
          <w:tcPr/>
          <w:p>
            <w:pPr>
              <w:pStyle w:val="Compact"/>
              <w:jc w:val="left"/>
            </w:pPr>
            <w:r>
              <w:t xml:space="preserve">Direct prompt injection</w:t>
            </w:r>
          </w:p>
        </w:tc>
        <w:tc>
          <w:tcPr/>
          <w:p>
            <w:pPr>
              <w:pStyle w:val="Compact"/>
              <w:jc w:val="left"/>
            </w:pPr>
            <w:r>
              <w:t xml:space="preserve">User channel</w:t>
            </w:r>
          </w:p>
        </w:tc>
        <w:tc>
          <w:tcPr/>
          <w:p>
            <w:pPr>
              <w:pStyle w:val="Compact"/>
              <w:jc w:val="left"/>
            </w:pPr>
            <w:r>
              <w:t xml:space="preserve">Single turn</w:t>
            </w:r>
          </w:p>
        </w:tc>
        <w:tc>
          <w:tcPr/>
          <w:p>
            <w:pPr>
              <w:pStyle w:val="Compact"/>
              <w:jc w:val="left"/>
            </w:pPr>
            <w:r>
              <w:t xml:space="preserve">Injected instructions resemble legitimate ones</w:t>
            </w:r>
          </w:p>
        </w:tc>
        <w:tc>
          <w:tcPr/>
          <w:p>
            <w:pPr>
              <w:pStyle w:val="Compact"/>
              <w:jc w:val="left"/>
            </w:pPr>
            <w:r>
              <w:t xml:space="preserve">Y. Liu et al. 2024 (MOD); Y. Liu et al. 2023 (MOD)</w:t>
            </w:r>
          </w:p>
        </w:tc>
      </w:tr>
      <w:tr>
        <w:tc>
          <w:tcPr/>
          <w:p>
            <w:pPr>
              <w:pStyle w:val="Compact"/>
              <w:jc w:val="left"/>
            </w:pPr>
            <w:r>
              <w:t xml:space="preserve">Indirect prompt injection</w:t>
            </w:r>
          </w:p>
        </w:tc>
        <w:tc>
          <w:tcPr/>
          <w:p>
            <w:pPr>
              <w:pStyle w:val="Compact"/>
              <w:jc w:val="left"/>
            </w:pPr>
            <w:r>
              <w:t xml:space="preserve">Observation channel (tool outputs, retrieved content, web pages)</w:t>
            </w:r>
          </w:p>
        </w:tc>
        <w:tc>
          <w:tcPr/>
          <w:p>
            <w:pPr>
              <w:pStyle w:val="Compact"/>
              <w:jc w:val="left"/>
            </w:pPr>
            <w:r>
              <w:t xml:space="preserve">Cross-step</w:t>
            </w:r>
          </w:p>
        </w:tc>
        <w:tc>
          <w:tcPr/>
          <w:p>
            <w:pPr>
              <w:pStyle w:val="Compact"/>
              <w:jc w:val="left"/>
            </w:pPr>
            <w:r>
              <w:t xml:space="preserve">Enters after input inspection</w:t>
            </w:r>
          </w:p>
        </w:tc>
        <w:tc>
          <w:tcPr/>
          <w:p>
            <w:pPr>
              <w:pStyle w:val="Compact"/>
              <w:jc w:val="left"/>
            </w:pPr>
            <w:r>
              <w:t xml:space="preserve">Greshake et al. 2023 (MOD); Zhan et al. 2024 (HIGH); H. Zhang et al. 2025 (HIGH); Z. Wang et al. 2025 (HIGH); Johnson et al. 2025 (LIM); Wei et al. 2026 (MOD)</w:t>
            </w:r>
          </w:p>
        </w:tc>
      </w:tr>
      <w:tr>
        <w:tc>
          <w:tcPr/>
          <w:p>
            <w:pPr>
              <w:pStyle w:val="Compact"/>
              <w:jc w:val="left"/>
            </w:pPr>
            <w:r>
              <w:t xml:space="preserve">Tool channel attacks (selection, metadata, servers, skills)</w:t>
            </w:r>
          </w:p>
        </w:tc>
        <w:tc>
          <w:tcPr/>
          <w:p>
            <w:pPr>
              <w:pStyle w:val="Compact"/>
              <w:jc w:val="left"/>
            </w:pPr>
            <w:r>
              <w:t xml:space="preserve">Tool library, tool metadata, skill files</w:t>
            </w:r>
          </w:p>
        </w:tc>
        <w:tc>
          <w:tcPr/>
          <w:p>
            <w:pPr>
              <w:pStyle w:val="Compact"/>
              <w:jc w:val="left"/>
            </w:pPr>
            <w:r>
              <w:t xml:space="preserve">Setup-time or cross-step</w:t>
            </w:r>
          </w:p>
        </w:tc>
        <w:tc>
          <w:tcPr/>
          <w:p>
            <w:pPr>
              <w:pStyle w:val="Compact"/>
              <w:jc w:val="left"/>
            </w:pPr>
            <w:r>
              <w:t xml:space="preserve">Poisoned artefacts are trusted as configuration</w:t>
            </w:r>
          </w:p>
        </w:tc>
        <w:tc>
          <w:tcPr/>
          <w:p>
            <w:pPr>
              <w:pStyle w:val="Compact"/>
              <w:jc w:val="left"/>
            </w:pPr>
            <w:r>
              <w:t xml:space="preserve">J. Shi et al. 2026 (LIM); C. Huang et al. 2026 (MOD); Hasan et al. 2026 (HIGH); X. Jia et al. 2026 (LIM)</w:t>
            </w:r>
          </w:p>
        </w:tc>
      </w:tr>
      <w:tr>
        <w:tc>
          <w:tcPr/>
          <w:p>
            <w:pPr>
              <w:pStyle w:val="Compact"/>
              <w:jc w:val="left"/>
            </w:pPr>
            <w:r>
              <w:t xml:space="preserve">Tool misuse / action manipulation</w:t>
            </w:r>
          </w:p>
        </w:tc>
        <w:tc>
          <w:tcPr/>
          <w:p>
            <w:pPr>
              <w:pStyle w:val="Compact"/>
              <w:jc w:val="left"/>
            </w:pPr>
            <w:r>
              <w:t xml:space="preserve">Tool arguments; action plans</w:t>
            </w:r>
          </w:p>
        </w:tc>
        <w:tc>
          <w:tcPr/>
          <w:p>
            <w:pPr>
              <w:pStyle w:val="Compact"/>
              <w:jc w:val="left"/>
            </w:pPr>
            <w:r>
              <w:t xml:space="preserve">Step or chain</w:t>
            </w:r>
          </w:p>
        </w:tc>
        <w:tc>
          <w:tcPr/>
          <w:p>
            <w:pPr>
              <w:pStyle w:val="Compact"/>
              <w:jc w:val="left"/>
            </w:pPr>
            <w:r>
              <w:t xml:space="preserve">Call is well formed; anomaly is relational</w:t>
            </w:r>
          </w:p>
        </w:tc>
        <w:tc>
          <w:tcPr/>
          <w:p>
            <w:pPr>
              <w:pStyle w:val="Compact"/>
              <w:jc w:val="left"/>
            </w:pPr>
            <w:r>
              <w:t xml:space="preserve">Fu et al. 2024 (MOD); Y. Zhang et al. 2024 (MOD); T. Liu et al. 2023 (MOD); Pedro et al. 2023 (LIM); Andriushchenko et al. 2025 (MOD)</w:t>
            </w:r>
          </w:p>
        </w:tc>
      </w:tr>
      <w:tr>
        <w:tc>
          <w:tcPr/>
          <w:p>
            <w:pPr>
              <w:pStyle w:val="Compact"/>
              <w:jc w:val="left"/>
            </w:pPr>
            <w:r>
              <w:t xml:space="preserve">Context and memory manipulation</w:t>
            </w:r>
          </w:p>
        </w:tc>
        <w:tc>
          <w:tcPr/>
          <w:p>
            <w:pPr>
              <w:pStyle w:val="Compact"/>
              <w:jc w:val="left"/>
            </w:pPr>
            <w:r>
              <w:t xml:space="preserve">Memory, retrieval corpus</w:t>
            </w:r>
          </w:p>
        </w:tc>
        <w:tc>
          <w:tcPr/>
          <w:p>
            <w:pPr>
              <w:pStyle w:val="Compact"/>
              <w:jc w:val="left"/>
            </w:pPr>
            <w:r>
              <w:t xml:space="preserve">Cross-session</w:t>
            </w:r>
          </w:p>
        </w:tc>
        <w:tc>
          <w:tcPr/>
          <w:p>
            <w:pPr>
              <w:pStyle w:val="Compact"/>
              <w:jc w:val="left"/>
            </w:pPr>
            <w:r>
              <w:t xml:space="preserve">Write and activation separated in time</w:t>
            </w:r>
          </w:p>
        </w:tc>
        <w:tc>
          <w:tcPr/>
          <w:p>
            <w:pPr>
              <w:pStyle w:val="Compact"/>
              <w:jc w:val="left"/>
            </w:pPr>
            <w:r>
              <w:t xml:space="preserve">Z. Chen et al. 2024 (MOD)</w:t>
            </w:r>
          </w:p>
        </w:tc>
      </w:tr>
      <w:tr>
        <w:tc>
          <w:tcPr/>
          <w:p>
            <w:pPr>
              <w:pStyle w:val="Compact"/>
              <w:jc w:val="left"/>
            </w:pPr>
            <w:r>
              <w:t xml:space="preserve">Goal drift / multi-step propagation</w:t>
            </w:r>
          </w:p>
        </w:tc>
        <w:tc>
          <w:tcPr/>
          <w:p>
            <w:pPr>
              <w:pStyle w:val="Compact"/>
              <w:jc w:val="left"/>
            </w:pPr>
            <w:r>
              <w:t xml:space="preserve">Trajectory</w:t>
            </w:r>
          </w:p>
        </w:tc>
        <w:tc>
          <w:tcPr/>
          <w:p>
            <w:pPr>
              <w:pStyle w:val="Compact"/>
              <w:jc w:val="left"/>
            </w:pPr>
            <w:r>
              <w:t xml:space="preserve">Trajectory</w:t>
            </w:r>
          </w:p>
        </w:tc>
        <w:tc>
          <w:tcPr/>
          <w:p>
            <w:pPr>
              <w:pStyle w:val="Compact"/>
              <w:jc w:val="left"/>
            </w:pPr>
            <w:r>
              <w:t xml:space="preserve">No single step need be anomalous</w:t>
            </w:r>
          </w:p>
        </w:tc>
        <w:tc>
          <w:tcPr/>
          <w:p>
            <w:pPr>
              <w:pStyle w:val="Compact"/>
              <w:jc w:val="left"/>
            </w:pPr>
            <w:r>
              <w:t xml:space="preserve">C. L. Wang et al. 2025 (MOD); W. Lin et al. 2026 (MOD); Z. Chen et al. 2026 (LIM)</w:t>
            </w:r>
          </w:p>
        </w:tc>
      </w:tr>
      <w:tr>
        <w:tc>
          <w:tcPr/>
          <w:p>
            <w:pPr>
              <w:pStyle w:val="Compact"/>
              <w:jc w:val="left"/>
            </w:pPr>
            <w:r>
              <w:t xml:space="preserve">Abnormal / repetitive execution</w:t>
            </w:r>
          </w:p>
        </w:tc>
        <w:tc>
          <w:tcPr/>
          <w:p>
            <w:pPr>
              <w:pStyle w:val="Compact"/>
              <w:jc w:val="left"/>
            </w:pPr>
            <w:r>
              <w:t xml:space="preserve">Trajectory</w:t>
            </w:r>
          </w:p>
        </w:tc>
        <w:tc>
          <w:tcPr/>
          <w:p>
            <w:pPr>
              <w:pStyle w:val="Compact"/>
              <w:jc w:val="left"/>
            </w:pPr>
            <w:r>
              <w:t xml:space="preserve">Trajectory</w:t>
            </w:r>
          </w:p>
        </w:tc>
        <w:tc>
          <w:tcPr/>
          <w:p>
            <w:pPr>
              <w:pStyle w:val="Compact"/>
              <w:jc w:val="left"/>
            </w:pPr>
            <w:r>
              <w:t xml:space="preserve">Anomaly lies in the pattern</w:t>
            </w:r>
          </w:p>
        </w:tc>
        <w:tc>
          <w:tcPr/>
          <w:p>
            <w:pPr>
              <w:pStyle w:val="Compact"/>
              <w:jc w:val="left"/>
            </w:pPr>
            <w:r>
              <w:t xml:space="preserve">B. Zhang et al. 2025 (MOD)</w:t>
            </w:r>
          </w:p>
        </w:tc>
      </w:tr>
      <w:tr>
        <w:tc>
          <w:tcPr/>
          <w:p>
            <w:pPr>
              <w:pStyle w:val="Compact"/>
              <w:jc w:val="left"/>
            </w:pPr>
            <w:r>
              <w:t xml:space="preserve">Misaligned (scheming) agent</w:t>
            </w:r>
          </w:p>
        </w:tc>
        <w:tc>
          <w:tcPr/>
          <w:p>
            <w:pPr>
              <w:pStyle w:val="Compact"/>
              <w:jc w:val="left"/>
            </w:pPr>
            <w:r>
              <w:t xml:space="preserve">Agent itself</w:t>
            </w:r>
          </w:p>
        </w:tc>
        <w:tc>
          <w:tcPr/>
          <w:p>
            <w:pPr>
              <w:pStyle w:val="Compact"/>
              <w:jc w:val="left"/>
            </w:pPr>
            <w:r>
              <w:t xml:space="preserve">Trajectory</w:t>
            </w:r>
          </w:p>
        </w:tc>
        <w:tc>
          <w:tcPr/>
          <w:p>
            <w:pPr>
              <w:pStyle w:val="Compact"/>
              <w:jc w:val="left"/>
            </w:pPr>
            <w:r>
              <w:t xml:space="preserve">Covert pursuit of another goal</w:t>
            </w:r>
          </w:p>
        </w:tc>
        <w:tc>
          <w:tcPr/>
          <w:p>
            <w:pPr>
              <w:pStyle w:val="Compact"/>
              <w:jc w:val="left"/>
            </w:pPr>
            <w:r>
              <w:t xml:space="preserve">Storf et al. 2026 (LIM)</w:t>
            </w:r>
          </w:p>
        </w:tc>
      </w:tr>
      <w:tr>
        <w:tc>
          <w:tcPr/>
          <w:p>
            <w:pPr>
              <w:pStyle w:val="Compact"/>
              <w:jc w:val="left"/>
            </w:pPr>
            <w:r>
              <w:t xml:space="preserve">Adaptive attacks</w:t>
            </w:r>
          </w:p>
        </w:tc>
        <w:tc>
          <w:tcPr/>
          <w:p>
            <w:pPr>
              <w:pStyle w:val="Compact"/>
              <w:jc w:val="left"/>
            </w:pPr>
            <w:r>
              <w:t xml:space="preserve">Any</w:t>
            </w:r>
          </w:p>
        </w:tc>
        <w:tc>
          <w:tcPr/>
          <w:p>
            <w:pPr>
              <w:pStyle w:val="Compact"/>
              <w:jc w:val="left"/>
            </w:pPr>
            <w:r>
              <w:t xml:space="preserve">Any</w:t>
            </w:r>
          </w:p>
        </w:tc>
        <w:tc>
          <w:tcPr/>
          <w:p>
            <w:pPr>
              <w:pStyle w:val="Compact"/>
              <w:jc w:val="left"/>
            </w:pPr>
            <w:r>
              <w:t xml:space="preserve">Designed against the defense</w:t>
            </w:r>
          </w:p>
        </w:tc>
        <w:tc>
          <w:tcPr/>
          <w:p>
            <w:pPr>
              <w:pStyle w:val="Compact"/>
              <w:jc w:val="left"/>
            </w:pPr>
            <w:r>
              <w:t xml:space="preserve">Zhan et al. 2025 (MOD); J. Shi et al. 2026 (LIM); Y. Zhang et al. 2024 (MOD)</w:t>
            </w:r>
          </w:p>
        </w:tc>
      </w:tr>
    </w:tbl>
    <w:p>
      <w:pPr>
        <w:pStyle w:val="BodyText"/>
      </w:pPr>
      <w:r>
        <w:rPr>
          <w:iCs/>
          <w:i/>
        </w:rPr>
        <w:t xml:space="preserve">Evidence levels: HIGH, MOD (moderate) and LIM (limited), as defined in Section 2.2.6.</w:t>
      </w:r>
    </w:p>
    <w:p>
      <w:pPr>
        <w:pStyle w:val="BodyText"/>
      </w:pPr>
      <w:r>
        <w:rPr>
          <w:bCs/>
          <w:b/>
        </w:rPr>
        <w:t xml:space="preserve">Themes 1 and 2 (threats; entry points): synthesis.</w:t>
      </w:r>
    </w:p>
    <w:p>
      <w:pPr>
        <w:numPr>
          <w:ilvl w:val="0"/>
          <w:numId w:val="1044"/>
        </w:numPr>
        <w:pStyle w:val="Compact"/>
      </w:pPr>
      <w:r>
        <w:rPr>
          <w:bCs/>
          <w:b/>
        </w:rPr>
        <w:t xml:space="preserve">Established.</w:t>
      </w:r>
      <w:r>
        <w:t xml:space="preserve"> </w:t>
      </w:r>
      <w:r>
        <w:t xml:space="preserve">Indirect injection through the observation channel is demonstrated, benchmarked and adaptive. Its success rates are substantial across independent benchmarks, and the defenses of the time failed against adaptive attacks. The harm materializes when the agent proposes a tool call.</w:t>
      </w:r>
    </w:p>
    <w:p>
      <w:pPr>
        <w:numPr>
          <w:ilvl w:val="0"/>
          <w:numId w:val="1044"/>
        </w:numPr>
        <w:pStyle w:val="Compact"/>
      </w:pPr>
      <w:r>
        <w:rPr>
          <w:bCs/>
          <w:b/>
        </w:rPr>
        <w:t xml:space="preserve">Uncertain.</w:t>
      </w:r>
      <w:r>
        <w:t xml:space="preserve"> </w:t>
      </w:r>
      <w:r>
        <w:t xml:space="preserve">Reported success rates differ by an order of magnitude across benchmarks, models and attack channels: from 24% on InjecAgent to 84.30% average on ASB, and 40–75% across models on ClawSafety. Those differences cannot be attributed to any single factor.</w:t>
      </w:r>
    </w:p>
    <w:p>
      <w:pPr>
        <w:numPr>
          <w:ilvl w:val="0"/>
          <w:numId w:val="1044"/>
        </w:numPr>
        <w:pStyle w:val="Compact"/>
      </w:pPr>
      <w:r>
        <w:rPr>
          <w:bCs/>
          <w:b/>
        </w:rPr>
        <w:t xml:space="preserve">Under-evaluated.</w:t>
      </w:r>
      <w:r>
        <w:t xml:space="preserve"> </w:t>
      </w:r>
      <w:r>
        <w:t xml:space="preserve">The newer tool-channel threats (tool metadata, tool libraries, skills and MCP servers) are documented mainly by attack and measurement studies. Few runtime defenses have been evaluated against them. Abnormal and repetitive execution is evidenced by one peer-reviewed study.</w:t>
      </w:r>
    </w:p>
    <w:p>
      <w:pPr>
        <w:numPr>
          <w:ilvl w:val="0"/>
          <w:numId w:val="1044"/>
        </w:numPr>
        <w:pStyle w:val="Compact"/>
      </w:pPr>
      <w:r>
        <w:rPr>
          <w:bCs/>
          <w:b/>
        </w:rPr>
        <w:t xml:space="preserve">Differs across studies.</w:t>
      </w:r>
      <w:r>
        <w:t xml:space="preserve"> </w:t>
      </w:r>
      <w:r>
        <w:t xml:space="preserve">The threat actor varies: an attacker in the data, a malicious user, a poisoned tool supplier, or a misaligned agent. So does the success criterion, which may be an attacker goal achieved, an unsafe action executed, or a task failure.</w:t>
      </w:r>
    </w:p>
    <w:p>
      <w:pPr>
        <w:numPr>
          <w:ilvl w:val="0"/>
          <w:numId w:val="1044"/>
        </w:numPr>
        <w:pStyle w:val="Compact"/>
      </w:pPr>
      <w:r>
        <w:rPr>
          <w:bCs/>
          <w:b/>
        </w:rPr>
        <w:t xml:space="preserve">Implication for REM.</w:t>
      </w:r>
      <w:r>
        <w:t xml:space="preserve"> </w:t>
      </w:r>
      <w:r>
        <w:t xml:space="preserve">The observation point for REM is the proposed tool call. That is where every threat class above converges on an external effect. REM’s primary threat model, indirect injection against a benign user’s financial agent, is the best-evidenced class. Tool-channel threats and misaligned-agent threats lie outside REM’s evaluated scope and should be stated as such in Chapter 3.</w:t>
      </w:r>
    </w:p>
    <w:p>
      <w:r>
        <w:pict>
          <v:rect style="width:0;height:1.5pt" o:hralign="center" o:hrstd="t" o:hr="t"/>
        </w:pict>
      </w:r>
    </w:p>
    <w:bookmarkEnd w:id="57"/>
    <w:bookmarkEnd w:id="58"/>
    <w:bookmarkStart w:id="59" w:name="benchmarks-and-threat-models"/>
    <w:p>
      <w:pPr>
        <w:pStyle w:val="Heading2"/>
      </w:pPr>
      <w:r>
        <w:t xml:space="preserve">2.5 Benchmarks and Threat Models</w:t>
      </w:r>
    </w:p>
    <w:p>
      <w:pPr>
        <w:pStyle w:val="FirstParagraph"/>
      </w:pPr>
      <w:r>
        <w:t xml:space="preserve">Benchmarks operationalize threat models, and they bound what a defense can be shown to achieve. Table 2.4 evaluates the benchmarks used by included studies on seven dimensions:</w:t>
      </w:r>
    </w:p>
    <w:p>
      <w:pPr>
        <w:numPr>
          <w:ilvl w:val="0"/>
          <w:numId w:val="1045"/>
        </w:numPr>
        <w:pStyle w:val="Compact"/>
      </w:pPr>
      <w:r>
        <w:t xml:space="preserve">what the benchmark actually measures;</w:t>
      </w:r>
    </w:p>
    <w:p>
      <w:pPr>
        <w:numPr>
          <w:ilvl w:val="0"/>
          <w:numId w:val="1045"/>
        </w:numPr>
        <w:pStyle w:val="Compact"/>
      </w:pPr>
      <w:r>
        <w:t xml:space="preserve">its threat model;</w:t>
      </w:r>
    </w:p>
    <w:p>
      <w:pPr>
        <w:numPr>
          <w:ilvl w:val="0"/>
          <w:numId w:val="1045"/>
        </w:numPr>
        <w:pStyle w:val="Compact"/>
      </w:pPr>
      <w:r>
        <w:t xml:space="preserve">its execution realism;</w:t>
      </w:r>
    </w:p>
    <w:p>
      <w:pPr>
        <w:numPr>
          <w:ilvl w:val="0"/>
          <w:numId w:val="1045"/>
        </w:numPr>
        <w:pStyle w:val="Compact"/>
      </w:pPr>
      <w:r>
        <w:t xml:space="preserve">its financial relevance;</w:t>
      </w:r>
    </w:p>
    <w:p>
      <w:pPr>
        <w:numPr>
          <w:ilvl w:val="0"/>
          <w:numId w:val="1045"/>
        </w:numPr>
        <w:pStyle w:val="Compact"/>
      </w:pPr>
      <w:r>
        <w:t xml:space="preserve">its multi-step coverage;</w:t>
      </w:r>
    </w:p>
    <w:p>
      <w:pPr>
        <w:numPr>
          <w:ilvl w:val="0"/>
          <w:numId w:val="1045"/>
        </w:numPr>
        <w:pStyle w:val="Compact"/>
      </w:pPr>
      <w:r>
        <w:t xml:space="preserve">whether it measures utility;</w:t>
      </w:r>
    </w:p>
    <w:p>
      <w:pPr>
        <w:numPr>
          <w:ilvl w:val="0"/>
          <w:numId w:val="1045"/>
        </w:numPr>
        <w:pStyle w:val="Compact"/>
      </w:pPr>
      <w:r>
        <w:t xml:space="preserve">its limitations.</w:t>
      </w:r>
    </w:p>
    <w:p>
      <w:pPr>
        <w:pStyle w:val="FirstParagraph"/>
      </w:pPr>
      <w:r>
        <w:rPr>
          <w:bCs/>
          <w:b/>
        </w:rPr>
        <w:t xml:space="preserve">Table 2.4. Critical evaluation of benchmarks used by included studies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Benchmark (source)</w:t>
            </w:r>
          </w:p>
        </w:tc>
        <w:tc>
          <w:tcPr/>
          <w:p>
            <w:pPr>
              <w:pStyle w:val="Compact"/>
              <w:jc w:val="left"/>
            </w:pPr>
            <w:r>
              <w:t xml:space="preserve">What it measures</w:t>
            </w:r>
          </w:p>
        </w:tc>
        <w:tc>
          <w:tcPr/>
          <w:p>
            <w:pPr>
              <w:pStyle w:val="Compact"/>
              <w:jc w:val="left"/>
            </w:pPr>
            <w:r>
              <w:t xml:space="preserve">Threat model</w:t>
            </w:r>
          </w:p>
        </w:tc>
        <w:tc>
          <w:tcPr/>
          <w:p>
            <w:pPr>
              <w:pStyle w:val="Compact"/>
              <w:jc w:val="left"/>
            </w:pPr>
            <w:r>
              <w:t xml:space="preserve">Execution realism</w:t>
            </w:r>
          </w:p>
        </w:tc>
        <w:tc>
          <w:tcPr/>
          <w:p>
            <w:pPr>
              <w:pStyle w:val="Compact"/>
              <w:jc w:val="left"/>
            </w:pPr>
            <w:r>
              <w:t xml:space="preserve">Financial relevance</w:t>
            </w:r>
          </w:p>
        </w:tc>
        <w:tc>
          <w:tcPr/>
          <w:p>
            <w:pPr>
              <w:pStyle w:val="Compact"/>
              <w:jc w:val="left"/>
            </w:pPr>
            <w:r>
              <w:t xml:space="preserve">Multi-step coverage</w:t>
            </w:r>
          </w:p>
        </w:tc>
        <w:tc>
          <w:tcPr/>
          <w:p>
            <w:pPr>
              <w:pStyle w:val="Compact"/>
              <w:jc w:val="left"/>
            </w:pPr>
            <w:r>
              <w:t xml:space="preserve">Utility measured</w:t>
            </w:r>
          </w:p>
        </w:tc>
        <w:tc>
          <w:tcPr/>
          <w:p>
            <w:pPr>
              <w:pStyle w:val="Compact"/>
              <w:jc w:val="left"/>
            </w:pPr>
            <w:r>
              <w:t xml:space="preserve">Limitations</w:t>
            </w:r>
          </w:p>
        </w:tc>
      </w:tr>
      <w:tr>
        <w:tc>
          <w:tcPr/>
          <w:p>
            <w:pPr>
              <w:pStyle w:val="Compact"/>
              <w:jc w:val="left"/>
            </w:pPr>
            <w:r>
              <w:t xml:space="preserve">AgentDojo (Debenedetti et al., 2024)</w:t>
            </w:r>
          </w:p>
        </w:tc>
        <w:tc>
          <w:tcPr/>
          <w:p>
            <w:pPr>
              <w:pStyle w:val="Compact"/>
              <w:jc w:val="left"/>
            </w:pPr>
            <w:r>
              <w:t xml:space="preserve">Task utility, utility under attack and targeted attack success per episode; 97 user tasks, 629 security cases</w:t>
            </w:r>
          </w:p>
        </w:tc>
        <w:tc>
          <w:tcPr/>
          <w:p>
            <w:pPr>
              <w:pStyle w:val="Compact"/>
              <w:jc w:val="left"/>
            </w:pPr>
            <w:r>
              <w:t xml:space="preserve">Indirect injection via tool outputs</w:t>
            </w:r>
          </w:p>
        </w:tc>
        <w:tc>
          <w:tcPr/>
          <w:p>
            <w:pPr>
              <w:pStyle w:val="Compact"/>
              <w:jc w:val="left"/>
            </w:pPr>
            <w:r>
              <w:t xml:space="preserve">Executable, stateful tools; outcomes checked against environment state</w:t>
            </w:r>
          </w:p>
        </w:tc>
        <w:tc>
          <w:tcPr/>
          <w:p>
            <w:pPr>
              <w:pStyle w:val="Compact"/>
              <w:jc w:val="left"/>
            </w:pPr>
            <w:r>
              <w:t xml:space="preserve">One of four suites is Banking; no finance-specific analysis in the verified record</w:t>
            </w:r>
          </w:p>
        </w:tc>
        <w:tc>
          <w:tcPr/>
          <w:p>
            <w:pPr>
              <w:pStyle w:val="Compact"/>
              <w:jc w:val="left"/>
            </w:pPr>
            <w:r>
              <w:t xml:space="preserve">Yes (multi-tool episodes); number of genuinely multi-step attacks not verified</w:t>
            </w:r>
          </w:p>
        </w:tc>
        <w:tc>
          <w:tcPr/>
          <w:p>
            <w:pPr>
              <w:pStyle w:val="Compact"/>
              <w:jc w:val="left"/>
            </w:pPr>
            <w:r>
              <w:t xml:space="preserve">Yes, jointly with security</w:t>
            </w:r>
          </w:p>
        </w:tc>
        <w:tc>
          <w:tcPr/>
          <w:p>
            <w:pPr>
              <w:pStyle w:val="Compact"/>
              <w:jc w:val="left"/>
            </w:pPr>
            <w:r>
              <w:t xml:space="preserve">Limited number of distinct tasks; robustness claims bounded by the attacks evaluated (Section 2.4.5)</w:t>
            </w:r>
          </w:p>
        </w:tc>
      </w:tr>
      <w:tr>
        <w:tc>
          <w:tcPr/>
          <w:p>
            <w:pPr>
              <w:pStyle w:val="Compact"/>
              <w:jc w:val="left"/>
            </w:pPr>
            <w:r>
              <w:t xml:space="preserve">InjecAgent (Zhan et al., 2024)</w:t>
            </w:r>
          </w:p>
        </w:tc>
        <w:tc>
          <w:tcPr/>
          <w:p>
            <w:pPr>
              <w:pStyle w:val="Compact"/>
              <w:jc w:val="left"/>
            </w:pPr>
            <w:r>
              <w:t xml:space="preserve">Whether the next action after one injected tool response serves the attacker; 1,054 cases</w:t>
            </w:r>
          </w:p>
        </w:tc>
        <w:tc>
          <w:tcPr/>
          <w:p>
            <w:pPr>
              <w:pStyle w:val="Compact"/>
              <w:jc w:val="left"/>
            </w:pPr>
            <w:r>
              <w:t xml:space="preserve">Indirect injection (direct harm; data exfiltration)</w:t>
            </w:r>
          </w:p>
        </w:tc>
        <w:tc>
          <w:tcPr/>
          <w:p>
            <w:pPr>
              <w:pStyle w:val="Compact"/>
              <w:jc w:val="left"/>
            </w:pPr>
            <w:r>
              <w:t xml:space="preserve">Simulated single tool response</w:t>
            </w:r>
          </w:p>
        </w:tc>
        <w:tc>
          <w:tcPr/>
          <w:p>
            <w:pPr>
              <w:pStyle w:val="Compact"/>
              <w:jc w:val="left"/>
            </w:pPr>
            <w:r>
              <w:t xml:space="preserve">Not reported</w:t>
            </w:r>
          </w:p>
        </w:tc>
        <w:tc>
          <w:tcPr/>
          <w:p>
            <w:pPr>
              <w:pStyle w:val="Compact"/>
              <w:jc w:val="left"/>
            </w:pPr>
            <w:r>
              <w:t xml:space="preserve">No (short cases)</w:t>
            </w:r>
          </w:p>
        </w:tc>
        <w:tc>
          <w:tcPr/>
          <w:p>
            <w:pPr>
              <w:pStyle w:val="Compact"/>
              <w:jc w:val="left"/>
            </w:pPr>
            <w:r>
              <w:t xml:space="preserve">No</w:t>
            </w:r>
          </w:p>
        </w:tc>
        <w:tc>
          <w:tcPr/>
          <w:p>
            <w:pPr>
              <w:pStyle w:val="Compact"/>
              <w:jc w:val="left"/>
            </w:pPr>
            <w:r>
              <w:t xml:space="preserve">Isolates injection susceptibility; no benign utility</w:t>
            </w:r>
          </w:p>
        </w:tc>
      </w:tr>
      <w:tr>
        <w:tc>
          <w:tcPr/>
          <w:p>
            <w:pPr>
              <w:pStyle w:val="Compact"/>
              <w:jc w:val="left"/>
            </w:pPr>
            <w:r>
              <w:t xml:space="preserve">ASB (H. Zhang et al., 2025)</w:t>
            </w:r>
          </w:p>
        </w:tc>
        <w:tc>
          <w:tcPr/>
          <w:p>
            <w:pPr>
              <w:pStyle w:val="Compact"/>
              <w:jc w:val="left"/>
            </w:pPr>
            <w:r>
              <w:t xml:space="preserve">Attack success across stages; utility–security trade-off metric</w:t>
            </w:r>
          </w:p>
        </w:tc>
        <w:tc>
          <w:tcPr/>
          <w:p>
            <w:pPr>
              <w:pStyle w:val="Compact"/>
              <w:jc w:val="left"/>
            </w:pPr>
            <w:r>
              <w:t xml:space="preserve">Direct/indirect injection, memory poisoning, backdoor, mixed</w:t>
            </w:r>
          </w:p>
        </w:tc>
        <w:tc>
          <w:tcPr/>
          <w:p>
            <w:pPr>
              <w:pStyle w:val="Compact"/>
              <w:jc w:val="left"/>
            </w:pPr>
            <w:r>
              <w:t xml:space="preserve">Agent framework with &gt;400 tools</w:t>
            </w:r>
          </w:p>
        </w:tc>
        <w:tc>
          <w:tcPr/>
          <w:p>
            <w:pPr>
              <w:pStyle w:val="Compact"/>
              <w:jc w:val="left"/>
            </w:pPr>
            <w:r>
              <w:t xml:space="preserve">Finance is one of 10 scenarios; not analysed separately</w:t>
            </w:r>
          </w:p>
        </w:tc>
        <w:tc>
          <w:tcPr/>
          <w:p>
            <w:pPr>
              <w:pStyle w:val="Compact"/>
              <w:jc w:val="left"/>
            </w:pPr>
            <w:r>
              <w:t xml:space="preserve">Yes (multiple stages)</w:t>
            </w:r>
          </w:p>
        </w:tc>
        <w:tc>
          <w:tcPr/>
          <w:p>
            <w:pPr>
              <w:pStyle w:val="Compact"/>
              <w:jc w:val="left"/>
            </w:pPr>
            <w:r>
              <w:t xml:space="preserve">Yes</w:t>
            </w:r>
          </w:p>
        </w:tc>
        <w:tc>
          <w:tcPr/>
          <w:p>
            <w:pPr>
              <w:pStyle w:val="Compact"/>
              <w:jc w:val="left"/>
            </w:pPr>
            <w:r>
              <w:t xml:space="preserve">Breadth over depth per scenario</w:t>
            </w:r>
          </w:p>
        </w:tc>
      </w:tr>
      <w:tr>
        <w:tc>
          <w:tcPr/>
          <w:p>
            <w:pPr>
              <w:pStyle w:val="Compact"/>
              <w:jc w:val="left"/>
            </w:pPr>
            <w:r>
              <w:t xml:space="preserve">AgentHarm (Andriushchenko et al., 2025)</w:t>
            </w:r>
          </w:p>
        </w:tc>
        <w:tc>
          <w:tcPr/>
          <w:p>
            <w:pPr>
              <w:pStyle w:val="Compact"/>
              <w:jc w:val="left"/>
            </w:pPr>
            <w:r>
              <w:t xml:space="preserve">Whether harmful multi-step tasks are completed</w:t>
            </w:r>
          </w:p>
        </w:tc>
        <w:tc>
          <w:tcPr/>
          <w:p>
            <w:pPr>
              <w:pStyle w:val="Compact"/>
              <w:jc w:val="left"/>
            </w:pPr>
            <w:r>
              <w:t xml:space="preserve">Malicious user</w:t>
            </w:r>
          </w:p>
        </w:tc>
        <w:tc>
          <w:tcPr/>
          <w:p>
            <w:pPr>
              <w:pStyle w:val="Compact"/>
              <w:jc w:val="left"/>
            </w:pPr>
            <w:r>
              <w:t xml:space="preserve">Synthetic tools</w:t>
            </w:r>
          </w:p>
        </w:tc>
        <w:tc>
          <w:tcPr/>
          <w:p>
            <w:pPr>
              <w:pStyle w:val="Compact"/>
              <w:jc w:val="left"/>
            </w:pPr>
            <w:r>
              <w:t xml:space="preserve">Fraud is one of 11 categories</w:t>
            </w:r>
          </w:p>
        </w:tc>
        <w:tc>
          <w:tcPr/>
          <w:p>
            <w:pPr>
              <w:pStyle w:val="Compact"/>
              <w:jc w:val="left"/>
            </w:pPr>
            <w:r>
              <w:t xml:space="preserve">Yes</w:t>
            </w:r>
          </w:p>
        </w:tc>
        <w:tc>
          <w:tcPr/>
          <w:p>
            <w:pPr>
              <w:pStyle w:val="Compact"/>
              <w:jc w:val="left"/>
            </w:pPr>
            <w:r>
              <w:t xml:space="preserve">Capability retention after jailbreak</w:t>
            </w:r>
          </w:p>
        </w:tc>
        <w:tc>
          <w:tcPr/>
          <w:p>
            <w:pPr>
              <w:pStyle w:val="Compact"/>
              <w:jc w:val="left"/>
            </w:pPr>
            <w:r>
              <w:t xml:space="preserve">Different threat actor from REM’s</w:t>
            </w:r>
          </w:p>
        </w:tc>
      </w:tr>
      <w:tr>
        <w:tc>
          <w:tcPr/>
          <w:p>
            <w:pPr>
              <w:pStyle w:val="Compact"/>
              <w:jc w:val="left"/>
            </w:pPr>
            <w:r>
              <w:t xml:space="preserve">ToolEmu (Ruan et al., 2024)</w:t>
            </w:r>
          </w:p>
        </w:tc>
        <w:tc>
          <w:tcPr/>
          <w:p>
            <w:pPr>
              <w:pStyle w:val="Compact"/>
              <w:jc w:val="left"/>
            </w:pPr>
            <w:r>
              <w:t xml:space="preserve">Risky failures without adversary; 144 cases</w:t>
            </w:r>
          </w:p>
        </w:tc>
        <w:tc>
          <w:tcPr/>
          <w:p>
            <w:pPr>
              <w:pStyle w:val="Compact"/>
              <w:jc w:val="left"/>
            </w:pPr>
            <w:r>
              <w:t xml:space="preserve">No adversary</w:t>
            </w:r>
          </w:p>
        </w:tc>
        <w:tc>
          <w:tcPr/>
          <w:p>
            <w:pPr>
              <w:pStyle w:val="Compact"/>
              <w:jc w:val="left"/>
            </w:pPr>
            <w:r>
              <w:t xml:space="preserve">LM-emulated tools</w:t>
            </w:r>
          </w:p>
        </w:tc>
        <w:tc>
          <w:tcPr/>
          <w:p>
            <w:pPr>
              <w:pStyle w:val="Compact"/>
              <w:jc w:val="left"/>
            </w:pPr>
            <w:r>
              <w:t xml:space="preserve">Not reported (financial loss among risk examples)</w:t>
            </w:r>
          </w:p>
        </w:tc>
        <w:tc>
          <w:tcPr/>
          <w:p>
            <w:pPr>
              <w:pStyle w:val="Compact"/>
              <w:jc w:val="left"/>
            </w:pPr>
            <w:r>
              <w:t xml:space="preserve">Yes</w:t>
            </w:r>
          </w:p>
        </w:tc>
        <w:tc>
          <w:tcPr/>
          <w:p>
            <w:pPr>
              <w:pStyle w:val="Compact"/>
              <w:jc w:val="left"/>
            </w:pPr>
            <w:r>
              <w:t xml:space="preserve">Not the focus</w:t>
            </w:r>
          </w:p>
        </w:tc>
        <w:tc>
          <w:tcPr/>
          <w:p>
            <w:pPr>
              <w:pStyle w:val="Compact"/>
              <w:jc w:val="left"/>
            </w:pPr>
            <w:r>
              <w:t xml:space="preserve">Emulator and evaluator are LMs</w:t>
            </w:r>
          </w:p>
        </w:tc>
      </w:tr>
      <w:tr>
        <w:tc>
          <w:tcPr/>
          <w:p>
            <w:pPr>
              <w:pStyle w:val="Compact"/>
              <w:jc w:val="left"/>
            </w:pPr>
            <w:r>
              <w:t xml:space="preserve">R-Judge (Yuan et al., 2024)</w:t>
            </w:r>
          </w:p>
        </w:tc>
        <w:tc>
          <w:tcPr/>
          <w:p>
            <w:pPr>
              <w:pStyle w:val="Compact"/>
              <w:jc w:val="left"/>
            </w:pPr>
            <w:r>
              <w:t xml:space="preserve">LLM ability to judge safety risk in 569 multi-turn records</w:t>
            </w:r>
          </w:p>
        </w:tc>
        <w:tc>
          <w:tcPr/>
          <w:p>
            <w:pPr>
              <w:pStyle w:val="Compact"/>
              <w:jc w:val="left"/>
            </w:pPr>
            <w:r>
              <w:t xml:space="preserve">Behavioural safety risks</w:t>
            </w:r>
          </w:p>
        </w:tc>
        <w:tc>
          <w:tcPr/>
          <w:p>
            <w:pPr>
              <w:pStyle w:val="Compact"/>
              <w:jc w:val="left"/>
            </w:pPr>
            <w:r>
              <w:t xml:space="preserve">Recorded interactions (offline)</w:t>
            </w:r>
          </w:p>
        </w:tc>
        <w:tc>
          <w:tcPr/>
          <w:p>
            <w:pPr>
              <w:pStyle w:val="Compact"/>
              <w:jc w:val="left"/>
            </w:pPr>
            <w:r>
              <w:t xml:space="preserve">Not reported</w:t>
            </w:r>
          </w:p>
        </w:tc>
        <w:tc>
          <w:tcPr/>
          <w:p>
            <w:pPr>
              <w:pStyle w:val="Compact"/>
              <w:jc w:val="left"/>
            </w:pPr>
            <w:r>
              <w:t xml:space="preserve">Yes</w:t>
            </w:r>
          </w:p>
        </w:tc>
        <w:tc>
          <w:tcPr/>
          <w:p>
            <w:pPr>
              <w:pStyle w:val="Compact"/>
              <w:jc w:val="left"/>
            </w:pPr>
            <w:r>
              <w:t xml:space="preserve">Not applicable</w:t>
            </w:r>
          </w:p>
        </w:tc>
        <w:tc>
          <w:tcPr/>
          <w:p>
            <w:pPr>
              <w:pStyle w:val="Compact"/>
              <w:jc w:val="left"/>
            </w:pPr>
            <w:r>
              <w:t xml:space="preserve">Offline judgement, not runtime interception</w:t>
            </w:r>
          </w:p>
        </w:tc>
      </w:tr>
      <w:tr>
        <w:tc>
          <w:tcPr/>
          <w:p>
            <w:pPr>
              <w:pStyle w:val="Compact"/>
              <w:jc w:val="left"/>
            </w:pPr>
            <w:r>
              <w:t xml:space="preserve">ClawSafety (Wei et al., 2026)</w:t>
            </w:r>
          </w:p>
        </w:tc>
        <w:tc>
          <w:tcPr/>
          <w:p>
            <w:pPr>
              <w:pStyle w:val="Compact"/>
              <w:jc w:val="left"/>
            </w:pPr>
            <w:r>
              <w:t xml:space="preserve">Attack success in high-privilege workspaces; 120 scenarios, 2,520 trials</w:t>
            </w:r>
          </w:p>
        </w:tc>
        <w:tc>
          <w:tcPr/>
          <w:p>
            <w:pPr>
              <w:pStyle w:val="Compact"/>
              <w:jc w:val="left"/>
            </w:pPr>
            <w:r>
              <w:t xml:space="preserve">Injection via skills, email, web</w:t>
            </w:r>
          </w:p>
        </w:tc>
        <w:tc>
          <w:tcPr/>
          <w:p>
            <w:pPr>
              <w:pStyle w:val="Compact"/>
              <w:jc w:val="left"/>
            </w:pPr>
            <w:r>
              <w:t xml:space="preserve">Sandboxed real frameworks</w:t>
            </w:r>
          </w:p>
        </w:tc>
        <w:tc>
          <w:tcPr/>
          <w:p>
            <w:pPr>
              <w:pStyle w:val="Compact"/>
              <w:jc w:val="left"/>
            </w:pPr>
            <w:r>
              <w:t xml:space="preserve">Finance is one of five domains</w:t>
            </w:r>
          </w:p>
        </w:tc>
        <w:tc>
          <w:tcPr/>
          <w:p>
            <w:pPr>
              <w:pStyle w:val="Compact"/>
              <w:jc w:val="left"/>
            </w:pPr>
            <w:r>
              <w:t xml:space="preserve">Not verified</w:t>
            </w:r>
          </w:p>
        </w:tc>
        <w:tc>
          <w:tcPr/>
          <w:p>
            <w:pPr>
              <w:pStyle w:val="Compact"/>
              <w:jc w:val="left"/>
            </w:pPr>
            <w:r>
              <w:t xml:space="preserve">Not verified</w:t>
            </w:r>
          </w:p>
        </w:tc>
        <w:tc>
          <w:tcPr/>
          <w:p>
            <w:pPr>
              <w:pStyle w:val="Compact"/>
              <w:jc w:val="left"/>
            </w:pPr>
            <w:r>
              <w:t xml:space="preserve">Preprint; release announced</w:t>
            </w:r>
          </w:p>
        </w:tc>
      </w:tr>
      <w:tr>
        <w:tc>
          <w:tcPr/>
          <w:p>
            <w:pPr>
              <w:pStyle w:val="Compact"/>
              <w:jc w:val="left"/>
            </w:pPr>
            <w:r>
              <w:t xml:space="preserve">SIREN (J. Lin et al., 2026, VIGIL)</w:t>
            </w:r>
          </w:p>
        </w:tc>
        <w:tc>
          <w:tcPr/>
          <w:p>
            <w:pPr>
              <w:pStyle w:val="Compact"/>
              <w:jc w:val="left"/>
            </w:pPr>
            <w:r>
              <w:t xml:space="preserve">Tool-stream injection defense; 959 cases</w:t>
            </w:r>
          </w:p>
        </w:tc>
        <w:tc>
          <w:tcPr/>
          <w:p>
            <w:pPr>
              <w:pStyle w:val="Compact"/>
              <w:jc w:val="left"/>
            </w:pPr>
            <w:r>
              <w:t xml:space="preserve">Injection via tool metadata and feedback</w:t>
            </w:r>
          </w:p>
        </w:tc>
        <w:tc>
          <w:tcPr/>
          <w:p>
            <w:pPr>
              <w:pStyle w:val="Compact"/>
              <w:jc w:val="left"/>
            </w:pPr>
            <w:r>
              <w:t xml:space="preserve">Not verified</w:t>
            </w:r>
          </w:p>
        </w:tc>
        <w:tc>
          <w:tcPr/>
          <w:p>
            <w:pPr>
              <w:pStyle w:val="Compact"/>
              <w:jc w:val="left"/>
            </w:pPr>
            <w:r>
              <w:t xml:space="preserve">Not reported</w:t>
            </w:r>
          </w:p>
        </w:tc>
        <w:tc>
          <w:tcPr/>
          <w:p>
            <w:pPr>
              <w:pStyle w:val="Compact"/>
              <w:jc w:val="left"/>
            </w:pPr>
            <w:r>
              <w:t xml:space="preserve">Not verified</w:t>
            </w:r>
          </w:p>
        </w:tc>
        <w:tc>
          <w:tcPr/>
          <w:p>
            <w:pPr>
              <w:pStyle w:val="Compact"/>
              <w:jc w:val="left"/>
            </w:pPr>
            <w:r>
              <w:t xml:space="preserve">Utility under attack</w:t>
            </w:r>
          </w:p>
        </w:tc>
        <w:tc>
          <w:tcPr/>
          <w:p>
            <w:pPr>
              <w:pStyle w:val="Compact"/>
              <w:jc w:val="left"/>
            </w:pPr>
            <w:r>
              <w:t xml:space="preserve">Introduced with the defense evaluated on it</w:t>
            </w:r>
          </w:p>
        </w:tc>
      </w:tr>
      <w:tr>
        <w:tc>
          <w:tcPr/>
          <w:p>
            <w:pPr>
              <w:pStyle w:val="Compact"/>
              <w:jc w:val="left"/>
            </w:pPr>
            <w:r>
              <w:t xml:space="preserve">TS-Bench (Mou et al., 2026, ToolSafe)</w:t>
            </w:r>
          </w:p>
        </w:tc>
        <w:tc>
          <w:tcPr/>
          <w:p>
            <w:pPr>
              <w:pStyle w:val="Compact"/>
              <w:jc w:val="left"/>
            </w:pPr>
            <w:r>
              <w:t xml:space="preserve">Step-level detection of unsafe tool invocations</w:t>
            </w:r>
          </w:p>
        </w:tc>
        <w:tc>
          <w:tcPr/>
          <w:p>
            <w:pPr>
              <w:pStyle w:val="Compact"/>
              <w:jc w:val="left"/>
            </w:pPr>
            <w:r>
              <w:t xml:space="preserve">Unsafe invocations incl. injection</w:t>
            </w:r>
          </w:p>
        </w:tc>
        <w:tc>
          <w:tcPr/>
          <w:p>
            <w:pPr>
              <w:pStyle w:val="Compact"/>
              <w:jc w:val="left"/>
            </w:pPr>
            <w:r>
              <w:t xml:space="preserve">Not verified</w:t>
            </w:r>
          </w:p>
        </w:tc>
        <w:tc>
          <w:tcPr/>
          <w:p>
            <w:pPr>
              <w:pStyle w:val="Compact"/>
              <w:jc w:val="left"/>
            </w:pPr>
            <w:r>
              <w:t xml:space="preserve">Not reported</w:t>
            </w:r>
          </w:p>
        </w:tc>
        <w:tc>
          <w:tcPr/>
          <w:p>
            <w:pPr>
              <w:pStyle w:val="Compact"/>
              <w:jc w:val="left"/>
            </w:pPr>
            <w:r>
              <w:t xml:space="preserve">Yes (interaction history)</w:t>
            </w:r>
          </w:p>
        </w:tc>
        <w:tc>
          <w:tcPr/>
          <w:p>
            <w:pPr>
              <w:pStyle w:val="Compact"/>
              <w:jc w:val="left"/>
            </w:pPr>
            <w:r>
              <w:t xml:space="preserve">Benign completion</w:t>
            </w:r>
          </w:p>
        </w:tc>
        <w:tc>
          <w:tcPr/>
          <w:p>
            <w:pPr>
              <w:pStyle w:val="Compact"/>
              <w:jc w:val="left"/>
            </w:pPr>
            <w:r>
              <w:t xml:space="preserve">Introduced with the guardrail evaluated on it</w:t>
            </w:r>
          </w:p>
        </w:tc>
      </w:tr>
      <w:tr>
        <w:tc>
          <w:tcPr/>
          <w:p>
            <w:pPr>
              <w:pStyle w:val="Compact"/>
              <w:jc w:val="left"/>
            </w:pPr>
            <w:r>
              <w:t xml:space="preserve">NEXUS-Bench (Hossain et al., 2026)</w:t>
            </w:r>
          </w:p>
        </w:tc>
        <w:tc>
          <w:tcPr/>
          <w:p>
            <w:pPr>
              <w:pStyle w:val="Compact"/>
              <w:jc w:val="left"/>
            </w:pPr>
            <w:r>
              <w:t xml:space="preserve">Plan-level intervention accuracy; 128 held-out synthetic instances</w:t>
            </w:r>
          </w:p>
        </w:tc>
        <w:tc>
          <w:tcPr/>
          <w:p>
            <w:pPr>
              <w:pStyle w:val="Compact"/>
              <w:jc w:val="left"/>
            </w:pPr>
            <w:r>
              <w:t xml:space="preserve">Unsafe plans</w:t>
            </w:r>
          </w:p>
        </w:tc>
        <w:tc>
          <w:tcPr/>
          <w:p>
            <w:pPr>
              <w:pStyle w:val="Compact"/>
              <w:jc w:val="left"/>
            </w:pPr>
            <w:r>
              <w:t xml:space="preserve">Author-generated templates</w:t>
            </w:r>
          </w:p>
        </w:tc>
        <w:tc>
          <w:tcPr/>
          <w:p>
            <w:pPr>
              <w:pStyle w:val="Compact"/>
              <w:jc w:val="left"/>
            </w:pPr>
            <w:r>
              <w:t xml:space="preserve">Not reported</w:t>
            </w:r>
          </w:p>
        </w:tc>
        <w:tc>
          <w:tcPr/>
          <w:p>
            <w:pPr>
              <w:pStyle w:val="Compact"/>
              <w:jc w:val="left"/>
            </w:pPr>
            <w:r>
              <w:t xml:space="preserve">Plan-level</w:t>
            </w:r>
          </w:p>
        </w:tc>
        <w:tc>
          <w:tcPr/>
          <w:p>
            <w:pPr>
              <w:pStyle w:val="Compact"/>
              <w:jc w:val="left"/>
            </w:pPr>
            <w:r>
              <w:t xml:space="preserve">Paired benign cases</w:t>
            </w:r>
          </w:p>
        </w:tc>
        <w:tc>
          <w:tcPr/>
          <w:p>
            <w:pPr>
              <w:pStyle w:val="Compact"/>
              <w:jc w:val="left"/>
            </w:pPr>
            <w:r>
              <w:t xml:space="preserve">Authors: in-distribution results are upper bounds</w:t>
            </w:r>
          </w:p>
        </w:tc>
      </w:tr>
      <w:tr>
        <w:tc>
          <w:tcPr/>
          <w:p>
            <w:pPr>
              <w:pStyle w:val="Compact"/>
              <w:jc w:val="left"/>
            </w:pPr>
            <w:r>
              <w:t xml:space="preserve">FinVault (Z. Yang et al., 2026)</w:t>
            </w:r>
          </w:p>
        </w:tc>
        <w:tc>
          <w:tcPr/>
          <w:p>
            <w:pPr>
              <w:pStyle w:val="Compact"/>
              <w:jc w:val="left"/>
            </w:pPr>
            <w:r>
              <w:t xml:space="preserve">Financial-agent security (as originally reported)</w:t>
            </w:r>
          </w:p>
        </w:tc>
        <w:tc>
          <w:tcPr/>
          <w:p>
            <w:pPr>
              <w:pStyle w:val="Compact"/>
              <w:jc w:val="left"/>
            </w:pPr>
            <w:r>
              <w:t xml:space="preserve">Financial-agent attacks</w:t>
            </w:r>
          </w:p>
        </w:tc>
        <w:tc>
          <w:tcPr/>
          <w:p>
            <w:pPr>
              <w:pStyle w:val="Compact"/>
              <w:jc w:val="left"/>
            </w:pPr>
            <w:r>
              <w:t xml:space="preserve">Execution-grounded (as originally reported)</w:t>
            </w:r>
          </w:p>
        </w:tc>
        <w:tc>
          <w:tcPr/>
          <w:p>
            <w:pPr>
              <w:pStyle w:val="Compact"/>
              <w:jc w:val="left"/>
            </w:pPr>
            <w:r>
              <w:t xml:space="preserve">Yes</w:t>
            </w:r>
          </w:p>
        </w:tc>
        <w:tc>
          <w:tcPr/>
          <w:p>
            <w:pPr>
              <w:pStyle w:val="Compact"/>
              <w:jc w:val="left"/>
            </w:pPr>
            <w:r>
              <w:t xml:space="preserve">Not verified</w:t>
            </w:r>
          </w:p>
        </w:tc>
        <w:tc>
          <w:tcPr/>
          <w:p>
            <w:pPr>
              <w:pStyle w:val="Compact"/>
              <w:jc w:val="left"/>
            </w:pPr>
            <w:r>
              <w:t xml:space="preserve">Not verified</w:t>
            </w:r>
          </w:p>
        </w:tc>
        <w:tc>
          <w:tcPr/>
          <w:p>
            <w:pPr>
              <w:pStyle w:val="Compact"/>
              <w:jc w:val="left"/>
            </w:pPr>
            <w:r>
              <w:rPr>
                <w:bCs/>
                <w:b/>
              </w:rPr>
              <w:t xml:space="preserve">Withdrawn by its authors; not evidence</w:t>
            </w:r>
          </w:p>
        </w:tc>
      </w:tr>
    </w:tbl>
    <w:p>
      <w:pPr>
        <w:pStyle w:val="BodyText"/>
      </w:pPr>
      <w:r>
        <w:rPr>
          <w:bCs/>
          <w:b/>
        </w:rPr>
        <w:t xml:space="preserve">Audits of benchmark validity.</w:t>
      </w:r>
      <w:r>
        <w:t xml:space="preserve"> </w:t>
      </w:r>
      <w:r>
        <w:t xml:space="preserve">Two included meta-research studies qualify how far any of these scores can be read as measurements of safety:</w:t>
      </w:r>
    </w:p>
    <w:p>
      <w:pPr>
        <w:numPr>
          <w:ilvl w:val="0"/>
          <w:numId w:val="1046"/>
        </w:numPr>
        <w:pStyle w:val="Compact"/>
      </w:pPr>
      <w:r>
        <w:t xml:space="preserve">M. Q. Li et al. (2026; preprint) catalogued 40 agent-safety benchmarks and found no ranking concordance across evaluation dimensions (Kendall’s</w:t>
      </w:r>
      <w:r>
        <w:t xml:space="preserve"> </w:t>
      </w:r>
      <w:r>
        <w:rPr>
          <w:iCs/>
          <w:i/>
        </w:rPr>
        <w:t xml:space="preserve">W</w:t>
      </w:r>
      <w:r>
        <w:t xml:space="preserve">). Benchmark choice alone can therefore change which system appears safest.</w:t>
      </w:r>
    </w:p>
    <w:p>
      <w:pPr>
        <w:numPr>
          <w:ilvl w:val="0"/>
          <w:numId w:val="1046"/>
        </w:numPr>
        <w:pStyle w:val="Compact"/>
      </w:pPr>
      <w:r>
        <w:t xml:space="preserve">Y. Wang et al. (2026; preprint) found that on one binary trace-judgment benchmark an</w:t>
      </w:r>
      <w:r>
        <w:t xml:space="preserve"> </w:t>
      </w:r>
      <w:r>
        <w:t xml:space="preserve">“</w:t>
      </w:r>
      <w:r>
        <w:t xml:space="preserve">always positive</w:t>
      </w:r>
      <w:r>
        <w:t xml:space="preserve">”</w:t>
      </w:r>
      <w:r>
        <w:t xml:space="preserve"> </w:t>
      </w:r>
      <w:r>
        <w:t xml:space="preserve">baseline outranked five models under F1. They also found that a cross-benchmark correlation moved from −0.64 with seven models to +0.02 with eighteen, an artefact of small panels.</w:t>
      </w:r>
    </w:p>
    <w:p>
      <w:pPr>
        <w:pStyle w:val="FirstParagraph"/>
      </w:pPr>
      <w:r>
        <w:t xml:space="preserve">The machine-learning-for-security literature anticipated these problems. Sampling bias, inappropriate baselines, base-rate neglect and lab-only evaluation recur in top-venue security papers (Arp et al., 2022; methodological source).</w:t>
      </w:r>
    </w:p>
    <w:p>
      <w:pPr>
        <w:pStyle w:val="BodyText"/>
      </w:pPr>
      <w:r>
        <w:rPr>
          <w:bCs/>
          <w:b/>
        </w:rPr>
        <w:t xml:space="preserve">Benchmarks built with the defense.</w:t>
      </w:r>
      <w:r>
        <w:t xml:space="preserve"> </w:t>
      </w:r>
      <w:r>
        <w:t xml:space="preserve">Two further observations come from the extraction. First, six included defense or benchmark studies introduce the benchmark on which their own method is evaluated: SIREN, TS-Bench, SciSafetyBench, NEXUS-Bench, PromptShield and the MCP policy-enforcement point’s controlled dataset. Second, most of these report no evaluation on an independent benchmark in the verified record. NEXUS is an exception: it reports out-of-distribution results on R-Judge.</w:t>
      </w:r>
    </w:p>
    <w:p>
      <w:pPr>
        <w:pStyle w:val="BodyText"/>
      </w:pPr>
      <w:r>
        <w:rPr>
          <w:bCs/>
          <w:b/>
        </w:rPr>
        <w:t xml:space="preserve">AgentDojo in particular.</w:t>
      </w:r>
      <w:r>
        <w:t xml:space="preserve"> </w:t>
      </w:r>
      <w:r>
        <w:t xml:space="preserve">AgentDojo receives particular attention because of its executable Banking suite, but the evidence does not support calling it the best benchmark. Its advantages for REM’s question are specific:</w:t>
      </w:r>
    </w:p>
    <w:p>
      <w:pPr>
        <w:numPr>
          <w:ilvl w:val="0"/>
          <w:numId w:val="1047"/>
        </w:numPr>
        <w:pStyle w:val="Compact"/>
      </w:pPr>
      <w:r>
        <w:t xml:space="preserve">tools execute and change environment state;</w:t>
      </w:r>
    </w:p>
    <w:p>
      <w:pPr>
        <w:numPr>
          <w:ilvl w:val="0"/>
          <w:numId w:val="1047"/>
        </w:numPr>
        <w:pStyle w:val="Compact"/>
      </w:pPr>
      <w:r>
        <w:t xml:space="preserve">utility and security are measured separately;</w:t>
      </w:r>
    </w:p>
    <w:p>
      <w:pPr>
        <w:numPr>
          <w:ilvl w:val="0"/>
          <w:numId w:val="1047"/>
        </w:numPr>
        <w:pStyle w:val="Compact"/>
      </w:pPr>
      <w:r>
        <w:t xml:space="preserve">a Banking suite exists.</w:t>
      </w:r>
    </w:p>
    <w:p>
      <w:pPr>
        <w:pStyle w:val="FirstParagraph"/>
      </w:pPr>
      <w:r>
        <w:t xml:space="preserve">Its limitations are equally specific:</w:t>
      </w:r>
    </w:p>
    <w:p>
      <w:pPr>
        <w:numPr>
          <w:ilvl w:val="0"/>
          <w:numId w:val="1048"/>
        </w:numPr>
        <w:pStyle w:val="Compact"/>
      </w:pPr>
      <w:r>
        <w:t xml:space="preserve">a small number of distinct user tasks;</w:t>
      </w:r>
    </w:p>
    <w:p>
      <w:pPr>
        <w:numPr>
          <w:ilvl w:val="0"/>
          <w:numId w:val="1048"/>
        </w:numPr>
        <w:pStyle w:val="Compact"/>
      </w:pPr>
      <w:r>
        <w:t xml:space="preserve">robustness claims bounded by the attacks actually evaluated (Section 2.4.5);</w:t>
      </w:r>
    </w:p>
    <w:p>
      <w:pPr>
        <w:numPr>
          <w:ilvl w:val="0"/>
          <w:numId w:val="1048"/>
        </w:numPr>
        <w:pStyle w:val="Compact"/>
      </w:pPr>
      <w:r>
        <w:t xml:space="preserve">no verified finance-specific analysis in the literature reviewed here.</w:t>
      </w:r>
    </w:p>
    <w:p>
      <w:pPr>
        <w:pStyle w:val="FirstParagraph"/>
      </w:pPr>
      <w:r>
        <w:t xml:space="preserve">The number of distinct tasks, not the number of generated runs, bounds what an evaluation on it can conclude (Chapter 3 treats this under grouping).</w:t>
      </w:r>
    </w:p>
    <w:p>
      <w:pPr>
        <w:pStyle w:val="BodyText"/>
      </w:pPr>
      <w:r>
        <w:rPr>
          <w:bCs/>
          <w:b/>
        </w:rPr>
        <w:t xml:space="preserve">Theme 11 (evaluation quality) — benchmark component.</w:t>
      </w:r>
    </w:p>
    <w:p>
      <w:pPr>
        <w:numPr>
          <w:ilvl w:val="0"/>
          <w:numId w:val="1049"/>
        </w:numPr>
        <w:pStyle w:val="Compact"/>
      </w:pPr>
      <w:r>
        <w:rPr>
          <w:bCs/>
          <w:b/>
        </w:rPr>
        <w:t xml:space="preserve">Established.</w:t>
      </w:r>
      <w:r>
        <w:t xml:space="preserve"> </w:t>
      </w:r>
      <w:r>
        <w:t xml:space="preserve">Benchmark results are benchmark-specific and do not transfer.</w:t>
      </w:r>
    </w:p>
    <w:p>
      <w:pPr>
        <w:numPr>
          <w:ilvl w:val="0"/>
          <w:numId w:val="1049"/>
        </w:numPr>
        <w:pStyle w:val="Compact"/>
      </w:pPr>
      <w:r>
        <w:rPr>
          <w:bCs/>
          <w:b/>
        </w:rPr>
        <w:t xml:space="preserve">Uncertain.</w:t>
      </w:r>
      <w:r>
        <w:t xml:space="preserve"> </w:t>
      </w:r>
      <w:r>
        <w:t xml:space="preserve">How many genuinely multi-step attacks the common benchmarks contain.</w:t>
      </w:r>
    </w:p>
    <w:p>
      <w:pPr>
        <w:numPr>
          <w:ilvl w:val="0"/>
          <w:numId w:val="1049"/>
        </w:numPr>
        <w:pStyle w:val="Compact"/>
      </w:pPr>
      <w:r>
        <w:rPr>
          <w:bCs/>
          <w:b/>
        </w:rPr>
        <w:t xml:space="preserve">Under-evaluated.</w:t>
      </w:r>
      <w:r>
        <w:t xml:space="preserve"> </w:t>
      </w:r>
      <w:r>
        <w:t xml:space="preserve">Independent evaluation of defenses on benchmarks their authors did not build.</w:t>
      </w:r>
    </w:p>
    <w:p>
      <w:pPr>
        <w:numPr>
          <w:ilvl w:val="0"/>
          <w:numId w:val="1049"/>
        </w:numPr>
        <w:pStyle w:val="Compact"/>
      </w:pPr>
      <w:r>
        <w:rPr>
          <w:bCs/>
          <w:b/>
        </w:rPr>
        <w:t xml:space="preserve">Differs across studies.</w:t>
      </w:r>
      <w:r>
        <w:t xml:space="preserve"> </w:t>
      </w:r>
      <w:r>
        <w:t xml:space="preserve">Success criteria and utility definitions.</w:t>
      </w:r>
    </w:p>
    <w:p>
      <w:pPr>
        <w:numPr>
          <w:ilvl w:val="0"/>
          <w:numId w:val="1049"/>
        </w:numPr>
        <w:pStyle w:val="Compact"/>
      </w:pPr>
      <w:r>
        <w:rPr>
          <w:bCs/>
          <w:b/>
        </w:rPr>
        <w:t xml:space="preserve">Implication for REM.</w:t>
      </w:r>
      <w:r>
        <w:t xml:space="preserve"> </w:t>
      </w:r>
      <w:r>
        <w:t xml:space="preserve">Results must be reported per benchmark, with benign utility, and interpreted against the number of distinct tasks. FinVault cannot be used.</w:t>
      </w:r>
    </w:p>
    <w:p>
      <w:r>
        <w:pict>
          <v:rect style="width:0;height:1.5pt" o:hralign="center" o:hrstd="t" o:hr="t"/>
        </w:pict>
      </w:r>
    </w:p>
    <w:bookmarkEnd w:id="59"/>
    <w:bookmarkStart w:id="65" w:name="defensive-approaches"/>
    <w:p>
      <w:pPr>
        <w:pStyle w:val="Heading2"/>
      </w:pPr>
      <w:r>
        <w:t xml:space="preserve">2.6 Defensive Approaches</w:t>
      </w:r>
    </w:p>
    <w:p>
      <w:pPr>
        <w:pStyle w:val="FirstParagraph"/>
      </w:pPr>
      <w:r>
        <w:t xml:space="preserve">The 42 included defense and design studies differ along two dimensions that the literature rarely separates:</w:t>
      </w:r>
    </w:p>
    <w:p>
      <w:pPr>
        <w:numPr>
          <w:ilvl w:val="0"/>
          <w:numId w:val="1050"/>
        </w:numPr>
        <w:pStyle w:val="Compact"/>
      </w:pPr>
      <w:r>
        <w:rPr>
          <w:bCs/>
          <w:b/>
        </w:rPr>
        <w:t xml:space="preserve">where they intervene:</w:t>
      </w:r>
      <w:r>
        <w:t xml:space="preserve"> </w:t>
      </w:r>
      <w:r>
        <w:t xml:space="preserve">at the input, in the context, in the model, in the system architecture, at the policy or tool layer, around the agent loop at runtime, or after an action has taken effect;</w:t>
      </w:r>
    </w:p>
    <w:p>
      <w:pPr>
        <w:numPr>
          <w:ilvl w:val="0"/>
          <w:numId w:val="1050"/>
        </w:numPr>
        <w:pStyle w:val="Compact"/>
      </w:pPr>
      <w:r>
        <w:rPr>
          <w:bCs/>
          <w:b/>
        </w:rPr>
        <w:t xml:space="preserve">what they observe:</w:t>
      </w:r>
      <w:r>
        <w:t xml:space="preserve"> </w:t>
      </w:r>
      <w:r>
        <w:t xml:space="preserve">an isolated input, an individual tool call, a plan, the flow of data between steps, a trajectory, or the consequence of an action.</w:t>
      </w:r>
    </w:p>
    <w:p>
      <w:pPr>
        <w:pStyle w:val="FirstParagraph"/>
      </w:pPr>
      <w:r>
        <w:t xml:space="preserve">This section organizes defenses by where they intervene. Section 2.7 examines what runtime monitors observe, and Section 2.9 examines how they decide and mitigate.</w:t>
      </w:r>
    </w:p>
    <w:p>
      <w:pPr>
        <w:pStyle w:val="BodyText"/>
      </w:pPr>
      <w:r>
        <w:rPr>
          <w:bCs/>
          <w:b/>
        </w:rPr>
        <w:t xml:space="preserve">Table 2.5. Where included defenses intervene and what they observe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Point of intervention</w:t>
            </w:r>
          </w:p>
        </w:tc>
        <w:tc>
          <w:tcPr/>
          <w:p>
            <w:pPr>
              <w:pStyle w:val="Compact"/>
              <w:jc w:val="left"/>
            </w:pPr>
            <w:r>
              <w:t xml:space="preserve">Included studies</w:t>
            </w:r>
          </w:p>
        </w:tc>
        <w:tc>
          <w:tcPr/>
          <w:p>
            <w:pPr>
              <w:pStyle w:val="Compact"/>
              <w:jc w:val="left"/>
            </w:pPr>
            <w:r>
              <w:t xml:space="preserve">Primary unit observed</w:t>
            </w:r>
          </w:p>
        </w:tc>
        <w:tc>
          <w:tcPr/>
          <w:p>
            <w:pPr>
              <w:pStyle w:val="Compact"/>
              <w:jc w:val="left"/>
            </w:pPr>
            <w:r>
              <w:t xml:space="preserve">What this position can and cannot see</w:t>
            </w:r>
          </w:p>
        </w:tc>
      </w:tr>
      <w:tr>
        <w:tc>
          <w:tcPr/>
          <w:p>
            <w:pPr>
              <w:pStyle w:val="Compact"/>
              <w:jc w:val="left"/>
            </w:pPr>
            <w:r>
              <w:t xml:space="preserve">Input / context text</w:t>
            </w:r>
          </w:p>
        </w:tc>
        <w:tc>
          <w:tcPr/>
          <w:p>
            <w:pPr>
              <w:pStyle w:val="Compact"/>
              <w:jc w:val="left"/>
            </w:pPr>
            <w:r>
              <w:t xml:space="preserve">InstructDetector (Wen et al., 2025); PromptShield (Jacob et al., 2025); attack-technique defenses (Y. Chen et al., 2025); Spotlighting (Hines et al., 2024); PromptGuard 2 in LlamaFirewall (Chennabasappa et al., 2025)</w:t>
            </w:r>
          </w:p>
        </w:tc>
        <w:tc>
          <w:tcPr/>
          <w:p>
            <w:pPr>
              <w:pStyle w:val="Compact"/>
              <w:jc w:val="left"/>
            </w:pPr>
            <w:r>
              <w:t xml:space="preserve">An input or retrieved text</w:t>
            </w:r>
          </w:p>
        </w:tc>
        <w:tc>
          <w:tcPr/>
          <w:p>
            <w:pPr>
              <w:pStyle w:val="Compact"/>
              <w:jc w:val="left"/>
            </w:pPr>
            <w:r>
              <w:t xml:space="preserve">Sees text before the model acts; does not see how the agent then acts</w:t>
            </w:r>
          </w:p>
        </w:tc>
      </w:tr>
      <w:tr>
        <w:tc>
          <w:tcPr/>
          <w:p>
            <w:pPr>
              <w:pStyle w:val="Compact"/>
              <w:jc w:val="left"/>
            </w:pPr>
            <w:r>
              <w:t xml:space="preserve">Model</w:t>
            </w:r>
          </w:p>
        </w:tc>
        <w:tc>
          <w:tcPr/>
          <w:p>
            <w:pPr>
              <w:pStyle w:val="Compact"/>
              <w:jc w:val="left"/>
            </w:pPr>
            <w:r>
              <w:t xml:space="preserve">StruQ (S. Chen et al., 2025)</w:t>
            </w:r>
          </w:p>
        </w:tc>
        <w:tc>
          <w:tcPr/>
          <w:p>
            <w:pPr>
              <w:pStyle w:val="Compact"/>
              <w:jc w:val="left"/>
            </w:pPr>
            <w:r>
              <w:t xml:space="preserve">Model behaviour under separated channels</w:t>
            </w:r>
          </w:p>
        </w:tc>
        <w:tc>
          <w:tcPr/>
          <w:p>
            <w:pPr>
              <w:pStyle w:val="Compact"/>
              <w:jc w:val="left"/>
            </w:pPr>
            <w:r>
              <w:t xml:space="preserve">Addresses the instruction/data confusion; requires training and model access</w:t>
            </w:r>
          </w:p>
        </w:tc>
      </w:tr>
      <w:tr>
        <w:tc>
          <w:tcPr/>
          <w:p>
            <w:pPr>
              <w:pStyle w:val="Compact"/>
              <w:jc w:val="left"/>
            </w:pPr>
            <w:r>
              <w:t xml:space="preserve">System architecture / information flow</w:t>
            </w:r>
          </w:p>
        </w:tc>
        <w:tc>
          <w:tcPr/>
          <w:p>
            <w:pPr>
              <w:pStyle w:val="Compact"/>
              <w:jc w:val="left"/>
            </w:pPr>
            <w:r>
              <w:t xml:space="preserve">f-secure IFC (F. Wu et al., 2024); RTBAS (Zhong et al., 2025); ACE (E. Li et al., 2026); IsolateGPT (Y. Wu et al., 2025); CaMeL (Debenedetti et al., 2025)</w:t>
            </w:r>
          </w:p>
        </w:tc>
        <w:tc>
          <w:tcPr/>
          <w:p>
            <w:pPr>
              <w:pStyle w:val="Compact"/>
              <w:jc w:val="left"/>
            </w:pPr>
            <w:r>
              <w:t xml:space="preserve">Data flow into planning and between tools or apps</w:t>
            </w:r>
          </w:p>
        </w:tc>
        <w:tc>
          <w:tcPr/>
          <w:p>
            <w:pPr>
              <w:pStyle w:val="Compact"/>
              <w:jc w:val="left"/>
            </w:pPr>
            <w:r>
              <w:t xml:space="preserve">Can prevent untrusted data from steering control flow; changes how the agent executes</w:t>
            </w:r>
          </w:p>
        </w:tc>
      </w:tr>
      <w:tr>
        <w:tc>
          <w:tcPr/>
          <w:p>
            <w:pPr>
              <w:pStyle w:val="Compact"/>
              <w:jc w:val="left"/>
            </w:pPr>
            <w:r>
              <w:t xml:space="preserve">Policy / privilege at the tool boundary</w:t>
            </w:r>
          </w:p>
        </w:tc>
        <w:tc>
          <w:tcPr/>
          <w:p>
            <w:pPr>
              <w:pStyle w:val="Compact"/>
              <w:jc w:val="left"/>
            </w:pPr>
            <w:r>
              <w:t xml:space="preserve">Progent (T. Shi et al., 2025); AgentSpec (H. Wang et al., 2026); Conseca (Tsai &amp; Bagdasarian, 2025); MCP policy-enforcement point (S. Wang et al., 2026); LATTICE (Calboreanu, 2026)</w:t>
            </w:r>
          </w:p>
        </w:tc>
        <w:tc>
          <w:tcPr/>
          <w:p>
            <w:pPr>
              <w:pStyle w:val="Compact"/>
              <w:jc w:val="left"/>
            </w:pPr>
            <w:r>
              <w:t xml:space="preserve">Each tool call against a policy</w:t>
            </w:r>
          </w:p>
        </w:tc>
        <w:tc>
          <w:tcPr/>
          <w:p>
            <w:pPr>
              <w:pStyle w:val="Compact"/>
              <w:jc w:val="left"/>
            </w:pPr>
            <w:r>
              <w:t xml:space="preserve">Deterministic and auditable; answers</w:t>
            </w:r>
            <w:r>
              <w:t xml:space="preserve"> </w:t>
            </w:r>
            <w:r>
              <w:t xml:space="preserve">“</w:t>
            </w:r>
            <w:r>
              <w:t xml:space="preserve">is this permitted?</w:t>
            </w:r>
            <w:r>
              <w:t xml:space="preserve">”</w:t>
            </w:r>
            <w:r>
              <w:t xml:space="preserve">, not</w:t>
            </w:r>
            <w:r>
              <w:t xml:space="preserve"> </w:t>
            </w:r>
            <w:r>
              <w:t xml:space="preserve">“</w:t>
            </w:r>
            <w:r>
              <w:t xml:space="preserve">how likely is this induced?</w:t>
            </w:r>
            <w:r>
              <w:t xml:space="preserve">”</w:t>
            </w:r>
          </w:p>
        </w:tc>
      </w:tr>
      <w:tr>
        <w:tc>
          <w:tcPr/>
          <w:p>
            <w:pPr>
              <w:pStyle w:val="Compact"/>
              <w:jc w:val="left"/>
            </w:pPr>
            <w:r>
              <w:t xml:space="preserve">Plan or reasoning</w:t>
            </w:r>
          </w:p>
        </w:tc>
        <w:tc>
          <w:tcPr/>
          <w:p>
            <w:pPr>
              <w:pStyle w:val="Compact"/>
              <w:jc w:val="left"/>
            </w:pPr>
            <w:r>
              <w:t xml:space="preserve">TrustAgent (Hua et al., 2024); Thought-Aligner (Jiang et al., 2025); NEXUS (Hossain et al., 2026); DRIFT planner (H. Li et al., 2025)</w:t>
            </w:r>
          </w:p>
        </w:tc>
        <w:tc>
          <w:tcPr/>
          <w:p>
            <w:pPr>
              <w:pStyle w:val="Compact"/>
              <w:jc w:val="left"/>
            </w:pPr>
            <w:r>
              <w:t xml:space="preserve">A plan or intermediate thought</w:t>
            </w:r>
          </w:p>
        </w:tc>
        <w:tc>
          <w:tcPr/>
          <w:p>
            <w:pPr>
              <w:pStyle w:val="Compact"/>
              <w:jc w:val="left"/>
            </w:pPr>
            <w:r>
              <w:t xml:space="preserve">Can intervene before actions exist; plans can change after new observations</w:t>
            </w:r>
          </w:p>
        </w:tc>
      </w:tr>
      <w:tr>
        <w:tc>
          <w:tcPr/>
          <w:p>
            <w:pPr>
              <w:pStyle w:val="Compact"/>
              <w:jc w:val="left"/>
            </w:pPr>
            <w:r>
              <w:t xml:space="preserve">Runtime around the agent loop</w:t>
            </w:r>
          </w:p>
        </w:tc>
        <w:tc>
          <w:tcPr/>
          <w:p>
            <w:pPr>
              <w:pStyle w:val="Compact"/>
              <w:jc w:val="left"/>
            </w:pPr>
            <w:r>
              <w:t xml:space="preserve">Task Shield (F. Jia et al., 2025); MELON (Zhu, Yang, et al., 2025); ProvenanceGuard (She et al., 2026); VIGIL (J. Lin et al., 2026); ToolSafe (Mou et al., 2026); DRIFT validator (H. Li et al., 2025); GuardAgent (Xiang et al., 2025); ShieldAgent (Z. Chen, Kang, &amp; Li, 2025); AGrail (Luo et al., 2025); SafeScientist (K. Zhu et al., 2025); AlignmentCheck (Chennabasappa et al., 2025); AgentTrust (C. Yang, 2026); MI9 (C. L. Wang et al., 2025); PRISM (F. Li, 2026); ProbGuard (H. Wang et al., 2025); DreamGuard (Lin et al., 2026); SafeAgent (H. Liu et al., 2026); FinHarness (H. Jia et al., 2026); constitutional monitors (Storf et al., 2026)</w:t>
            </w:r>
          </w:p>
        </w:tc>
        <w:tc>
          <w:tcPr/>
          <w:p>
            <w:pPr>
              <w:pStyle w:val="Compact"/>
              <w:jc w:val="left"/>
            </w:pPr>
            <w:r>
              <w:t xml:space="preserve">Proposed action in context; sometimes the trajectory</w:t>
            </w:r>
          </w:p>
        </w:tc>
        <w:tc>
          <w:tcPr/>
          <w:p>
            <w:pPr>
              <w:pStyle w:val="Compact"/>
              <w:jc w:val="left"/>
            </w:pPr>
            <w:r>
              <w:t xml:space="preserve">Observes the action boundary; costs are latency and false interventions</w:t>
            </w:r>
          </w:p>
        </w:tc>
      </w:tr>
      <w:tr>
        <w:tc>
          <w:tcPr/>
          <w:p>
            <w:pPr>
              <w:pStyle w:val="Compact"/>
              <w:jc w:val="left"/>
            </w:pPr>
            <w:r>
              <w:t xml:space="preserve">Post-action / transactional</w:t>
            </w:r>
          </w:p>
        </w:tc>
        <w:tc>
          <w:tcPr/>
          <w:p>
            <w:pPr>
              <w:pStyle w:val="Compact"/>
              <w:jc w:val="left"/>
            </w:pPr>
            <w:r>
              <w:t xml:space="preserve">Cordon (Z. Chen et al., 2026); GoEX (Patil et al., 2024)</w:t>
            </w:r>
          </w:p>
        </w:tc>
        <w:tc>
          <w:tcPr/>
          <w:p>
            <w:pPr>
              <w:pStyle w:val="Compact"/>
              <w:jc w:val="left"/>
            </w:pPr>
            <w:r>
              <w:t xml:space="preserve">Staged or reversible effects</w:t>
            </w:r>
          </w:p>
        </w:tc>
        <w:tc>
          <w:tcPr/>
          <w:p>
            <w:pPr>
              <w:pStyle w:val="Compact"/>
              <w:jc w:val="left"/>
            </w:pPr>
            <w:r>
              <w:t xml:space="preserve">Can hold, undo or confine effects; consumes rather than produces a risk judgement</w:t>
            </w:r>
          </w:p>
        </w:tc>
      </w:tr>
      <w:tr>
        <w:tc>
          <w:tcPr/>
          <w:p>
            <w:pPr>
              <w:pStyle w:val="Compact"/>
              <w:jc w:val="left"/>
            </w:pPr>
            <w:r>
              <w:t xml:space="preserve">Consequence gating</w:t>
            </w:r>
          </w:p>
        </w:tc>
        <w:tc>
          <w:tcPr/>
          <w:p>
            <w:pPr>
              <w:pStyle w:val="Compact"/>
              <w:jc w:val="left"/>
            </w:pPr>
            <w:r>
              <w:t xml:space="preserve">Actuarial Action Interface (H.-H. Chen, 2026)</w:t>
            </w:r>
          </w:p>
        </w:tc>
        <w:tc>
          <w:tcPr/>
          <w:p>
            <w:pPr>
              <w:pStyle w:val="Compact"/>
              <w:jc w:val="left"/>
            </w:pPr>
            <w:r>
              <w:t xml:space="preserve">Priced action</w:t>
            </w:r>
          </w:p>
        </w:tc>
        <w:tc>
          <w:tcPr/>
          <w:p>
            <w:pPr>
              <w:pStyle w:val="Compact"/>
              <w:jc w:val="left"/>
            </w:pPr>
            <w:r>
              <w:t xml:space="preserve">Prices consequence; does not estimate adversarial induction</w:t>
            </w:r>
          </w:p>
        </w:tc>
      </w:tr>
    </w:tbl>
    <w:bookmarkStart w:id="60" w:name="Xe9e8a9937dcbab170c9654b2aa05257ff5207de"/>
    <w:p>
      <w:pPr>
        <w:pStyle w:val="Heading3"/>
      </w:pPr>
      <w:r>
        <w:t xml:space="preserve">2.6.1 Input-, context- and model-level protection</w:t>
      </w:r>
    </w:p>
    <w:p>
      <w:pPr>
        <w:pStyle w:val="FirstParagraph"/>
      </w:pPr>
      <w:r>
        <w:rPr>
          <w:bCs/>
          <w:b/>
        </w:rPr>
        <w:t xml:space="preserve">Input detectors.</w:t>
      </w:r>
      <w:r>
        <w:t xml:space="preserve"> </w:t>
      </w:r>
      <w:r>
        <w:t xml:space="preserve">Detectors that act on text report strong in-distribution results:</w:t>
      </w:r>
    </w:p>
    <w:p>
      <w:pPr>
        <w:numPr>
          <w:ilvl w:val="0"/>
          <w:numId w:val="1051"/>
        </w:numPr>
        <w:pStyle w:val="Compact"/>
      </w:pPr>
      <w:r>
        <w:t xml:space="preserve">InstructDetector uses a model’s hidden states and gradients to detect embedded instructions. It reports 99.60% in-domain and 96.90% out-of-domain accuracy, and reduces attack success to 0.03% on BIPIA (Wen et al., 2025).</w:t>
      </w:r>
    </w:p>
    <w:p>
      <w:pPr>
        <w:numPr>
          <w:ilvl w:val="0"/>
          <w:numId w:val="1051"/>
        </w:numPr>
        <w:pStyle w:val="Compact"/>
      </w:pPr>
      <w:r>
        <w:t xml:space="preserve">PromptShield curates a benchmark for deployable detectors, and its fine-tuned detector improves performance in the low-false-positive regime (Jacob et al., 2025).</w:t>
      </w:r>
    </w:p>
    <w:p>
      <w:pPr>
        <w:numPr>
          <w:ilvl w:val="0"/>
          <w:numId w:val="1051"/>
        </w:numPr>
        <w:pStyle w:val="Compact"/>
      </w:pPr>
      <w:r>
        <w:t xml:space="preserve">Spotlighting transforms untrusted input so that the model receives a continuous provenance signal, reducing attack success from above 50% to below 2% with GPT-family models (Hines et al., 2024).</w:t>
      </w:r>
    </w:p>
    <w:p>
      <w:pPr>
        <w:pStyle w:val="FirstParagraph"/>
      </w:pPr>
      <w:r>
        <w:rPr>
          <w:bCs/>
          <w:b/>
        </w:rPr>
        <w:t xml:space="preserve">Model-level protection.</w:t>
      </w:r>
      <w:r>
        <w:t xml:space="preserve"> </w:t>
      </w:r>
      <w:r>
        <w:t xml:space="preserve">StruQ trains the model to follow instructions only in the prompt channel (S. Chen et al., 2025). This addresses the root cause identified by Greshake et al. (2023), but it requires training and access to the model. That is a significant constraint for a financial institution that deploys a third-party model.</w:t>
      </w:r>
    </w:p>
    <w:p>
      <w:pPr>
        <w:pStyle w:val="BodyText"/>
      </w:pPr>
      <w:r>
        <w:rPr>
          <w:bCs/>
          <w:b/>
        </w:rPr>
        <w:t xml:space="preserve">Shared limitations.</w:t>
      </w:r>
      <w:r>
        <w:t xml:space="preserve"> </w:t>
      </w:r>
      <w:r>
        <w:t xml:space="preserve">These approaches share two limitations for tool-using agents:</w:t>
      </w:r>
    </w:p>
    <w:p>
      <w:pPr>
        <w:numPr>
          <w:ilvl w:val="0"/>
          <w:numId w:val="1052"/>
        </w:numPr>
        <w:pStyle w:val="Compact"/>
      </w:pPr>
      <w:r>
        <w:t xml:space="preserve">they act on text, not on actions, so an input detector does not observe what the agent then does;</w:t>
      </w:r>
    </w:p>
    <w:p>
      <w:pPr>
        <w:numPr>
          <w:ilvl w:val="0"/>
          <w:numId w:val="1052"/>
        </w:numPr>
        <w:pStyle w:val="Compact"/>
      </w:pPr>
      <w:r>
        <w:t xml:space="preserve">ToolHijacker defeated six such defenses (J. Shi et al., 2026), and AI² bypassed common safety filters in 92.7% of cases (Y. Zhang et al., 2024).</w:t>
      </w:r>
    </w:p>
    <w:bookmarkEnd w:id="60"/>
    <w:bookmarkStart w:id="61" w:name="Xe4682eea2060ca1f624de3d650a46685608155f"/>
    <w:p>
      <w:pPr>
        <w:pStyle w:val="Heading3"/>
      </w:pPr>
      <w:r>
        <w:t xml:space="preserve">2.6.2 System-level and information-flow defenses</w:t>
      </w:r>
    </w:p>
    <w:p>
      <w:pPr>
        <w:pStyle w:val="FirstParagraph"/>
      </w:pPr>
      <w:r>
        <w:t xml:space="preserve">A second family changes the system so that untrusted data cannot steer control flow:</w:t>
      </w:r>
    </w:p>
    <w:p>
      <w:pPr>
        <w:numPr>
          <w:ilvl w:val="0"/>
          <w:numId w:val="1053"/>
        </w:numPr>
        <w:pStyle w:val="Compact"/>
      </w:pPr>
      <w:r>
        <w:rPr>
          <w:bCs/>
          <w:b/>
        </w:rPr>
        <w:t xml:space="preserve">f-secure LLM systems.</w:t>
      </w:r>
      <w:r>
        <w:t xml:space="preserve"> </w:t>
      </w:r>
      <w:r>
        <w:t xml:space="preserve">A security monitor filters untrusted input out of the planning process, and formal models state the security guarantee (F. Wu et al., 2024; preprint).</w:t>
      </w:r>
    </w:p>
    <w:p>
      <w:pPr>
        <w:numPr>
          <w:ilvl w:val="0"/>
          <w:numId w:val="1053"/>
        </w:numPr>
        <w:pStyle w:val="Compact"/>
      </w:pPr>
      <w:r>
        <w:rPr>
          <w:bCs/>
          <w:b/>
        </w:rPr>
        <w:t xml:space="preserve">RTBAS.</w:t>
      </w:r>
      <w:r>
        <w:t xml:space="preserve"> </w:t>
      </w:r>
      <w:r>
        <w:t xml:space="preserve">Information-flow control is adapted to tool-based agents. Tool calls whose integrity and confidentiality can be established are executed automatically, and the user is asked to confirm the rest. On AgentDojo it prevented all targeted attacks with a 2% utility loss under attack (Zhong et al., 2025; preprint).</w:t>
      </w:r>
    </w:p>
    <w:p>
      <w:pPr>
        <w:numPr>
          <w:ilvl w:val="0"/>
          <w:numId w:val="1053"/>
        </w:numPr>
        <w:pStyle w:val="Compact"/>
      </w:pPr>
      <w:r>
        <w:rPr>
          <w:bCs/>
          <w:b/>
        </w:rPr>
        <w:t xml:space="preserve">ACE.</w:t>
      </w:r>
      <w:r>
        <w:t xml:space="preserve"> </w:t>
      </w:r>
      <w:r>
        <w:t xml:space="preserve">Planning is decoupled: an abstract plan is built from trusted information only, its information-flow constraints are checked statically, and data and capability barriers are enforced during execution. It reports security against InjecAgent and ASB attacks, and it demonstrates new attacks against IsolateGPT (E. Li et al., 2026).</w:t>
      </w:r>
    </w:p>
    <w:p>
      <w:pPr>
        <w:numPr>
          <w:ilvl w:val="0"/>
          <w:numId w:val="1053"/>
        </w:numPr>
        <w:pStyle w:val="Compact"/>
      </w:pPr>
      <w:r>
        <w:rPr>
          <w:bCs/>
          <w:b/>
        </w:rPr>
        <w:t xml:space="preserve">IsolateGPT.</w:t>
      </w:r>
      <w:r>
        <w:t xml:space="preserve"> </w:t>
      </w:r>
      <w:r>
        <w:t xml:space="preserve">Third-party apps run in isolation, with overhead under 30% for three-quarters of tested queries (Y. Wu et al., 2025).</w:t>
      </w:r>
    </w:p>
    <w:p>
      <w:pPr>
        <w:numPr>
          <w:ilvl w:val="0"/>
          <w:numId w:val="1053"/>
        </w:numPr>
        <w:pStyle w:val="Compact"/>
      </w:pPr>
      <w:r>
        <w:rPr>
          <w:bCs/>
          <w:b/>
        </w:rPr>
        <w:t xml:space="preserve">CaMeL.</w:t>
      </w:r>
      <w:r>
        <w:t xml:space="preserve"> </w:t>
      </w:r>
      <w:r>
        <w:t xml:space="preserve">Control and data flow are extracted from the trusted query and capability policies are enforced at each tool call. CaMeL solved 77% of AgentDojo tasks with provable security, against 84% for the undefended agent (Debenedetti et al., 2025, v2; an earlier version reported 67%).</w:t>
      </w:r>
    </w:p>
    <w:p>
      <w:pPr>
        <w:pStyle w:val="FirstParagraph"/>
      </w:pPr>
      <w:r>
        <w:rPr>
          <w:bCs/>
          <w:b/>
        </w:rPr>
        <w:t xml:space="preserve">Conflicting evidence.</w:t>
      </w:r>
      <w:r>
        <w:t xml:space="preserve"> </w:t>
      </w:r>
      <w:r>
        <w:t xml:space="preserve">The IsolateGPT–ACE pair is a direct conflict within this family. One peer-reviewed study reports that isolation protects against the attacks it tested. A later peer-reviewed study constructs attacks that defeat it. Architectural guarantees hold only for the threat models their authors formalized.</w:t>
      </w:r>
    </w:p>
    <w:bookmarkEnd w:id="61"/>
    <w:bookmarkStart w:id="62" w:name="policy-enforcement-and-tool-restriction"/>
    <w:p>
      <w:pPr>
        <w:pStyle w:val="Heading3"/>
      </w:pPr>
      <w:r>
        <w:t xml:space="preserve">2.6.3 Policy enforcement and tool restriction</w:t>
      </w:r>
    </w:p>
    <w:p>
      <w:pPr>
        <w:pStyle w:val="FirstParagraph"/>
      </w:pPr>
      <w:r>
        <w:rPr>
          <w:bCs/>
          <w:b/>
        </w:rPr>
        <w:t xml:space="preserve">Classical basis.</w:t>
      </w:r>
      <w:r>
        <w:t xml:space="preserve"> </w:t>
      </w:r>
      <w:r>
        <w:t xml:space="preserve">This family descends from execution monitoring. Schneider (2000; foundational source) characterized the policies a monitor can enforce by observing a system’s execution and halting it before a violation: the safety properties.</w:t>
      </w:r>
    </w:p>
    <w:p>
      <w:pPr>
        <w:pStyle w:val="BodyText"/>
      </w:pPr>
      <w:r>
        <w:rPr>
          <w:bCs/>
          <w:b/>
        </w:rPr>
        <w:t xml:space="preserve">Included instances:</w:t>
      </w:r>
    </w:p>
    <w:p>
      <w:pPr>
        <w:numPr>
          <w:ilvl w:val="0"/>
          <w:numId w:val="1054"/>
        </w:numPr>
        <w:pStyle w:val="Compact"/>
      </w:pPr>
      <w:r>
        <w:rPr>
          <w:bCs/>
          <w:b/>
        </w:rPr>
        <w:t xml:space="preserve">Progent</w:t>
      </w:r>
      <w:r>
        <w:t xml:space="preserve"> </w:t>
      </w:r>
      <w:r>
        <w:t xml:space="preserve">expresses privileges as rules over tool names and arguments, with solver-checked updates. It reduced attack success from 39.9% to 1.0% on AgentDojo and from 70.3% to 3.9% on ASB (T. Shi et al., 2025; preprint).</w:t>
      </w:r>
    </w:p>
    <w:p>
      <w:pPr>
        <w:numPr>
          <w:ilvl w:val="0"/>
          <w:numId w:val="1054"/>
        </w:numPr>
        <w:pStyle w:val="Compact"/>
      </w:pPr>
      <w:r>
        <w:rPr>
          <w:bCs/>
          <w:b/>
        </w:rPr>
        <w:t xml:space="preserve">AgentSpec</w:t>
      </w:r>
      <w:r>
        <w:t xml:space="preserve"> </w:t>
      </w:r>
      <w:r>
        <w:t xml:space="preserve">enforces rules written as trigger, predicate and enforcement. It prevented over 90% of unsafe code-agent executions and all hazardous embodied actions, and gave 100% compliance in autonomous driving, at millisecond overhead (H. Wang et al., 2026).</w:t>
      </w:r>
    </w:p>
    <w:p>
      <w:pPr>
        <w:numPr>
          <w:ilvl w:val="0"/>
          <w:numId w:val="1054"/>
        </w:numPr>
        <w:pStyle w:val="Compact"/>
      </w:pPr>
      <w:r>
        <w:rPr>
          <w:bCs/>
          <w:b/>
        </w:rPr>
        <w:t xml:space="preserve">Conseca</w:t>
      </w:r>
      <w:r>
        <w:t xml:space="preserve"> </w:t>
      </w:r>
      <w:r>
        <w:t xml:space="preserve">argues for policies generated just in time for each task context and enforced deterministically (Tsai &amp; Bagdasarian, 2025; LIMITED EVIDENCE).</w:t>
      </w:r>
    </w:p>
    <w:p>
      <w:pPr>
        <w:numPr>
          <w:ilvl w:val="0"/>
          <w:numId w:val="1054"/>
        </w:numPr>
        <w:pStyle w:val="Compact"/>
      </w:pPr>
      <w:r>
        <w:rPr>
          <w:bCs/>
          <w:b/>
        </w:rPr>
        <w:t xml:space="preserve">MCP policy-enforcement point.</w:t>
      </w:r>
      <w:r>
        <w:t xml:space="preserve"> </w:t>
      </w:r>
      <w:r>
        <w:t xml:space="preserve">A policy-enforcement point for MCP agents intercepts at the tool-call boundary with declarative rules over cross-step information-flow labels, and keeps a hash-chained audit log. On a controlled dataset, it reduced attack success from 40.0% to 5.0%, against 35.0% for the strongest prompt-only baseline (S. Wang et al., 2026). The same study also reports:</w:t>
      </w:r>
    </w:p>
    <w:p>
      <w:pPr>
        <w:numPr>
          <w:ilvl w:val="1"/>
          <w:numId w:val="1055"/>
        </w:numPr>
        <w:pStyle w:val="Compact"/>
      </w:pPr>
      <w:r>
        <w:t xml:space="preserve">a task-level false-positive rate of 30.0%, attributed mainly to by-design capability denials;</w:t>
      </w:r>
    </w:p>
    <w:p>
      <w:pPr>
        <w:numPr>
          <w:ilvl w:val="1"/>
          <w:numId w:val="1055"/>
        </w:numPr>
        <w:pStyle w:val="Compact"/>
      </w:pPr>
      <w:r>
        <w:t xml:space="preserve">residual attack success of 16.7% on one backend, due to a rule-coverage gap;</w:t>
      </w:r>
    </w:p>
    <w:p>
      <w:pPr>
        <w:numPr>
          <w:ilvl w:val="1"/>
          <w:numId w:val="1055"/>
        </w:numPr>
        <w:pStyle w:val="Compact"/>
      </w:pPr>
      <w:r>
        <w:t xml:space="preserve">sub-millisecond overhead.</w:t>
      </w:r>
    </w:p>
    <w:p>
      <w:pPr>
        <w:numPr>
          <w:ilvl w:val="0"/>
          <w:numId w:val="1054"/>
        </w:numPr>
        <w:pStyle w:val="Compact"/>
      </w:pPr>
      <w:r>
        <w:rPr>
          <w:bCs/>
          <w:b/>
        </w:rPr>
        <w:t xml:space="preserve">LATTICE</w:t>
      </w:r>
      <w:r>
        <w:t xml:space="preserve"> </w:t>
      </w:r>
      <w:r>
        <w:t xml:space="preserve">gates execution through policy-as-code with deterministic verdicts, escalates to human operators on a confidence basis, and keeps cryptographic audit trails (Calboreanu, 2026).</w:t>
      </w:r>
    </w:p>
    <w:p>
      <w:pPr>
        <w:pStyle w:val="FirstParagraph"/>
      </w:pPr>
      <w:r>
        <w:rPr>
          <w:bCs/>
          <w:b/>
        </w:rPr>
        <w:t xml:space="preserve">Limitations for REM.</w:t>
      </w:r>
      <w:r>
        <w:t xml:space="preserve"> </w:t>
      </w:r>
      <w:r>
        <w:t xml:space="preserve">These studies are fast, auditable and, in the architectural cases, provable for the threats they address. Two limitations recur:</w:t>
      </w:r>
    </w:p>
    <w:p>
      <w:pPr>
        <w:numPr>
          <w:ilvl w:val="0"/>
          <w:numId w:val="1056"/>
        </w:numPr>
        <w:pStyle w:val="Compact"/>
      </w:pPr>
      <w:r>
        <w:rPr>
          <w:bCs/>
          <w:b/>
        </w:rPr>
        <w:t xml:space="preserve">The question is binary.</w:t>
      </w:r>
      <w:r>
        <w:t xml:space="preserve"> </w:t>
      </w:r>
      <w:r>
        <w:t xml:space="preserve">An enforcer answers whether an action is permitted. It does not estimate how likely a</w:t>
      </w:r>
      <w:r>
        <w:t xml:space="preserve"> </w:t>
      </w:r>
      <w:r>
        <w:rPr>
          <w:iCs/>
          <w:i/>
        </w:rPr>
        <w:t xml:space="preserve">permitted</w:t>
      </w:r>
      <w:r>
        <w:t xml:space="preserve"> </w:t>
      </w:r>
      <w:r>
        <w:t xml:space="preserve">action is to have been induced by an adversary.</w:t>
      </w:r>
    </w:p>
    <w:p>
      <w:pPr>
        <w:numPr>
          <w:ilvl w:val="0"/>
          <w:numId w:val="1056"/>
        </w:numPr>
        <w:pStyle w:val="Compact"/>
      </w:pPr>
      <w:r>
        <w:rPr>
          <w:bCs/>
          <w:b/>
        </w:rPr>
        <w:t xml:space="preserve">Policy coverage bounds protection.</w:t>
      </w:r>
      <w:r>
        <w:t xml:space="preserve"> </w:t>
      </w:r>
      <w:r>
        <w:t xml:space="preserve">The policy-enforcement point’s residual 16.7% attack success on one backend is a rule-coverage gap in its authors’ own words.</w:t>
      </w:r>
    </w:p>
    <w:bookmarkEnd w:id="62"/>
    <w:bookmarkStart w:id="63" w:name="learned-and-llm-based-guardrails"/>
    <w:p>
      <w:pPr>
        <w:pStyle w:val="Heading3"/>
      </w:pPr>
      <w:r>
        <w:t xml:space="preserve">2.6.4 Learned and LLM-based guardrails</w:t>
      </w:r>
    </w:p>
    <w:p>
      <w:pPr>
        <w:pStyle w:val="FirstParagraph"/>
      </w:pPr>
      <w:r>
        <w:t xml:space="preserve">A further family uses learned models or LLMs to judge actions or trajectories:</w:t>
      </w:r>
    </w:p>
    <w:p>
      <w:pPr>
        <w:numPr>
          <w:ilvl w:val="0"/>
          <w:numId w:val="1057"/>
        </w:numPr>
        <w:pStyle w:val="Compact"/>
      </w:pPr>
      <w:r>
        <w:rPr>
          <w:bCs/>
          <w:b/>
        </w:rPr>
        <w:t xml:space="preserve">GuardAgent</w:t>
      </w:r>
      <w:r>
        <w:t xml:space="preserve"> </w:t>
      </w:r>
      <w:r>
        <w:t xml:space="preserve">generates guardrail code from safety requests (Xiang et al., 2025).</w:t>
      </w:r>
    </w:p>
    <w:p>
      <w:pPr>
        <w:numPr>
          <w:ilvl w:val="0"/>
          <w:numId w:val="1057"/>
        </w:numPr>
        <w:pStyle w:val="Compact"/>
      </w:pPr>
      <w:r>
        <w:rPr>
          <w:bCs/>
          <w:b/>
        </w:rPr>
        <w:t xml:space="preserve">ShieldAgent</w:t>
      </w:r>
      <w:r>
        <w:t xml:space="preserve"> </w:t>
      </w:r>
      <w:r>
        <w:t xml:space="preserve">verifies trajectories against probabilistic rule circuits extracted from policy documents (Z. Chen, Kang, &amp; Li, 2025).</w:t>
      </w:r>
    </w:p>
    <w:p>
      <w:pPr>
        <w:numPr>
          <w:ilvl w:val="0"/>
          <w:numId w:val="1057"/>
        </w:numPr>
        <w:pStyle w:val="Compact"/>
      </w:pPr>
      <w:r>
        <w:rPr>
          <w:bCs/>
          <w:b/>
        </w:rPr>
        <w:t xml:space="preserve">AGrail</w:t>
      </w:r>
      <w:r>
        <w:t xml:space="preserve"> </w:t>
      </w:r>
      <w:r>
        <w:t xml:space="preserve">keeps adaptive safety checks in a lifelong memory (Luo et al., 2025).</w:t>
      </w:r>
    </w:p>
    <w:p>
      <w:pPr>
        <w:numPr>
          <w:ilvl w:val="0"/>
          <w:numId w:val="1057"/>
        </w:numPr>
        <w:pStyle w:val="Compact"/>
      </w:pPr>
      <w:r>
        <w:rPr>
          <w:bCs/>
          <w:b/>
        </w:rPr>
        <w:t xml:space="preserve">TrustAgent</w:t>
      </w:r>
      <w:r>
        <w:t xml:space="preserve"> </w:t>
      </w:r>
      <w:r>
        <w:t xml:space="preserve">applies an agent constitution around planning (Hua et al., 2024).</w:t>
      </w:r>
    </w:p>
    <w:p>
      <w:pPr>
        <w:numPr>
          <w:ilvl w:val="0"/>
          <w:numId w:val="1057"/>
        </w:numPr>
        <w:pStyle w:val="Compact"/>
      </w:pPr>
      <w:r>
        <w:rPr>
          <w:bCs/>
          <w:b/>
        </w:rPr>
        <w:t xml:space="preserve">Thought-Aligner</w:t>
      </w:r>
      <w:r>
        <w:t xml:space="preserve"> </w:t>
      </w:r>
      <w:r>
        <w:t xml:space="preserve">corrects unsafe intermediate thoughts. It raised behavioral safety from about 50% to about 90% on average across six LLMs (Jiang et al., 2025).</w:t>
      </w:r>
    </w:p>
    <w:p>
      <w:pPr>
        <w:numPr>
          <w:ilvl w:val="0"/>
          <w:numId w:val="1057"/>
        </w:numPr>
        <w:pStyle w:val="Compact"/>
      </w:pPr>
      <w:r>
        <w:rPr>
          <w:bCs/>
          <w:b/>
        </w:rPr>
        <w:t xml:space="preserve">ToolSafe</w:t>
      </w:r>
      <w:r>
        <w:t xml:space="preserve"> </w:t>
      </w:r>
      <w:r>
        <w:t xml:space="preserve">trains a step-level guardrail that judges each tool invocation before execution from the interaction history. Its feedback-driven framework reduced harmful invocations by 65% on average and improved benign completion by about 10% under injection (Mou et al., 2026).</w:t>
      </w:r>
    </w:p>
    <w:p>
      <w:pPr>
        <w:numPr>
          <w:ilvl w:val="0"/>
          <w:numId w:val="1057"/>
        </w:numPr>
        <w:pStyle w:val="Compact"/>
      </w:pPr>
      <w:r>
        <w:rPr>
          <w:bCs/>
          <w:b/>
        </w:rPr>
        <w:t xml:space="preserve">VIGIL</w:t>
      </w:r>
      <w:r>
        <w:t xml:space="preserve"> </w:t>
      </w:r>
      <w:r>
        <w:t xml:space="preserve">replaces isolation with verify-before-commit. It reduced attack success by over 22% relative to dynamic defenses and more than doubled utility under attack relative to static baselines on its SIREN benchmark (J. Lin et al., 2026; PARTLY UNVERIFIED).</w:t>
      </w:r>
    </w:p>
    <w:p>
      <w:pPr>
        <w:numPr>
          <w:ilvl w:val="0"/>
          <w:numId w:val="1057"/>
        </w:numPr>
        <w:pStyle w:val="Compact"/>
      </w:pPr>
      <w:r>
        <w:rPr>
          <w:bCs/>
          <w:b/>
        </w:rPr>
        <w:t xml:space="preserve">DRIFT</w:t>
      </w:r>
      <w:r>
        <w:t xml:space="preserve"> </w:t>
      </w:r>
      <w:r>
        <w:t xml:space="preserve">combines a secure planner, a dynamic validator of plan deviations and privileges, and an injection isolator for the memory stream. It is evaluated on AgentDojo, ASB and AgentDyn (H. Li et al., 2025).</w:t>
      </w:r>
    </w:p>
    <w:p>
      <w:pPr>
        <w:numPr>
          <w:ilvl w:val="0"/>
          <w:numId w:val="1057"/>
        </w:numPr>
        <w:pStyle w:val="Compact"/>
      </w:pPr>
      <w:r>
        <w:rPr>
          <w:bCs/>
          <w:b/>
        </w:rPr>
        <w:t xml:space="preserve">SafeScientist</w:t>
      </w:r>
      <w:r>
        <w:t xml:space="preserve"> </w:t>
      </w:r>
      <w:r>
        <w:t xml:space="preserve">monitors prompts, agent collaboration and tool use in scientific agents (Zhu, Zhang, et al., 2025).</w:t>
      </w:r>
    </w:p>
    <w:p>
      <w:pPr>
        <w:pStyle w:val="FirstParagraph"/>
      </w:pPr>
      <w:r>
        <w:rPr>
          <w:bCs/>
          <w:b/>
        </w:rPr>
        <w:t xml:space="preserve">Limitations.</w:t>
      </w:r>
      <w:r>
        <w:t xml:space="preserve"> </w:t>
      </w:r>
      <w:r>
        <w:t xml:space="preserve">These systems cover a broad range of semantic violations without writing a policy for each. Their limitations also recur:</w:t>
      </w:r>
    </w:p>
    <w:p>
      <w:pPr>
        <w:numPr>
          <w:ilvl w:val="0"/>
          <w:numId w:val="1058"/>
        </w:numPr>
        <w:pStyle w:val="Compact"/>
      </w:pPr>
      <w:r>
        <w:t xml:space="preserve">LLM judgement adds latency and can vary between runs;</w:t>
      </w:r>
    </w:p>
    <w:p>
      <w:pPr>
        <w:numPr>
          <w:ilvl w:val="0"/>
          <w:numId w:val="1058"/>
        </w:numPr>
        <w:pStyle w:val="Compact"/>
      </w:pPr>
      <w:r>
        <w:t xml:space="preserve">accuracies are measured on the authors’ own benchmarks;</w:t>
      </w:r>
    </w:p>
    <w:p>
      <w:pPr>
        <w:numPr>
          <w:ilvl w:val="0"/>
          <w:numId w:val="1058"/>
        </w:numPr>
        <w:pStyle w:val="Compact"/>
      </w:pPr>
      <w:r>
        <w:t xml:space="preserve">the outputs are verdicts, and the verified records do not report calibrated probabilities that could be combined with the consequence of an action. The one exception is NEXUS (Section 2.9.3).</w:t>
      </w:r>
    </w:p>
    <w:bookmarkEnd w:id="63"/>
    <w:bookmarkStart w:id="64" w:name="goalaction-consistency-and-provenance"/>
    <w:p>
      <w:pPr>
        <w:pStyle w:val="Heading3"/>
      </w:pPr>
      <w:r>
        <w:t xml:space="preserve">2.6.5 Goal–action consistency and provenance</w:t>
      </w:r>
    </w:p>
    <w:p>
      <w:pPr>
        <w:pStyle w:val="FirstParagraph"/>
      </w:pPr>
      <w:r>
        <w:t xml:space="preserve">The family most directly aimed at indirect injection asks whether a proposed action is</w:t>
      </w:r>
      <w:r>
        <w:t xml:space="preserve"> </w:t>
      </w:r>
      <w:r>
        <w:rPr>
          <w:iCs/>
          <w:i/>
        </w:rPr>
        <w:t xml:space="preserve">justified</w:t>
      </w:r>
      <w:r>
        <w:t xml:space="preserve"> </w:t>
      </w:r>
      <w:r>
        <w:t xml:space="preserve">by the user’s task, rather than whether it is harmful in itself:</w:t>
      </w:r>
    </w:p>
    <w:p>
      <w:pPr>
        <w:numPr>
          <w:ilvl w:val="0"/>
          <w:numId w:val="1059"/>
        </w:numPr>
        <w:pStyle w:val="Compact"/>
      </w:pPr>
      <w:r>
        <w:rPr>
          <w:bCs/>
          <w:b/>
        </w:rPr>
        <w:t xml:space="preserve">Task Shield</w:t>
      </w:r>
      <w:r>
        <w:t xml:space="preserve"> </w:t>
      </w:r>
      <w:r>
        <w:t xml:space="preserve">verifies whether each instruction and tool call serves the user’s goals. It reduced attack success to 2.07% with 69.79% utility on AgentDojo with GPT-4o (F. Jia et al., 2025).</w:t>
      </w:r>
    </w:p>
    <w:p>
      <w:pPr>
        <w:numPr>
          <w:ilvl w:val="0"/>
          <w:numId w:val="1059"/>
        </w:numPr>
        <w:pStyle w:val="Compact"/>
      </w:pPr>
      <w:r>
        <w:rPr>
          <w:bCs/>
          <w:b/>
        </w:rPr>
        <w:t xml:space="preserve">MELON</w:t>
      </w:r>
      <w:r>
        <w:t xml:space="preserve"> </w:t>
      </w:r>
      <w:r>
        <w:t xml:space="preserve">re-executes the trajectory with the user’s prompt masked and flags an attack when the actions remain similar (Zhu, Yang, et al., 2025).</w:t>
      </w:r>
    </w:p>
    <w:p>
      <w:pPr>
        <w:numPr>
          <w:ilvl w:val="0"/>
          <w:numId w:val="1059"/>
        </w:numPr>
        <w:pStyle w:val="Compact"/>
      </w:pPr>
      <w:r>
        <w:rPr>
          <w:bCs/>
          <w:b/>
        </w:rPr>
        <w:t xml:space="preserve">ProvenanceGuard</w:t>
      </w:r>
      <w:r>
        <w:t xml:space="preserve"> </w:t>
      </w:r>
      <w:r>
        <w:t xml:space="preserve">asks whether a tool call is supported by traceable evidence in the context. Relative to an LLM-as-judge baseline, it reduced error on misaligned traces from 44.3% to 2.1% on Agent-SafetyBench and from 32.4% to 18.7% on WorkBench (She et al., 2026; preprint). Its reported intervention rate on aligned traces (14.5% against 10.9%) and its extra cost are PARTLY UNVERIFIED.</w:t>
      </w:r>
    </w:p>
    <w:p>
      <w:pPr>
        <w:pStyle w:val="FirstParagraph"/>
      </w:pPr>
      <w:r>
        <w:t xml:space="preserve">These approaches share one insight: under indirect injection, the useful evidence concerns the</w:t>
      </w:r>
      <w:r>
        <w:t xml:space="preserve"> </w:t>
      </w:r>
      <w:r>
        <w:rPr>
          <w:iCs/>
          <w:i/>
        </w:rPr>
        <w:t xml:space="preserve">relation</w:t>
      </w:r>
      <w:r>
        <w:t xml:space="preserve"> </w:t>
      </w:r>
      <w:r>
        <w:t xml:space="preserve">between an action and its sources. They differ in cost. MELON adds an execution, and Task Shield and ProvenanceGuard add LLM reasoning.</w:t>
      </w:r>
    </w:p>
    <w:p>
      <w:pPr>
        <w:pStyle w:val="BodyText"/>
      </w:pPr>
      <w:r>
        <w:rPr>
          <w:bCs/>
          <w:b/>
        </w:rPr>
        <w:t xml:space="preserve">Themes 3 and 4 (observation granularity; runtime intervention): synthesis.</w:t>
      </w:r>
    </w:p>
    <w:p>
      <w:pPr>
        <w:numPr>
          <w:ilvl w:val="0"/>
          <w:numId w:val="1060"/>
        </w:numPr>
        <w:pStyle w:val="Compact"/>
      </w:pPr>
      <w:r>
        <w:rPr>
          <w:bCs/>
          <w:b/>
        </w:rPr>
        <w:t xml:space="preserve">Established.</w:t>
      </w:r>
      <w:r>
        <w:t xml:space="preserve"> </w:t>
      </w:r>
      <w:r>
        <w:t xml:space="preserve">Runtime intervention at the tool-call boundary is widely implemented: 41 of the 42 included defense and design studies operate at runtime, and 34 inspect tool calls or actions. Deterministic enforcement is fast. Several peer-reviewed studies report sub-millisecond to millisecond overheads.</w:t>
      </w:r>
    </w:p>
    <w:p>
      <w:pPr>
        <w:numPr>
          <w:ilvl w:val="0"/>
          <w:numId w:val="1060"/>
        </w:numPr>
        <w:pStyle w:val="Compact"/>
      </w:pPr>
      <w:r>
        <w:rPr>
          <w:bCs/>
          <w:b/>
        </w:rPr>
        <w:t xml:space="preserve">Uncertain.</w:t>
      </w:r>
      <w:r>
        <w:t xml:space="preserve"> </w:t>
      </w:r>
      <w:r>
        <w:t xml:space="preserve">Robustness to adaptive attacks. Architecture-level guarantees have been broken by later attacks (IsolateGPT–ACE), and input-level detectors have been bypassed (ToolHijacker, AI²).</w:t>
      </w:r>
    </w:p>
    <w:p>
      <w:pPr>
        <w:numPr>
          <w:ilvl w:val="0"/>
          <w:numId w:val="1060"/>
        </w:numPr>
        <w:pStyle w:val="Compact"/>
      </w:pPr>
      <w:r>
        <w:rPr>
          <w:bCs/>
          <w:b/>
        </w:rPr>
        <w:t xml:space="preserve">Under-evaluated.</w:t>
      </w:r>
      <w:r>
        <w:t xml:space="preserve"> </w:t>
      </w:r>
      <w:r>
        <w:t xml:space="preserve">Evaluation of any given defense on a benchmark that its authors did not construct. Evaluation against the tool-channel threats of Section 2.4.2.</w:t>
      </w:r>
    </w:p>
    <w:p>
      <w:pPr>
        <w:numPr>
          <w:ilvl w:val="0"/>
          <w:numId w:val="1060"/>
        </w:numPr>
        <w:pStyle w:val="Compact"/>
      </w:pPr>
      <w:r>
        <w:rPr>
          <w:bCs/>
          <w:b/>
        </w:rPr>
        <w:t xml:space="preserve">Differs across studies.</w:t>
      </w:r>
      <w:r>
        <w:t xml:space="preserve"> </w:t>
      </w:r>
      <w:r>
        <w:t xml:space="preserve">The unit observed differs: input text, tool call, plan, data flow or trajectory. So does the question asked, which may be about permission, alignment, provenance or harm.</w:t>
      </w:r>
    </w:p>
    <w:p>
      <w:pPr>
        <w:numPr>
          <w:ilvl w:val="0"/>
          <w:numId w:val="1060"/>
        </w:numPr>
        <w:pStyle w:val="Compact"/>
      </w:pPr>
      <w:r>
        <w:rPr>
          <w:bCs/>
          <w:b/>
        </w:rPr>
        <w:t xml:space="preserve">Implication for REM.</w:t>
      </w:r>
      <w:r>
        <w:t xml:space="preserve"> </w:t>
      </w:r>
      <w:r>
        <w:t xml:space="preserve">Interception at the tool-call boundary is established, and REM cannot claim it. What the families leave open is the combination of an estimate of</w:t>
      </w:r>
      <w:r>
        <w:t xml:space="preserve"> </w:t>
      </w:r>
      <w:r>
        <w:rPr>
          <w:iCs/>
          <w:i/>
        </w:rPr>
        <w:t xml:space="preserve">how likely</w:t>
      </w:r>
      <w:r>
        <w:t xml:space="preserve"> </w:t>
      </w:r>
      <w:r>
        <w:t xml:space="preserve">a permitted, well-formed action is to be adversarially induced with the</w:t>
      </w:r>
      <w:r>
        <w:t xml:space="preserve"> </w:t>
      </w:r>
      <w:r>
        <w:rPr>
          <w:iCs/>
          <w:i/>
        </w:rPr>
        <w:t xml:space="preserve">consequence</w:t>
      </w:r>
      <w:r>
        <w:t xml:space="preserve"> </w:t>
      </w:r>
      <w:r>
        <w:t xml:space="preserve">of that action. Section 2.9 examines this.</w:t>
      </w:r>
    </w:p>
    <w:p>
      <w:r>
        <w:pict>
          <v:rect style="width:0;height:1.5pt" o:hralign="center" o:hrstd="t" o:hr="t"/>
        </w:pict>
      </w:r>
    </w:p>
    <w:bookmarkEnd w:id="64"/>
    <w:bookmarkEnd w:id="65"/>
    <w:bookmarkStart w:id="70" w:name="Xd2ee4f344c37f3b8c3aaeb5fb9c28ed808423b6"/>
    <w:p>
      <w:pPr>
        <w:pStyle w:val="Heading2"/>
      </w:pPr>
      <w:r>
        <w:t xml:space="preserve">2.7 Runtime Monitoring and Behavioral Analysis</w:t>
      </w:r>
    </w:p>
    <w:p>
      <w:pPr>
        <w:pStyle w:val="FirstParagraph"/>
      </w:pPr>
      <w:r>
        <w:t xml:space="preserve">This section concerns the evidence a runtime layer can extract from the agent’s behavior, as distinct from the text it receives. That evidence is the domain of REM’s Behavioral Analysis Layer.</w:t>
      </w:r>
    </w:p>
    <w:bookmarkStart w:id="66" w:name="X77dc0ef67b9965058ac66a8bb528ce160700083"/>
    <w:p>
      <w:pPr>
        <w:pStyle w:val="Heading3"/>
      </w:pPr>
      <w:r>
        <w:t xml:space="preserve">2.7.1 Step-level, sequence-level and accumulating monitors</w:t>
      </w:r>
    </w:p>
    <w:p>
      <w:pPr>
        <w:pStyle w:val="FirstParagraph"/>
      </w:pPr>
      <w:r>
        <w:t xml:space="preserve">Runtime monitors differ along two dimensions that are easily conflated:</w:t>
      </w:r>
      <w:r>
        <w:t xml:space="preserve"> </w:t>
      </w:r>
      <w:r>
        <w:rPr>
          <w:bCs/>
          <w:b/>
        </w:rPr>
        <w:t xml:space="preserve">decision granularity</w:t>
      </w:r>
      <w:r>
        <w:t xml:space="preserve"> </w:t>
      </w:r>
      <w:r>
        <w:t xml:space="preserve">(whether a decision is taken for each proposed step, for a plan, or for an episode) and</w:t>
      </w:r>
      <w:r>
        <w:t xml:space="preserve"> </w:t>
      </w:r>
      <w:r>
        <w:rPr>
          <w:bCs/>
          <w:b/>
        </w:rPr>
        <w:t xml:space="preserve">evidence scope</w:t>
      </w:r>
      <w:r>
        <w:t xml:space="preserve"> </w:t>
      </w:r>
      <w:r>
        <w:t xml:space="preserve">(whether that decision uses only the current step or also the history that led to it). A step-level decision can be history-aware: it can be taken for each proposed call while conditioning on the episode so far.</w:t>
      </w:r>
    </w:p>
    <w:p>
      <w:pPr>
        <w:pStyle w:val="BodyText"/>
      </w:pPr>
      <w:r>
        <w:rPr>
          <w:bCs/>
          <w:b/>
        </w:rPr>
        <w:t xml:space="preserve">Step-level monitors with current-step evidence</w:t>
      </w:r>
      <w:r>
        <w:t xml:space="preserve"> </w:t>
      </w:r>
      <w:r>
        <w:t xml:space="preserve">judge each proposed action against a policy or the current context. Examples are Progent and AgentSpec. They are fast and interpretable, but a monitor that uses no history cannot see an attack whose individual steps are each acceptable.</w:t>
      </w:r>
    </w:p>
    <w:p>
      <w:pPr>
        <w:pStyle w:val="BodyText"/>
      </w:pPr>
      <w:r>
        <w:rPr>
          <w:bCs/>
          <w:b/>
        </w:rPr>
        <w:t xml:space="preserve">Step-level monitors with history-aware evidence</w:t>
      </w:r>
      <w:r>
        <w:t xml:space="preserve"> </w:t>
      </w:r>
      <w:r>
        <w:t xml:space="preserve">still decide per proposed action, but their evidence includes earlier context. Task Shield, ProvenanceGuard and VIGIL check a proposed call against the user’s goal or against evidence accumulated in the context; REM (Chapter 3) belongs to this group, because its per-step features include repeated calls, privilege escalation, transition deviation and argument provenance computed over the episode.</w:t>
      </w:r>
    </w:p>
    <w:p>
      <w:pPr>
        <w:pStyle w:val="BodyText"/>
      </w:pPr>
      <w:r>
        <w:rPr>
          <w:bCs/>
          <w:b/>
        </w:rPr>
        <w:t xml:space="preserve">Sequence-level monitors</w:t>
      </w:r>
      <w:r>
        <w:t xml:space="preserve"> </w:t>
      </w:r>
      <w:r>
        <w:t xml:space="preserve">judge an action against a model of the trajectory:</w:t>
      </w:r>
    </w:p>
    <w:p>
      <w:pPr>
        <w:numPr>
          <w:ilvl w:val="0"/>
          <w:numId w:val="1061"/>
        </w:numPr>
        <w:pStyle w:val="Compact"/>
      </w:pPr>
      <w:r>
        <w:t xml:space="preserve">MI9 enforces temporal behavioral patterns through finite-state conformance engines and detects goal-conditioned drift. It reports 99.81% detection across 1,033</w:t>
      </w:r>
      <w:r>
        <w:t xml:space="preserve"> </w:t>
      </w:r>
      <w:r>
        <w:rPr>
          <w:iCs/>
          <w:i/>
        </w:rPr>
        <w:t xml:space="preserve">synthetic</w:t>
      </w:r>
      <w:r>
        <w:t xml:space="preserve"> </w:t>
      </w:r>
      <w:r>
        <w:t xml:space="preserve">scenarios (C. L. Wang et al., 2025; preprint; PARTLY UNVERIFIED).</w:t>
      </w:r>
    </w:p>
    <w:p>
      <w:pPr>
        <w:numPr>
          <w:ilvl w:val="0"/>
          <w:numId w:val="1061"/>
        </w:numPr>
        <w:pStyle w:val="Compact"/>
      </w:pPr>
      <w:r>
        <w:t xml:space="preserve">ProbGuard learns a discrete-time Markov chain over abstract states. It intervenes when the estimated probability of remaining safe falls below a threshold, with PAC-style guarantees on the learned model (H. Wang et al., 2025; preprint).</w:t>
      </w:r>
    </w:p>
    <w:p>
      <w:pPr>
        <w:numPr>
          <w:ilvl w:val="0"/>
          <w:numId w:val="1061"/>
        </w:numPr>
        <w:pStyle w:val="Compact"/>
      </w:pPr>
      <w:r>
        <w:t xml:space="preserve">DreamGuard maintains a recurrent latent state and fuses immediate-hazard and prefix-risk scores into PASS, HOLD or BLOCK, at about 25 ms per call (W. Lin et al., 2026; preprint).</w:t>
      </w:r>
    </w:p>
    <w:p>
      <w:pPr>
        <w:numPr>
          <w:ilvl w:val="0"/>
          <w:numId w:val="1061"/>
        </w:numPr>
        <w:pStyle w:val="Compact"/>
      </w:pPr>
      <w:r>
        <w:t xml:space="preserve">ToolSafe’s guardrail reasons over the interaction history (Mou et al., 2026).</w:t>
      </w:r>
    </w:p>
    <w:p>
      <w:pPr>
        <w:numPr>
          <w:ilvl w:val="0"/>
          <w:numId w:val="1061"/>
        </w:numPr>
        <w:pStyle w:val="Compact"/>
      </w:pPr>
      <w:r>
        <w:t xml:space="preserve">Constitutional monitors judge whole trajectories for scheming (Storf et al., 2026).</w:t>
      </w:r>
    </w:p>
    <w:p>
      <w:pPr>
        <w:pStyle w:val="FirstParagraph"/>
      </w:pPr>
      <w:r>
        <w:rPr>
          <w:bCs/>
          <w:b/>
        </w:rPr>
        <w:t xml:space="preserve">Accumulating monitors</w:t>
      </w:r>
      <w:r>
        <w:t xml:space="preserve"> </w:t>
      </w:r>
      <w:r>
        <w:t xml:space="preserve">keep an explicit running state across steps. PRISM accumulates session risk with time-to-live decay (F. Li, 2026). AgentTrust applies seven order-aware chain detectors (C. Yang, 2026). FinHarness integrates per-step risk in a cascade (H. Jia et al., 2026).</w:t>
      </w:r>
    </w:p>
    <w:p>
      <w:pPr>
        <w:pStyle w:val="BodyText"/>
      </w:pPr>
      <w:r>
        <w:rPr>
          <w:bCs/>
          <w:b/>
        </w:rPr>
        <w:t xml:space="preserve">A formal view.</w:t>
      </w:r>
      <w:r>
        <w:t xml:space="preserve"> </w:t>
      </w:r>
      <w:r>
        <w:t xml:space="preserve">A formal account of runtime governance frames policies as functions of the agent’s identity, its</w:t>
      </w:r>
      <w:r>
        <w:t xml:space="preserve"> </w:t>
      </w:r>
      <w:r>
        <w:rPr>
          <w:iCs/>
          <w:i/>
        </w:rPr>
        <w:t xml:space="preserve">partial execution path</w:t>
      </w:r>
      <w:r>
        <w:t xml:space="preserve">, the proposed next action and the organizational state, mapped to a probability of policy violation. It shows that system prompts and static access control are special cases, and it lists risk calibration as an open problem (Kaptein et al., 2026; preprint; LIMITED EVIDENCE). This formalization supports evaluating actions in the light of their path. It also shows that the idea of a path-conditioned violation probability is not new.</w:t>
      </w:r>
    </w:p>
    <w:bookmarkEnd w:id="66"/>
    <w:bookmarkStart w:id="67" w:name="Xb7ff2314d2e938643debd250c0eafd7c7b365fc"/>
    <w:p>
      <w:pPr>
        <w:pStyle w:val="Heading3"/>
      </w:pPr>
      <w:r>
        <w:t xml:space="preserve">2.7.2 Provenance and cross-step information flow as evidence</w:t>
      </w:r>
    </w:p>
    <w:p>
      <w:pPr>
        <w:pStyle w:val="FirstParagraph"/>
      </w:pPr>
      <w:r>
        <w:t xml:space="preserve">A second line of evidence concerns</w:t>
      </w:r>
      <w:r>
        <w:t xml:space="preserve"> </w:t>
      </w:r>
      <w:r>
        <w:rPr>
          <w:iCs/>
          <w:i/>
        </w:rPr>
        <w:t xml:space="preserve">where an action’s content comes from</w:t>
      </w:r>
      <w:r>
        <w:t xml:space="preserve">. In an indirect injection against a banking agent, the attacker typically supplies the decisive arguments inside untrusted content: a recipient account, an amount, a new payee. Whether an argument can be traced to the user’s request or to trusted state is therefore strong evidence of adversarial induction.</w:t>
      </w:r>
    </w:p>
    <w:p>
      <w:pPr>
        <w:pStyle w:val="BodyText"/>
      </w:pPr>
      <w:r>
        <w:rPr>
          <w:bCs/>
          <w:b/>
        </w:rPr>
        <w:t xml:space="preserve">Included studies.</w:t>
      </w:r>
      <w:r>
        <w:t xml:space="preserve"> </w:t>
      </w:r>
      <w:r>
        <w:t xml:space="preserve">Eight of the 42 included defense and design studies code provenance or information-flow evidence as present (Table 2.8). They realize it in three ways:</w:t>
      </w:r>
    </w:p>
    <w:p>
      <w:pPr>
        <w:numPr>
          <w:ilvl w:val="0"/>
          <w:numId w:val="1062"/>
        </w:numPr>
        <w:pStyle w:val="Compact"/>
      </w:pPr>
      <w:r>
        <w:rPr>
          <w:bCs/>
          <w:b/>
        </w:rPr>
        <w:t xml:space="preserve">by analysis:</w:t>
      </w:r>
      <w:r>
        <w:t xml:space="preserve"> </w:t>
      </w:r>
      <w:r>
        <w:t xml:space="preserve">ProvenanceGuard’s evidence tracing;</w:t>
      </w:r>
    </w:p>
    <w:p>
      <w:pPr>
        <w:numPr>
          <w:ilvl w:val="0"/>
          <w:numId w:val="1062"/>
        </w:numPr>
        <w:pStyle w:val="Compact"/>
      </w:pPr>
      <w:r>
        <w:rPr>
          <w:bCs/>
          <w:b/>
        </w:rPr>
        <w:t xml:space="preserve">by construction:</w:t>
      </w:r>
      <w:r>
        <w:t xml:space="preserve"> </w:t>
      </w:r>
      <w:r>
        <w:t xml:space="preserve">CaMeL, ACE and f-secure extract flows from trusted inputs;</w:t>
      </w:r>
    </w:p>
    <w:p>
      <w:pPr>
        <w:numPr>
          <w:ilvl w:val="0"/>
          <w:numId w:val="1062"/>
        </w:numPr>
        <w:pStyle w:val="Compact"/>
      </w:pPr>
      <w:r>
        <w:rPr>
          <w:bCs/>
          <w:b/>
        </w:rPr>
        <w:t xml:space="preserve">by labels:</w:t>
      </w:r>
      <w:r>
        <w:t xml:space="preserve"> </w:t>
      </w:r>
      <w:r>
        <w:t xml:space="preserve">RTBAS’s dependency screeners and the MCP policy-enforcement point’s labels for source integrity and data sensitivity.</w:t>
      </w:r>
    </w:p>
    <w:bookmarkEnd w:id="67"/>
    <w:bookmarkStart w:id="68" w:name="X668f99294ad1dcb0e1ed00ffce1eecfe054d591"/>
    <w:p>
      <w:pPr>
        <w:pStyle w:val="Heading3"/>
      </w:pPr>
      <w:r>
        <w:t xml:space="preserve">2.7.3 What is known about the empirical value of behavioral and provenance evidence</w:t>
      </w:r>
    </w:p>
    <w:p>
      <w:pPr>
        <w:pStyle w:val="FirstParagraph"/>
      </w:pPr>
      <w:r>
        <w:t xml:space="preserve">The review found</w:t>
      </w:r>
      <w:r>
        <w:t xml:space="preserve"> </w:t>
      </w:r>
      <w:r>
        <w:rPr>
          <w:bCs/>
          <w:b/>
        </w:rPr>
        <w:t xml:space="preserve">conflicting evidence</w:t>
      </w:r>
      <w:r>
        <w:t xml:space="preserve"> </w:t>
      </w:r>
      <w:r>
        <w:t xml:space="preserve">on whether trajectory and provenance components change outcomes. All three direct tests of a component’s contribution are single studies on their authors’ own benchmarks.</w:t>
      </w:r>
    </w:p>
    <w:p>
      <w:pPr>
        <w:numPr>
          <w:ilvl w:val="0"/>
          <w:numId w:val="1063"/>
        </w:numPr>
        <w:pStyle w:val="Compact"/>
      </w:pPr>
      <w:r>
        <w:rPr>
          <w:bCs/>
          <w:b/>
        </w:rPr>
        <w:t xml:space="preserve">A null result for trajectory evidence (unverified).</w:t>
      </w:r>
      <w:r>
        <w:t xml:space="preserve"> </w:t>
      </w:r>
      <w:r>
        <w:t xml:space="preserve">According to search-engine excerpts that could not be checked against the abstract or the full text (level U), AgentTrust’s ablation found that disabling its session tracker left verdict accuracy unchanged on both of its benchmarks (C. Yang, 2026). Because this result is unverified, the conflict described below rests on one verified and one unverified finding.</w:t>
      </w:r>
    </w:p>
    <w:p>
      <w:pPr>
        <w:numPr>
          <w:ilvl w:val="0"/>
          <w:numId w:val="1063"/>
        </w:numPr>
        <w:pStyle w:val="Compact"/>
      </w:pPr>
      <w:r>
        <w:rPr>
          <w:bCs/>
          <w:b/>
        </w:rPr>
        <w:t xml:space="preserve">A positive result for cross-step provenance.</w:t>
      </w:r>
      <w:r>
        <w:t xml:space="preserve"> </w:t>
      </w:r>
      <w:r>
        <w:t xml:space="preserve">In the MCP policy-enforcement point, disabling cross-step label propagation raised the call-level false-negative rate by 26.4 percentage points on the authors’ controlled dataset (S. Wang et al., 2026; HIGH EVIDENCE). The authors frame the result as mechanism-coverage evidence, not a deployment estimate.</w:t>
      </w:r>
    </w:p>
    <w:p>
      <w:pPr>
        <w:numPr>
          <w:ilvl w:val="0"/>
          <w:numId w:val="1063"/>
        </w:numPr>
        <w:pStyle w:val="Compact"/>
      </w:pPr>
      <w:r>
        <w:rPr>
          <w:bCs/>
          <w:b/>
        </w:rPr>
        <w:t xml:space="preserve">A positive result for provenance against an LLM judge.</w:t>
      </w:r>
      <w:r>
        <w:t xml:space="preserve"> </w:t>
      </w:r>
      <w:r>
        <w:t xml:space="preserve">ProvenanceGuard’s error reductions relative to an LLM-as-judge baseline indicate that evidence tracing is informative on misaligned tool calls (She et al., 2026; the headline figures are verified at abstract level).</w:t>
      </w:r>
    </w:p>
    <w:p>
      <w:pPr>
        <w:numPr>
          <w:ilvl w:val="0"/>
          <w:numId w:val="1063"/>
        </w:numPr>
        <w:pStyle w:val="Compact"/>
      </w:pPr>
      <w:r>
        <w:rPr>
          <w:bCs/>
          <w:b/>
        </w:rPr>
        <w:t xml:space="preserve">Context for these results:</w:t>
      </w:r>
    </w:p>
    <w:p>
      <w:pPr>
        <w:numPr>
          <w:ilvl w:val="1"/>
          <w:numId w:val="1064"/>
        </w:numPr>
        <w:pStyle w:val="Compact"/>
      </w:pPr>
      <w:r>
        <w:t xml:space="preserve">MI9’s evaluation was synthetic;</w:t>
      </w:r>
    </w:p>
    <w:p>
      <w:pPr>
        <w:numPr>
          <w:ilvl w:val="1"/>
          <w:numId w:val="1064"/>
        </w:numPr>
        <w:pStyle w:val="Compact"/>
      </w:pPr>
      <w:r>
        <w:t xml:space="preserve">ProbGuard’s gains were in autonomous-driving and embodied settings;</w:t>
      </w:r>
    </w:p>
    <w:p>
      <w:pPr>
        <w:numPr>
          <w:ilvl w:val="1"/>
          <w:numId w:val="1064"/>
        </w:numPr>
        <w:pStyle w:val="Compact"/>
      </w:pPr>
      <w:r>
        <w:t xml:space="preserve">DreamGuard’s figures in the verified record concern latency, not detection;</w:t>
      </w:r>
    </w:p>
    <w:p>
      <w:pPr>
        <w:numPr>
          <w:ilvl w:val="1"/>
          <w:numId w:val="1064"/>
        </w:numPr>
        <w:pStyle w:val="Compact"/>
      </w:pPr>
      <w:r>
        <w:t xml:space="preserve">constitutional monitors saturated quickly, and further optimization overfitted (Storf et al., 2026).</w:t>
      </w:r>
    </w:p>
    <w:p>
      <w:pPr>
        <w:pStyle w:val="FirstParagraph"/>
      </w:pPr>
      <w:r>
        <w:t xml:space="preserve">The conflict is informative rather than contradictory:</w:t>
      </w:r>
    </w:p>
    <w:p>
      <w:pPr>
        <w:numPr>
          <w:ilvl w:val="0"/>
          <w:numId w:val="1065"/>
        </w:numPr>
        <w:pStyle w:val="Compact"/>
      </w:pPr>
      <w:r>
        <w:t xml:space="preserve">The null result concerns a</w:t>
      </w:r>
      <w:r>
        <w:t xml:space="preserve"> </w:t>
      </w:r>
      <w:r>
        <w:rPr>
          <w:iCs/>
          <w:i/>
        </w:rPr>
        <w:t xml:space="preserve">session tracker of order-aware chain detectors</w:t>
      </w:r>
      <w:r>
        <w:t xml:space="preserve"> </w:t>
      </w:r>
      <w:r>
        <w:t xml:space="preserve">in a rule-dominated system on coding- and shell-oriented scenarios.</w:t>
      </w:r>
    </w:p>
    <w:p>
      <w:pPr>
        <w:numPr>
          <w:ilvl w:val="0"/>
          <w:numId w:val="1065"/>
        </w:numPr>
        <w:pStyle w:val="Compact"/>
      </w:pPr>
      <w:r>
        <w:t xml:space="preserve">The positive results concern</w:t>
      </w:r>
      <w:r>
        <w:t xml:space="preserve"> </w:t>
      </w:r>
      <w:r>
        <w:rPr>
          <w:iCs/>
          <w:i/>
        </w:rPr>
        <w:t xml:space="preserve">cross-step information-flow labels</w:t>
      </w:r>
      <w:r>
        <w:t xml:space="preserve"> </w:t>
      </w:r>
      <w:r>
        <w:t xml:space="preserve">and</w:t>
      </w:r>
      <w:r>
        <w:t xml:space="preserve"> </w:t>
      </w:r>
      <w:r>
        <w:rPr>
          <w:iCs/>
          <w:i/>
        </w:rPr>
        <w:t xml:space="preserve">evidence provenance</w:t>
      </w:r>
      <w:r>
        <w:t xml:space="preserve"> </w:t>
      </w:r>
      <w:r>
        <w:t xml:space="preserve">against injected or misaligned tool calls.</w:t>
      </w:r>
    </w:p>
    <w:p>
      <w:pPr>
        <w:pStyle w:val="FirstParagraph"/>
      </w:pPr>
      <w:r>
        <w:t xml:space="preserve">On the included evidence, it is plausible that provenance-type trajectory evidence contributes under indirect injection while generic sequence patterns may not. No included study tests either kind of evidence as an input to a</w:t>
      </w:r>
      <w:r>
        <w:t xml:space="preserve"> </w:t>
      </w:r>
      <w:r>
        <w:rPr>
          <w:iCs/>
          <w:i/>
        </w:rPr>
        <w:t xml:space="preserve">calibrated estimator</w:t>
      </w:r>
      <w:r>
        <w:t xml:space="preserve">, and none tests it on financial actions.</w:t>
      </w:r>
    </w:p>
    <w:bookmarkEnd w:id="68"/>
    <w:bookmarkStart w:id="69" w:name="Xf5af3a39315059ab707b82cd1210a592da26738"/>
    <w:p>
      <w:pPr>
        <w:pStyle w:val="Heading3"/>
      </w:pPr>
      <w:r>
        <w:t xml:space="preserve">2.7.4 Foundations: behavioral anomaly detection and its cautions</w:t>
      </w:r>
    </w:p>
    <w:p>
      <w:pPr>
        <w:pStyle w:val="FirstParagraph"/>
      </w:pPr>
      <w:r>
        <w:rPr>
          <w:bCs/>
          <w:b/>
        </w:rPr>
        <w:t xml:space="preserve">Foundational work.</w:t>
      </w:r>
      <w:r>
        <w:t xml:space="preserve"> </w:t>
      </w:r>
      <w:r>
        <w:t xml:space="preserve">The idea of detecting compromise from behavior predates LLM agents. Forrest et al. (1996) built a profile of normal system-call sequences and flagged sequences absent from it. That is the closest classical analogue to monitoring an agent’s tool-call sequence. Chandola et al. (2009, 2012) distinguished three kinds of anomaly and formalized anomaly detection over discrete sequences:</w:t>
      </w:r>
    </w:p>
    <w:p>
      <w:pPr>
        <w:numPr>
          <w:ilvl w:val="0"/>
          <w:numId w:val="1066"/>
        </w:numPr>
        <w:pStyle w:val="Compact"/>
      </w:pPr>
      <w:r>
        <w:rPr>
          <w:iCs/>
          <w:i/>
        </w:rPr>
        <w:t xml:space="preserve">point</w:t>
      </w:r>
      <w:r>
        <w:t xml:space="preserve"> </w:t>
      </w:r>
      <w:r>
        <w:t xml:space="preserve">anomalies: in agents, a single out-of-policy call;</w:t>
      </w:r>
    </w:p>
    <w:p>
      <w:pPr>
        <w:numPr>
          <w:ilvl w:val="0"/>
          <w:numId w:val="1066"/>
        </w:numPr>
        <w:pStyle w:val="Compact"/>
      </w:pPr>
      <w:r>
        <w:rPr>
          <w:iCs/>
          <w:i/>
        </w:rPr>
        <w:t xml:space="preserve">contextual</w:t>
      </w:r>
      <w:r>
        <w:t xml:space="preserve"> </w:t>
      </w:r>
      <w:r>
        <w:t xml:space="preserve">anomalies: a transfer that is normal in general but anomalous given its provenance;</w:t>
      </w:r>
    </w:p>
    <w:p>
      <w:pPr>
        <w:numPr>
          <w:ilvl w:val="0"/>
          <w:numId w:val="1066"/>
        </w:numPr>
        <w:pStyle w:val="Compact"/>
      </w:pPr>
      <w:r>
        <w:rPr>
          <w:iCs/>
          <w:i/>
        </w:rPr>
        <w:t xml:space="preserve">collective</w:t>
      </w:r>
      <w:r>
        <w:t xml:space="preserve"> </w:t>
      </w:r>
      <w:r>
        <w:t xml:space="preserve">anomalies: goal drift and multi-step chains.</w:t>
      </w:r>
    </w:p>
    <w:p>
      <w:pPr>
        <w:pStyle w:val="FirstParagraph"/>
      </w:pPr>
      <w:r>
        <w:rPr>
          <w:bCs/>
          <w:b/>
        </w:rPr>
        <w:t xml:space="preserve">Cautions.</w:t>
      </w:r>
      <w:r>
        <w:t xml:space="preserve"> </w:t>
      </w:r>
      <w:r>
        <w:t xml:space="preserve">The same literature carries cautions that transfer directly:</w:t>
      </w:r>
    </w:p>
    <w:p>
      <w:pPr>
        <w:numPr>
          <w:ilvl w:val="0"/>
          <w:numId w:val="1067"/>
        </w:numPr>
        <w:pStyle w:val="Compact"/>
      </w:pPr>
      <w:r>
        <w:t xml:space="preserve">attacks differ from typical learning tasks, with high error costs and a diverse normal class (Sommer &amp; Paxson, 2010);</w:t>
      </w:r>
    </w:p>
    <w:p>
      <w:pPr>
        <w:numPr>
          <w:ilvl w:val="0"/>
          <w:numId w:val="1067"/>
        </w:numPr>
        <w:pStyle w:val="Compact"/>
      </w:pPr>
      <w:r>
        <w:t xml:space="preserve">security evaluations recur with sampling bias, base-rate neglect and lab-only testing (Arp et al., 2022).</w:t>
      </w:r>
    </w:p>
    <w:p>
      <w:pPr>
        <w:pStyle w:val="FirstParagraph"/>
      </w:pPr>
      <w:r>
        <w:t xml:space="preserve">For an agent monitor, these imply three requirements: a representative benign workload, interpretation of deviations in security terms, and models of</w:t>
      </w:r>
      <w:r>
        <w:t xml:space="preserve"> </w:t>
      </w:r>
      <w:r>
        <w:t xml:space="preserve">“</w:t>
      </w:r>
      <w:r>
        <w:t xml:space="preserve">normal</w:t>
      </w:r>
      <w:r>
        <w:t xml:space="preserve">”</w:t>
      </w:r>
      <w:r>
        <w:t xml:space="preserve"> </w:t>
      </w:r>
      <w:r>
        <w:t xml:space="preserve">learned from data resembling deployment. These are foundational and methodological sources, not included studies.</w:t>
      </w:r>
    </w:p>
    <w:p>
      <w:pPr>
        <w:pStyle w:val="BodyText"/>
      </w:pPr>
      <w:r>
        <w:rPr>
          <w:bCs/>
          <w:b/>
        </w:rPr>
        <w:t xml:space="preserve">Themes 5 and 6 (behavioral/trajectory evidence; provenance and goal–action consistency): synthesis.</w:t>
      </w:r>
    </w:p>
    <w:p>
      <w:pPr>
        <w:numPr>
          <w:ilvl w:val="0"/>
          <w:numId w:val="1068"/>
        </w:numPr>
        <w:pStyle w:val="Compact"/>
      </w:pPr>
      <w:r>
        <w:rPr>
          <w:bCs/>
          <w:b/>
        </w:rPr>
        <w:t xml:space="preserve">Established.</w:t>
      </w:r>
      <w:r>
        <w:t xml:space="preserve"> </w:t>
      </w:r>
      <w:r>
        <w:t xml:space="preserve">Many runtime systems observe trajectories: 17 of 42 code behavioral evidence and 21 code multi-step handling. Provenance and goal consistency are established signals against injected or misaligned actions.</w:t>
      </w:r>
    </w:p>
    <w:p>
      <w:pPr>
        <w:numPr>
          <w:ilvl w:val="0"/>
          <w:numId w:val="1068"/>
        </w:numPr>
        <w:pStyle w:val="Compact"/>
      </w:pPr>
      <w:r>
        <w:rPr>
          <w:bCs/>
          <w:b/>
        </w:rPr>
        <w:t xml:space="preserve">Uncertain.</w:t>
      </w:r>
      <w:r>
        <w:t xml:space="preserve"> </w:t>
      </w:r>
      <w:r>
        <w:t xml:space="preserve">The measured contribution of each kind of evidence. One ablation found no effect of a session tracker, and another found a 26.4-point effect of cross-step labels. Both are single-study results on the authors’ own benchmarks.</w:t>
      </w:r>
    </w:p>
    <w:p>
      <w:pPr>
        <w:numPr>
          <w:ilvl w:val="0"/>
          <w:numId w:val="1068"/>
        </w:numPr>
        <w:pStyle w:val="Compact"/>
      </w:pPr>
      <w:r>
        <w:rPr>
          <w:bCs/>
          <w:b/>
        </w:rPr>
        <w:t xml:space="preserve">Under-evaluated.</w:t>
      </w:r>
      <w:r>
        <w:t xml:space="preserve"> </w:t>
      </w:r>
      <w:r>
        <w:t xml:space="preserve">The effect of trajectory and provenance evidence when it feeds a probability estimator rather than a rule or a judge. Evaluation in financial settings.</w:t>
      </w:r>
    </w:p>
    <w:p>
      <w:pPr>
        <w:numPr>
          <w:ilvl w:val="0"/>
          <w:numId w:val="1068"/>
        </w:numPr>
        <w:pStyle w:val="Compact"/>
      </w:pPr>
      <w:r>
        <w:rPr>
          <w:bCs/>
          <w:b/>
        </w:rPr>
        <w:t xml:space="preserve">Differs across studies.</w:t>
      </w:r>
      <w:r>
        <w:t xml:space="preserve"> </w:t>
      </w:r>
      <w:r>
        <w:t xml:space="preserve">How provenance is obtained (analysis, construction or labels) and how sequences are modeled (automata, Markov chains, latent states or heuristics).</w:t>
      </w:r>
    </w:p>
    <w:p>
      <w:pPr>
        <w:numPr>
          <w:ilvl w:val="0"/>
          <w:numId w:val="1068"/>
        </w:numPr>
        <w:pStyle w:val="Compact"/>
      </w:pPr>
      <w:r>
        <w:rPr>
          <w:bCs/>
          <w:b/>
        </w:rPr>
        <w:t xml:space="preserve">Implication for REM.</w:t>
      </w:r>
      <w:r>
        <w:t xml:space="preserve"> </w:t>
      </w:r>
      <w:r>
        <w:t xml:space="preserve">REM cannot claim trajectory monitoring or provenance analysis as new. Its evaluation must report the contribution of behavioral and provenance evidence, and must not assume it. It must also show that the benchmark contains the behavior the features are meant to detect.</w:t>
      </w:r>
    </w:p>
    <w:p>
      <w:r>
        <w:pict>
          <v:rect style="width:0;height:1.5pt" o:hralign="center" o:hrstd="t" o:hr="t"/>
        </w:pict>
      </w:r>
    </w:p>
    <w:bookmarkEnd w:id="69"/>
    <w:bookmarkEnd w:id="70"/>
    <w:bookmarkStart w:id="76" w:name="X5432d4d0badc88d3d99e74e7228fcbe890544e3"/>
    <w:p>
      <w:pPr>
        <w:pStyle w:val="Heading2"/>
      </w:pPr>
      <w:r>
        <w:t xml:space="preserve">2.8 Statistical and Algorithmic Foundations Relevant to REM</w:t>
      </w:r>
    </w:p>
    <w:p>
      <w:pPr>
        <w:pStyle w:val="FirstParagraph"/>
      </w:pPr>
      <w:r>
        <w:t xml:space="preserve">A runtime decision layer that assigns graduated responses must solve four methodological problems:</w:t>
      </w:r>
    </w:p>
    <w:p>
      <w:pPr>
        <w:numPr>
          <w:ilvl w:val="0"/>
          <w:numId w:val="1069"/>
        </w:numPr>
        <w:pStyle w:val="Compact"/>
      </w:pPr>
      <w:r>
        <w:t xml:space="preserve">turn evidence into an estimate of how likely an action is to be adversarially induced;</w:t>
      </w:r>
    </w:p>
    <w:p>
      <w:pPr>
        <w:numPr>
          <w:ilvl w:val="0"/>
          <w:numId w:val="1069"/>
        </w:numPr>
        <w:pStyle w:val="Compact"/>
      </w:pPr>
      <w:r>
        <w:t xml:space="preserve">make that estimate interpretable as a probability;</w:t>
      </w:r>
    </w:p>
    <w:p>
      <w:pPr>
        <w:numPr>
          <w:ilvl w:val="0"/>
          <w:numId w:val="1069"/>
        </w:numPr>
        <w:pStyle w:val="Compact"/>
      </w:pPr>
      <w:r>
        <w:t xml:space="preserve">combine the probability with the consequence of the action to reach a decision;</w:t>
      </w:r>
    </w:p>
    <w:p>
      <w:pPr>
        <w:numPr>
          <w:ilvl w:val="0"/>
          <w:numId w:val="1069"/>
        </w:numPr>
        <w:pStyle w:val="Compact"/>
      </w:pPr>
      <w:r>
        <w:t xml:space="preserve">record why the decision was made.</w:t>
      </w:r>
    </w:p>
    <w:p>
      <w:pPr>
        <w:pStyle w:val="FirstParagraph"/>
      </w:pPr>
      <w:r>
        <w:t xml:space="preserve">A layer that observes several steps must also decide how to accumulate evidence over time. This section explains</w:t>
      </w:r>
      <w:r>
        <w:t xml:space="preserve"> </w:t>
      </w:r>
      <w:r>
        <w:rPr>
          <w:bCs/>
          <w:b/>
        </w:rPr>
        <w:t xml:space="preserve">why</w:t>
      </w:r>
      <w:r>
        <w:t xml:space="preserve"> </w:t>
      </w:r>
      <w:r>
        <w:t xml:space="preserve">each established method is relevant and what the included studies show about its use in agent security. The methods are established, and none is a contribution of this thesis. Their precise form in REM, including the estimator, the calibration map, the loss structure and the verdict rule, is specified in Chapter 3 and is not repeated here. The sources in this section are</w:t>
      </w:r>
      <w:r>
        <w:t xml:space="preserve"> </w:t>
      </w:r>
      <w:r>
        <w:rPr>
          <w:bCs/>
          <w:b/>
        </w:rPr>
        <w:t xml:space="preserve">FOUNDATIONAL</w:t>
      </w:r>
      <w:r>
        <w:t xml:space="preserve"> </w:t>
      </w:r>
      <w:r>
        <w:t xml:space="preserve">or</w:t>
      </w:r>
      <w:r>
        <w:t xml:space="preserve"> </w:t>
      </w:r>
      <w:r>
        <w:rPr>
          <w:bCs/>
          <w:b/>
        </w:rPr>
        <w:t xml:space="preserve">METHODOLOGICAL SOURCES</w:t>
      </w:r>
      <w:r>
        <w:t xml:space="preserve"> </w:t>
      </w:r>
      <w:r>
        <w:t xml:space="preserve">admitted under criterion I6 (Section 2.2.4).</w:t>
      </w:r>
    </w:p>
    <w:bookmarkStart w:id="71" w:name="why-logistic-regression"/>
    <w:p>
      <w:pPr>
        <w:pStyle w:val="Heading3"/>
      </w:pPr>
      <w:r>
        <w:t xml:space="preserve">2.8.1 Why logistic regression</w:t>
      </w:r>
    </w:p>
    <w:p>
      <w:pPr>
        <w:pStyle w:val="FirstParagraph"/>
      </w:pPr>
      <w:r>
        <w:t xml:space="preserve">Logistic regression models the probability of a binary outcome as a logistic function of a linear score (Cox, 1958):</w:t>
      </w:r>
    </w:p>
    <w:p>
      <w:pPr>
        <w:pStyle w:val="BodyText"/>
      </w:pPr>
      <m:oMathPara>
        <m:oMathParaPr>
          <m:jc m:val="center"/>
        </m:oMathParaPr>
        <m:oMath>
          <m:r>
            <m:rPr>
              <m:sty m:val="p"/>
            </m:rPr>
            <m:t>Pr</m:t>
          </m:r>
          <m:d>
            <m:dPr>
              <m:begChr m:val="("/>
              <m:endChr m:val=")"/>
              <m:sepChr m:val=""/>
              <m:grow/>
            </m:dPr>
            <m:e>
              <m:r>
                <m:t>y</m:t>
              </m:r>
              <m:r>
                <m:rPr>
                  <m:sty m:val="p"/>
                </m:rPr>
                <m:t>=</m:t>
              </m:r>
              <m:r>
                <m:t>1</m:t>
              </m:r>
              <m:r>
                <m:rPr>
                  <m:sty m:val="p"/>
                </m:rPr>
                <m:t>∣</m:t>
              </m:r>
              <m:r>
                <m:t>x</m:t>
              </m:r>
            </m:e>
          </m:d>
          <m:r>
            <m:rPr>
              <m:sty m:val="p"/>
            </m:rPr>
            <m:t>=</m:t>
          </m:r>
          <m:f>
            <m:fPr>
              <m:type m:val="bar"/>
            </m:fPr>
            <m:num>
              <m:r>
                <m:t>1</m:t>
              </m:r>
            </m:num>
            <m:den>
              <m:r>
                <m:t>1</m:t>
              </m:r>
              <m:r>
                <m:rPr>
                  <m:sty m:val="p"/>
                </m:rPr>
                <m:t>+</m:t>
              </m:r>
              <m:r>
                <m:rPr>
                  <m:sty m:val="p"/>
                </m:rPr>
                <m:t>exp</m:t>
              </m:r>
              <m:r>
                <m:t>​</m:t>
              </m:r>
              <m:d>
                <m:dPr>
                  <m:begChr m:val="("/>
                  <m:endChr m:val=")"/>
                  <m:sepChr m:val=""/>
                  <m:grow/>
                </m:dPr>
                <m:e>
                  <m:r>
                    <m:rPr>
                      <m:sty m:val="p"/>
                    </m:rPr>
                    <m:t>−</m:t>
                  </m:r>
                  <m:d>
                    <m:dPr>
                      <m:begChr m:val="("/>
                      <m:endChr m:val=")"/>
                      <m:sepChr m:val=""/>
                      <m:grow/>
                    </m:dPr>
                    <m:e>
                      <m:sSub>
                        <m:e>
                          <m:r>
                            <m:t>β</m:t>
                          </m:r>
                        </m:e>
                        <m:sub>
                          <m:r>
                            <m:t>0</m:t>
                          </m:r>
                        </m:sub>
                      </m:sSub>
                      <m:r>
                        <m:rPr>
                          <m:sty m:val="p"/>
                        </m:rPr>
                        <m:t>+</m:t>
                      </m:r>
                      <m:sSup>
                        <m:e>
                          <m:r>
                            <m:t>β</m:t>
                          </m:r>
                        </m:e>
                        <m:sup>
                          <m:r>
                            <m:rPr>
                              <m:sty m:val="p"/>
                            </m:rPr>
                            <m:t>⊤</m:t>
                          </m:r>
                        </m:sup>
                      </m:sSup>
                      <m:r>
                        <m:t>x</m:t>
                      </m:r>
                    </m:e>
                  </m:d>
                </m:e>
              </m:d>
            </m:den>
          </m:f>
          <m:r>
            <m:t>  </m:t>
          </m:r>
          <m:d>
            <m:dPr>
              <m:begChr m:val="("/>
              <m:endChr m:val=")"/>
              <m:sepChr m:val=""/>
              <m:grow/>
            </m:dPr>
            <m:e>
              <m:r>
                <m:t>2.1</m:t>
              </m:r>
            </m:e>
          </m:d>
        </m:oMath>
      </m:oMathPara>
    </w:p>
    <w:p>
      <w:pPr>
        <w:pStyle w:val="FirstParagraph"/>
      </w:pPr>
      <w:r>
        <w:rPr>
          <w:bCs/>
          <w:b/>
        </w:rPr>
        <w:t xml:space="preserve">Why it suits a runtime layer.</w:t>
      </w:r>
    </w:p>
    <w:p>
      <w:pPr>
        <w:numPr>
          <w:ilvl w:val="0"/>
          <w:numId w:val="1070"/>
        </w:numPr>
        <w:pStyle w:val="Compact"/>
      </w:pPr>
      <w:r>
        <w:t xml:space="preserve">Evaluation costs one inner product.</w:t>
      </w:r>
    </w:p>
    <w:p>
      <w:pPr>
        <w:numPr>
          <w:ilvl w:val="0"/>
          <w:numId w:val="1070"/>
        </w:numPr>
        <w:pStyle w:val="Compact"/>
      </w:pPr>
      <w:r>
        <w:t xml:space="preserve">Coefficients can be inspected.</w:t>
      </w:r>
    </w:p>
    <w:p>
      <w:pPr>
        <w:numPr>
          <w:ilvl w:val="0"/>
          <w:numId w:val="1070"/>
        </w:numPr>
        <w:pStyle w:val="Compact"/>
      </w:pPr>
      <w:r>
        <w:t xml:space="preserve">The output is intended as a probability, not as an arbitrary score.</w:t>
      </w:r>
    </w:p>
    <w:p>
      <w:pPr>
        <w:pStyle w:val="FirstParagraph"/>
      </w:pPr>
      <w:r>
        <w:rPr>
          <w:bCs/>
          <w:b/>
        </w:rPr>
        <w:t xml:space="preserve">Limitations.</w:t>
      </w:r>
    </w:p>
    <w:p>
      <w:pPr>
        <w:numPr>
          <w:ilvl w:val="0"/>
          <w:numId w:val="1071"/>
        </w:numPr>
        <w:pStyle w:val="Compact"/>
      </w:pPr>
      <w:r>
        <w:t xml:space="preserve">Interactions must be engineered into the features.</w:t>
      </w:r>
    </w:p>
    <w:p>
      <w:pPr>
        <w:numPr>
          <w:ilvl w:val="0"/>
          <w:numId w:val="1071"/>
        </w:numPr>
        <w:pStyle w:val="Compact"/>
      </w:pPr>
      <w:r>
        <w:t xml:space="preserve">A model fitted on one attack distribution can be miscalibrated on another.</w:t>
      </w:r>
    </w:p>
    <w:p>
      <w:pPr>
        <w:numPr>
          <w:ilvl w:val="0"/>
          <w:numId w:val="1071"/>
        </w:numPr>
        <w:pStyle w:val="Compact"/>
      </w:pPr>
      <w:r>
        <w:t xml:space="preserve">With scarce adversarial examples and binary indicators, the unpenalized estimate may not be finite. A ridge penalty addresses this (le Cessie &amp; van Houwelingen, 1992).</w:t>
      </w:r>
    </w:p>
    <w:p>
      <w:pPr>
        <w:numPr>
          <w:ilvl w:val="0"/>
          <w:numId w:val="1071"/>
        </w:numPr>
        <w:pStyle w:val="Compact"/>
      </w:pPr>
      <w:r>
        <w:t xml:space="preserve">Naive Bayes is the generative counterpart with the same linear form. It may reach its (higher) asymptotic error with fewer examples (Ng &amp; Jordan, 2002). It is an established alternative estimator and is not part of REM.</w:t>
      </w:r>
    </w:p>
    <w:p>
      <w:pPr>
        <w:pStyle w:val="FirstParagraph"/>
      </w:pPr>
      <w:r>
        <w:rPr>
          <w:bCs/>
          <w:b/>
        </w:rPr>
        <w:t xml:space="preserve">Use in agent security.</w:t>
      </w:r>
      <w:r>
        <w:t xml:space="preserve"> </w:t>
      </w:r>
      <w:r>
        <w:t xml:space="preserve">Among the included studies, only NEXUS uses a logistic risk score for agent safety (Hossain et al., 2026). The choice of estimator family therefore has one direct precedent in agent security, and that precedent operates at the plan level.</w:t>
      </w:r>
    </w:p>
    <w:bookmarkEnd w:id="71"/>
    <w:bookmarkStart w:id="72" w:name="why-calibration-matters-and-its-limits"/>
    <w:p>
      <w:pPr>
        <w:pStyle w:val="Heading3"/>
      </w:pPr>
      <w:r>
        <w:t xml:space="preserve">2.8.2 Why calibration matters, and its limits</w:t>
      </w:r>
    </w:p>
    <w:p>
      <w:pPr>
        <w:pStyle w:val="FirstParagraph"/>
      </w:pPr>
      <w:r>
        <w:rPr>
          <w:bCs/>
          <w:b/>
        </w:rPr>
        <w:t xml:space="preserve">Definition.</w:t>
      </w:r>
      <w:r>
        <w:t xml:space="preserve"> </w:t>
      </w:r>
      <w:r>
        <w:t xml:space="preserve">A classifier is</w:t>
      </w:r>
      <w:r>
        <w:t xml:space="preserve"> </w:t>
      </w:r>
      <w:r>
        <w:rPr>
          <w:iCs/>
          <w:i/>
        </w:rPr>
        <w:t xml:space="preserve">calibrated</w:t>
      </w:r>
      <w:r>
        <w:t xml:space="preserve"> </w:t>
      </w:r>
      <w:r>
        <w:t xml:space="preserve">when its predicted probabilities match observed frequencies. Calibration matters whenever a probability is multiplied by a cost, because miscalibration distorts the comparison between actions.</w:t>
      </w:r>
    </w:p>
    <w:p>
      <w:pPr>
        <w:pStyle w:val="BodyText"/>
      </w:pPr>
      <w:r>
        <w:rPr>
          <w:bCs/>
          <w:b/>
        </w:rPr>
        <w:t xml:space="preserve">Platt scaling.</w:t>
      </w:r>
      <w:r>
        <w:t xml:space="preserve"> </w:t>
      </w:r>
      <w:r>
        <w:t xml:space="preserve">Platt (1999) fits a sigmoid to a model’s score</w:t>
      </w:r>
      <w:r>
        <w:t xml:space="preserve"> </w:t>
      </w:r>
      <w:r>
        <w:rPr>
          <w:iCs/>
          <w:i/>
        </w:rPr>
        <w:t xml:space="preserve">s</w:t>
      </w:r>
      <w:r>
        <w:t xml:space="preserve"> </w:t>
      </w:r>
      <w:r>
        <w:t xml:space="preserve">on held-out data:</w:t>
      </w:r>
    </w:p>
    <w:p>
      <w:pPr>
        <w:pStyle w:val="BodyText"/>
      </w:pPr>
      <m:oMathPara>
        <m:oMathParaPr>
          <m:jc m:val="center"/>
        </m:oMathParaPr>
        <m:oMath>
          <m:acc>
            <m:accPr>
              <m:chr m:val="̂"/>
            </m:accPr>
            <m:e>
              <m:r>
                <m:t>p</m:t>
              </m:r>
            </m:e>
          </m:acc>
          <m:r>
            <m:rPr>
              <m:sty m:val="p"/>
            </m:rPr>
            <m:t>=</m:t>
          </m:r>
          <m:f>
            <m:fPr>
              <m:type m:val="bar"/>
            </m:fPr>
            <m:num>
              <m:r>
                <m:t>1</m:t>
              </m:r>
            </m:num>
            <m:den>
              <m:r>
                <m:t>1</m:t>
              </m:r>
              <m:r>
                <m:rPr>
                  <m:sty m:val="p"/>
                </m:rPr>
                <m:t>+</m:t>
              </m:r>
              <m:r>
                <m:rPr>
                  <m:sty m:val="p"/>
                </m:rPr>
                <m:t>exp</m:t>
              </m:r>
              <m:d>
                <m:dPr>
                  <m:begChr m:val="("/>
                  <m:endChr m:val=")"/>
                  <m:sepChr m:val=""/>
                  <m:grow/>
                </m:dPr>
                <m:e>
                  <m:r>
                    <m:t>A</m:t>
                  </m:r>
                  <m:r>
                    <m:t>s</m:t>
                  </m:r>
                  <m:r>
                    <m:rPr>
                      <m:sty m:val="p"/>
                    </m:rPr>
                    <m:t>+</m:t>
                  </m:r>
                  <m:r>
                    <m:t>B</m:t>
                  </m:r>
                </m:e>
              </m:d>
            </m:den>
          </m:f>
          <m:r>
            <m:t>  </m:t>
          </m:r>
          <m:d>
            <m:dPr>
              <m:begChr m:val="("/>
              <m:endChr m:val=")"/>
              <m:sepChr m:val=""/>
              <m:grow/>
            </m:dPr>
            <m:e>
              <m:r>
                <m:t>2.2</m:t>
              </m:r>
            </m:e>
          </m:d>
        </m:oMath>
      </m:oMathPara>
    </w:p>
    <w:p>
      <w:pPr>
        <w:pStyle w:val="FirstParagraph"/>
      </w:pPr>
      <w:r>
        <w:t xml:space="preserve">The mapping is monotone, so it preserves the ranking of predictions.</w:t>
      </w:r>
    </w:p>
    <w:p>
      <w:pPr>
        <w:pStyle w:val="BodyText"/>
      </w:pPr>
      <w:r>
        <w:rPr>
          <w:bCs/>
          <w:b/>
        </w:rPr>
        <w:t xml:space="preserve">Alternatives.</w:t>
      </w:r>
    </w:p>
    <w:p>
      <w:pPr>
        <w:numPr>
          <w:ilvl w:val="0"/>
          <w:numId w:val="1072"/>
        </w:numPr>
        <w:pStyle w:val="Compact"/>
      </w:pPr>
      <w:r>
        <w:rPr>
          <w:bCs/>
          <w:b/>
        </w:rPr>
        <w:t xml:space="preserve">Temperature scaling</w:t>
      </w:r>
      <w:r>
        <w:t xml:space="preserve"> </w:t>
      </w:r>
      <w:r>
        <w:t xml:space="preserve">is a one-parameter variant (Guo et al., 2017).</w:t>
      </w:r>
    </w:p>
    <w:p>
      <w:pPr>
        <w:numPr>
          <w:ilvl w:val="0"/>
          <w:numId w:val="1072"/>
        </w:numPr>
        <w:pStyle w:val="Compact"/>
      </w:pPr>
      <w:r>
        <w:rPr>
          <w:bCs/>
          <w:b/>
        </w:rPr>
        <w:t xml:space="preserve">Isotonic regression</w:t>
      </w:r>
      <w:r>
        <w:t xml:space="preserve"> </w:t>
      </w:r>
      <w:r>
        <w:t xml:space="preserve">is nonparametric (Zadrozny &amp; Elkan, 2002). Platt scaling tends to perform better with small calibration sets, whereas isotonic regression performs as well or better once calibration data are plentiful (Niculescu-Mizil &amp; Caruana, 2005).</w:t>
      </w:r>
    </w:p>
    <w:p>
      <w:pPr>
        <w:numPr>
          <w:ilvl w:val="0"/>
          <w:numId w:val="1072"/>
        </w:numPr>
        <w:pStyle w:val="Compact"/>
      </w:pPr>
      <w:r>
        <w:rPr>
          <w:bCs/>
          <w:b/>
        </w:rPr>
        <w:t xml:space="preserve">Beta calibration</w:t>
      </w:r>
      <w:r>
        <w:t xml:space="preserve"> </w:t>
      </w:r>
      <w:r>
        <w:t xml:space="preserve">contains the identity map on scores in [0, 1], which the logistic family applied to such scores does not (Kull et al., 2017).</w:t>
      </w:r>
    </w:p>
    <w:p>
      <w:pPr>
        <w:pStyle w:val="FirstParagraph"/>
      </w:pPr>
      <w:r>
        <w:t xml:space="preserve">In REM, Platt scaling on the logit is the adopted calibrator. Beta, isotonic and temperature calibration are reviewed alternatives and are</w:t>
      </w:r>
      <w:r>
        <w:t xml:space="preserve"> </w:t>
      </w:r>
      <w:r>
        <w:rPr>
          <w:bCs/>
          <w:b/>
        </w:rPr>
        <w:t xml:space="preserve">not adopted</w:t>
      </w:r>
      <w:r>
        <w:t xml:space="preserve"> </w:t>
      </w:r>
      <w:r>
        <w:t xml:space="preserve">(Chapter 3).</w:t>
      </w:r>
    </w:p>
    <w:p>
      <w:pPr>
        <w:pStyle w:val="BodyText"/>
      </w:pPr>
      <w:r>
        <w:rPr>
          <w:bCs/>
          <w:b/>
        </w:rPr>
        <w:t xml:space="preserve">Measuring calibration.</w:t>
      </w:r>
      <w:r>
        <w:t xml:space="preserve"> </w:t>
      </w:r>
      <w:r>
        <w:t xml:space="preserve">Calibration is measured by the expected calibration error (ECE; Naeini et al., 2015; Guo et al., 2017). ECE depends on the binning and on the size of the calibration set.</w:t>
      </w:r>
    </w:p>
    <w:p>
      <w:pPr>
        <w:pStyle w:val="BodyText"/>
      </w:pPr>
      <w:r>
        <w:rPr>
          <w:bCs/>
          <w:b/>
        </w:rPr>
        <w:t xml:space="preserve">Evidence from included studies.</w:t>
      </w:r>
    </w:p>
    <w:p>
      <w:pPr>
        <w:numPr>
          <w:ilvl w:val="0"/>
          <w:numId w:val="1073"/>
        </w:numPr>
        <w:pStyle w:val="Compact"/>
      </w:pPr>
      <w:r>
        <w:rPr>
          <w:bCs/>
          <w:b/>
        </w:rPr>
        <w:t xml:space="preserve">NEXUS</w:t>
      </w:r>
      <w:r>
        <w:t xml:space="preserve"> </w:t>
      </w:r>
      <w:r>
        <w:t xml:space="preserve">reports that Platt scaling reduced ECE from 0.085 to 0.013 on its benchmark. It also evaluated isotonic regression, and its authors report that Platt was less prone to overfitting on the small calibration split (Hossain et al., 2026; the calibration details are PARTLY UNVERIFIED).</w:t>
      </w:r>
    </w:p>
    <w:p>
      <w:pPr>
        <w:numPr>
          <w:ilvl w:val="0"/>
          <w:numId w:val="1073"/>
        </w:numPr>
        <w:pStyle w:val="Compact"/>
      </w:pPr>
      <w:r>
        <w:rPr>
          <w:bCs/>
          <w:b/>
        </w:rPr>
        <w:t xml:space="preserve">C. Zhang et al. (2026)</w:t>
      </w:r>
      <w:r>
        <w:t xml:space="preserve"> </w:t>
      </w:r>
      <w:r>
        <w:t xml:space="preserve">caution against over-reading such improvements. In their ALFWorld analysis, Platt scaling reduced a confidence score’s ECE from 0.463 to 0.006, while control regret under threshold routing stayed at 0.318 (preprint; figures PARTLY UNVERIFIED). A calibrated risk estimate is not the decision-relevant quantity for choosing an intervention.</w:t>
      </w:r>
    </w:p>
    <w:p>
      <w:pPr>
        <w:numPr>
          <w:ilvl w:val="0"/>
          <w:numId w:val="1073"/>
        </w:numPr>
        <w:pStyle w:val="Compact"/>
      </w:pPr>
      <w:r>
        <w:rPr>
          <w:bCs/>
          <w:b/>
        </w:rPr>
        <w:t xml:space="preserve">LATTICE</w:t>
      </w:r>
      <w:r>
        <w:t xml:space="preserve"> </w:t>
      </w:r>
      <w:r>
        <w:t xml:space="preserve">adds independent peer-reviewed evidence in the same direction from a different setting. Across four planner families and 4,000 trajectories, a</w:t>
      </w:r>
      <w:r>
        <w:t xml:space="preserve"> </w:t>
      </w:r>
      <w:r>
        <w:rPr>
          <w:iCs/>
          <w:i/>
        </w:rPr>
        <w:t xml:space="preserve">confidence-threshold baseline</w:t>
      </w:r>
      <w:r>
        <w:t xml:space="preserve"> </w:t>
      </w:r>
      <w:r>
        <w:t xml:space="preserve">had a false-allow rate ranging from 0.03 to 0.998 (Calboreanu, 2026). A single threshold on a confidence signal was therefore unstable across the upstream models that produced the actions.</w:t>
      </w:r>
    </w:p>
    <w:p>
      <w:pPr>
        <w:pStyle w:val="FirstParagraph"/>
      </w:pPr>
      <w:r>
        <w:rPr>
          <w:bCs/>
          <w:b/>
        </w:rPr>
        <w:t xml:space="preserve">Implication.</w:t>
      </w:r>
      <w:r>
        <w:t xml:space="preserve"> </w:t>
      </w:r>
      <w:r>
        <w:t xml:space="preserve">Calibration quality and control quality must be measured and reported separately. A probability, however well calibrated, does not by itself represent whether a trajectory remains recoverable.</w:t>
      </w:r>
    </w:p>
    <w:bookmarkEnd w:id="72"/>
    <w:bookmarkStart w:id="73" w:name="why-sequential-evidence-matters"/>
    <w:p>
      <w:pPr>
        <w:pStyle w:val="Heading3"/>
      </w:pPr>
      <w:r>
        <w:t xml:space="preserve">2.8.3 Why sequential evidence matters</w:t>
      </w:r>
    </w:p>
    <w:p>
      <w:pPr>
        <w:pStyle w:val="FirstParagraph"/>
      </w:pPr>
      <w:r>
        <w:t xml:space="preserve">When evidence arrives step by step, a monitor must decide when the accumulated evidence justifies action.</w:t>
      </w:r>
    </w:p>
    <w:p>
      <w:pPr>
        <w:pStyle w:val="BodyText"/>
      </w:pPr>
      <w:r>
        <w:rPr>
          <w:bCs/>
          <w:b/>
        </w:rPr>
        <w:t xml:space="preserve">CUSUM.</w:t>
      </w:r>
      <w:r>
        <w:t xml:space="preserve"> </w:t>
      </w:r>
      <w:r>
        <w:t xml:space="preserve">Classical sequential analysis gives a statistically grounded answer. The cumulative-sum procedure (Page, 1954) accumulates log-likelihood ratios of post-change against pre-change behavior and raises an alarm when the accumulated statistic crosses a threshold (Basseville &amp; Nikiforov, 1993). Under the classical change-point model, with independent observations before and after the change, it has an asymptotic optimality property for detection delay at a given false-alarm constraint (Lorden, 1971).</w:t>
      </w:r>
    </w:p>
    <w:p>
      <w:pPr>
        <w:pStyle w:val="BodyText"/>
      </w:pPr>
      <w:r>
        <w:rPr>
          <w:bCs/>
          <w:b/>
        </w:rPr>
        <w:t xml:space="preserve">Limits for agents.</w:t>
      </w:r>
      <w:r>
        <w:t xml:space="preserve"> </w:t>
      </w:r>
      <w:r>
        <w:t xml:space="preserve">These assumptions are only approximately satisfied by tool-call sequences, and an adversary can pace an attack to stay below the threshold. The procedure also detects a</w:t>
      </w:r>
      <w:r>
        <w:t xml:space="preserve"> </w:t>
      </w:r>
      <w:r>
        <w:rPr>
          <w:iCs/>
          <w:i/>
        </w:rPr>
        <w:t xml:space="preserve">change</w:t>
      </w:r>
      <w:r>
        <w:t xml:space="preserve">, whereas an agent episode may be adversarial from its first injected observation.</w:t>
      </w:r>
    </w:p>
    <w:p>
      <w:pPr>
        <w:pStyle w:val="BodyText"/>
      </w:pPr>
      <w:r>
        <w:rPr>
          <w:bCs/>
          <w:b/>
        </w:rPr>
        <w:t xml:space="preserve">Heuristic alternatives.</w:t>
      </w:r>
      <w:r>
        <w:t xml:space="preserve"> </w:t>
      </w:r>
      <w:r>
        <w:t xml:space="preserve">Among the included studies, sequential accumulation is heuristic: PRISM’s session risk with time-to-live decay (F. Li, 2026) and FinHarness’s cascade (H. Jia et al., 2026).</w:t>
      </w:r>
    </w:p>
    <w:p>
      <w:pPr>
        <w:pStyle w:val="BodyText"/>
      </w:pPr>
      <w:r>
        <w:rPr>
          <w:bCs/>
          <w:b/>
        </w:rPr>
        <w:t xml:space="preserve">Role in REM.</w:t>
      </w:r>
      <w:r>
        <w:t xml:space="preserve"> </w:t>
      </w:r>
      <w:r>
        <w:t xml:space="preserve">CUSUM is</w:t>
      </w:r>
      <w:r>
        <w:t xml:space="preserve"> </w:t>
      </w:r>
      <w:r>
        <w:rPr>
          <w:bCs/>
          <w:b/>
        </w:rPr>
        <w:t xml:space="preserve">not part of REM’s verdict path</w:t>
      </w:r>
      <w:r>
        <w:t xml:space="preserve">. Chapter 3 uses it only as an optional, offline, observe-only analysis of logged indicators that never influences a verdict.</w:t>
      </w:r>
    </w:p>
    <w:bookmarkEnd w:id="73"/>
    <w:bookmarkStart w:id="74" w:name="why-expected-loss-decisions-are-relevant"/>
    <w:p>
      <w:pPr>
        <w:pStyle w:val="Heading3"/>
      </w:pPr>
      <w:r>
        <w:t xml:space="preserve">2.8.4 Why expected-loss decisions are relevant</w:t>
      </w:r>
    </w:p>
    <w:p>
      <w:pPr>
        <w:pStyle w:val="FirstParagraph"/>
      </w:pPr>
      <w:r>
        <w:rPr>
          <w:bCs/>
          <w:b/>
        </w:rPr>
        <w:t xml:space="preserve">The principle.</w:t>
      </w:r>
      <w:r>
        <w:t xml:space="preserve"> </w:t>
      </w:r>
      <w:r>
        <w:t xml:space="preserve">Cost-sensitive decision theory chooses the response with the lowest expected cost given the class probabilities and a cost matrix (Elkan, 2001). For responses</w:t>
      </w:r>
      <w:r>
        <w:t xml:space="preserve"> </w:t>
      </w:r>
      <w:r>
        <w:rPr>
          <w:iCs/>
          <w:i/>
        </w:rPr>
        <w:t xml:space="preserve">a</w:t>
      </w:r>
      <w:r>
        <w:t xml:space="preserve"> </w:t>
      </w:r>
      <w:r>
        <w:t xml:space="preserve">and a binary state</w:t>
      </w:r>
      <w:r>
        <w:t xml:space="preserve"> </w:t>
      </w:r>
      <w:r>
        <w:rPr>
          <w:iCs/>
          <w:i/>
        </w:rPr>
        <w:t xml:space="preserve">y</w:t>
      </w:r>
      <w:r>
        <w:t xml:space="preserve">:</w:t>
      </w:r>
    </w:p>
    <w:p>
      <w:pPr>
        <w:pStyle w:val="BodyText"/>
      </w:pPr>
      <m:oMathPara>
        <m:oMathParaPr>
          <m:jc m:val="center"/>
        </m:oMathParaPr>
        <m:oMath>
          <m:sSup>
            <m:e>
              <m:r>
                <m:t>a</m:t>
              </m:r>
            </m:e>
            <m:sup>
              <m:r>
                <m:rPr>
                  <m:sty m:val="p"/>
                </m:rPr>
                <m:t>*</m:t>
              </m:r>
            </m:sup>
          </m:sSup>
          <m:d>
            <m:dPr>
              <m:begChr m:val="("/>
              <m:endChr m:val=")"/>
              <m:sepChr m:val=""/>
              <m:grow/>
            </m:dPr>
            <m:e>
              <m:r>
                <m:t>x</m:t>
              </m:r>
            </m:e>
          </m:d>
          <m:r>
            <m:rPr>
              <m:sty m:val="p"/>
            </m:rPr>
            <m:t>=</m:t>
          </m:r>
          <m:r>
            <m:rPr>
              <m:sty m:val="p"/>
            </m:rPr>
            <m:t>arg</m:t>
          </m:r>
          <m:limLow>
            <m:e>
              <m:r>
                <m:rPr>
                  <m:sty m:val="p"/>
                </m:rPr>
                <m:t>min</m:t>
              </m:r>
            </m:e>
            <m:lim>
              <m:r>
                <m:t>a</m:t>
              </m:r>
            </m:lim>
          </m:limLow>
          <m:nary>
            <m:naryPr>
              <m:chr m:val="∑"/>
              <m:limLoc m:val="undOvr"/>
              <m:subHide m:val="off"/>
              <m:supHide m:val="on"/>
            </m:naryPr>
            <m:sub>
              <m:r>
                <m:t>y</m:t>
              </m:r>
              <m:r>
                <m:rPr>
                  <m:sty m:val="p"/>
                </m:rPr>
                <m:t>∈</m:t>
              </m:r>
              <m:r>
                <m:rPr>
                  <m:sty m:val="p"/>
                </m:rPr>
                <m:t>{</m:t>
              </m:r>
              <m:r>
                <m:t>0</m:t>
              </m:r>
              <m:r>
                <m:rPr>
                  <m:sty m:val="p"/>
                </m:rPr>
                <m:t>,</m:t>
              </m:r>
              <m:r>
                <m:t>1</m:t>
              </m:r>
              <m:r>
                <m:rPr>
                  <m:sty m:val="p"/>
                </m:rPr>
                <m:t>}</m:t>
              </m:r>
            </m:sub>
            <m:sup>
              <m:r>
                <m:t>​</m:t>
              </m:r>
            </m:sup>
            <m:e>
              <m:r>
                <m:rPr>
                  <m:sty m:val="p"/>
                </m:rPr>
                <m:t>Pr</m:t>
              </m:r>
            </m:e>
          </m:nary>
          <m:d>
            <m:dPr>
              <m:begChr m:val="("/>
              <m:endChr m:val=")"/>
              <m:sepChr m:val=""/>
              <m:grow/>
            </m:dPr>
            <m:e>
              <m:r>
                <m:t>y</m:t>
              </m:r>
              <m:r>
                <m:rPr>
                  <m:sty m:val="p"/>
                </m:rPr>
                <m:t>∣</m:t>
              </m:r>
              <m:r>
                <m:t>x</m:t>
              </m:r>
            </m:e>
          </m:d>
          <m:r>
            <m:t> </m:t>
          </m:r>
          <m:r>
            <m:t>C</m:t>
          </m:r>
          <m:d>
            <m:dPr>
              <m:begChr m:val="("/>
              <m:endChr m:val=")"/>
              <m:sepChr m:val=""/>
              <m:grow/>
            </m:dPr>
            <m:e>
              <m:r>
                <m:t>a</m:t>
              </m:r>
              <m:r>
                <m:rPr>
                  <m:sty m:val="p"/>
                </m:rPr>
                <m:t>,</m:t>
              </m:r>
              <m:r>
                <m:t>y</m:t>
              </m:r>
            </m:e>
          </m:d>
          <m:r>
            <m:t>  </m:t>
          </m:r>
          <m:d>
            <m:dPr>
              <m:begChr m:val="("/>
              <m:endChr m:val=")"/>
              <m:sepChr m:val=""/>
              <m:grow/>
            </m:dPr>
            <m:e>
              <m:r>
                <m:t>2.3</m:t>
              </m:r>
            </m:e>
          </m:d>
        </m:oMath>
      </m:oMathPara>
    </w:p>
    <w:p>
      <w:pPr>
        <w:pStyle w:val="FirstParagraph"/>
      </w:pPr>
      <w:r>
        <w:rPr>
          <w:bCs/>
          <w:b/>
        </w:rPr>
        <w:t xml:space="preserve">The reject option.</w:t>
      </w:r>
      <w:r>
        <w:t xml:space="preserve"> </w:t>
      </w:r>
      <w:r>
        <w:t xml:space="preserve">Chow (1970) showed that withholding an automatic decision is optimal when the expected cost of deciding exceeds the cost of rejecting. This is the classical basis for routing uncertain cases to human review.</w:t>
      </w:r>
    </w:p>
    <w:p>
      <w:pPr>
        <w:pStyle w:val="BodyText"/>
      </w:pPr>
      <w:r>
        <w:rPr>
          <w:bCs/>
          <w:b/>
        </w:rPr>
        <w:t xml:space="preserve">Requirements.</w:t>
      </w:r>
      <w:r>
        <w:t xml:space="preserve"> </w:t>
      </w:r>
      <w:r>
        <w:t xml:space="preserve">The rule needs calibrated probabilities (Section 2.8.2) and costs that reflect real preferences, which are rarely known precisely in security. Elkan’s principle and Chow’s analysis support REM’s expected-loss verdict and its Escalate route. Neither source proposed REM’s four-action design.</w:t>
      </w:r>
    </w:p>
    <w:p>
      <w:pPr>
        <w:pStyle w:val="BodyText"/>
      </w:pPr>
      <w:r>
        <w:rPr>
          <w:bCs/>
          <w:b/>
        </w:rPr>
        <w:t xml:space="preserve">Precedents among included studies.</w:t>
      </w:r>
    </w:p>
    <w:p>
      <w:pPr>
        <w:numPr>
          <w:ilvl w:val="0"/>
          <w:numId w:val="1074"/>
        </w:numPr>
        <w:pStyle w:val="Compact"/>
      </w:pPr>
      <w:r>
        <w:rPr>
          <w:bCs/>
          <w:b/>
        </w:rPr>
        <w:t xml:space="preserve">NEXUS</w:t>
      </w:r>
      <w:r>
        <w:t xml:space="preserve"> </w:t>
      </w:r>
      <w:r>
        <w:t xml:space="preserve">defines an expected-loss objective with fixed intervention costs and uses it to set loss-optimal thresholds inside a rule-first cascade (Hossain et al., 2026; the cost values and cascade are PARTLY UNVERIFIED).</w:t>
      </w:r>
    </w:p>
    <w:p>
      <w:pPr>
        <w:numPr>
          <w:ilvl w:val="0"/>
          <w:numId w:val="1074"/>
        </w:numPr>
        <w:pStyle w:val="Compact"/>
      </w:pPr>
      <w:r>
        <w:rPr>
          <w:bCs/>
          <w:b/>
        </w:rPr>
        <w:t xml:space="preserve">H.-H. Chen (2026)</w:t>
      </w:r>
      <w:r>
        <w:t xml:space="preserve"> </w:t>
      </w:r>
      <w:r>
        <w:t xml:space="preserve">prices the consequence of each action deterministically against a reserve.</w:t>
      </w:r>
    </w:p>
    <w:p>
      <w:pPr>
        <w:numPr>
          <w:ilvl w:val="0"/>
          <w:numId w:val="1074"/>
        </w:numPr>
        <w:pStyle w:val="Compact"/>
      </w:pPr>
      <w:r>
        <w:rPr>
          <w:bCs/>
          <w:b/>
        </w:rPr>
        <w:t xml:space="preserve">Kaptein et al. (2026)</w:t>
      </w:r>
      <w:r>
        <w:t xml:space="preserve"> </w:t>
      </w:r>
      <w:r>
        <w:t xml:space="preserve">formalize a path-conditioned probability of policy violation.</w:t>
      </w:r>
    </w:p>
    <w:p>
      <w:pPr>
        <w:pStyle w:val="FirstParagraph"/>
      </w:pPr>
      <w:r>
        <w:t xml:space="preserve">Cost-based reasoning about agent actions therefore has precedents.</w:t>
      </w:r>
    </w:p>
    <w:bookmarkEnd w:id="74"/>
    <w:bookmarkStart w:id="75" w:name="X1a8748c515c9eafaf8ec83a099bc5f2118a5ce7"/>
    <w:p>
      <w:pPr>
        <w:pStyle w:val="Heading3"/>
      </w:pPr>
      <w:r>
        <w:t xml:space="preserve">2.8.5 What attribution contributes to auditability</w:t>
      </w:r>
    </w:p>
    <w:p>
      <w:pPr>
        <w:pStyle w:val="FirstParagraph"/>
      </w:pPr>
      <w:r>
        <w:rPr>
          <w:bCs/>
          <w:b/>
        </w:rPr>
        <w:t xml:space="preserve">Additive attribution.</w:t>
      </w:r>
      <w:r>
        <w:t xml:space="preserve"> </w:t>
      </w:r>
      <w:r>
        <w:t xml:space="preserve">Additive attribution explains a prediction as a sum of per-feature contributions. For a linear model under feature independence, the Shapley attribution of a feature is its coefficient times the feature’s deviation from its mean (Lundberg &amp; Lee, 2017). On the log-odds of a logistic model, that decomposition is exact and costs no more than the score itself. This makes it suitable for an audit record that shows which evidence contributed to a decision.</w:t>
      </w:r>
    </w:p>
    <w:p>
      <w:pPr>
        <w:pStyle w:val="BodyText"/>
      </w:pPr>
      <w:r>
        <w:rPr>
          <w:bCs/>
          <w:b/>
        </w:rPr>
        <w:t xml:space="preserve">Other audit traces.</w:t>
      </w:r>
      <w:r>
        <w:t xml:space="preserve"> </w:t>
      </w:r>
      <w:r>
        <w:t xml:space="preserve">It is not a distinguishing mechanism. Included systems already provide audit traces in other forms:</w:t>
      </w:r>
    </w:p>
    <w:p>
      <w:pPr>
        <w:numPr>
          <w:ilvl w:val="0"/>
          <w:numId w:val="1075"/>
        </w:numPr>
        <w:pStyle w:val="Compact"/>
      </w:pPr>
      <w:r>
        <w:t xml:space="preserve">rules and findings (NEXUS; AgentTrust);</w:t>
      </w:r>
    </w:p>
    <w:p>
      <w:pPr>
        <w:numPr>
          <w:ilvl w:val="0"/>
          <w:numId w:val="1075"/>
        </w:numPr>
        <w:pStyle w:val="Compact"/>
      </w:pPr>
      <w:r>
        <w:t xml:space="preserve">verifiable rule circuits (ShieldAgent);</w:t>
      </w:r>
    </w:p>
    <w:p>
      <w:pPr>
        <w:numPr>
          <w:ilvl w:val="0"/>
          <w:numId w:val="1075"/>
        </w:numPr>
        <w:pStyle w:val="Compact"/>
      </w:pPr>
      <w:r>
        <w:t xml:space="preserve">traceable evidence (ProvenanceGuard);</w:t>
      </w:r>
    </w:p>
    <w:p>
      <w:pPr>
        <w:numPr>
          <w:ilvl w:val="0"/>
          <w:numId w:val="1075"/>
        </w:numPr>
        <w:pStyle w:val="Compact"/>
      </w:pPr>
      <w:r>
        <w:t xml:space="preserve">tamper-evident or hash-chained logs (PRISM; the MCP policy-enforcement point; LATTICE’s cryptographic audit trail).</w:t>
      </w:r>
    </w:p>
    <w:p>
      <w:pPr>
        <w:pStyle w:val="FirstParagraph"/>
      </w:pPr>
      <w:r>
        <w:t xml:space="preserve">In REM, attribution is</w:t>
      </w:r>
      <w:r>
        <w:t xml:space="preserve"> </w:t>
      </w:r>
      <w:r>
        <w:rPr>
          <w:bCs/>
          <w:b/>
        </w:rPr>
        <w:t xml:space="preserve">audit-only</w:t>
      </w:r>
      <w:r>
        <w:t xml:space="preserve"> </w:t>
      </w:r>
      <w:r>
        <w:t xml:space="preserve">and never enters the verdict.</w:t>
      </w:r>
    </w:p>
    <w:p>
      <w:pPr>
        <w:pStyle w:val="BodyText"/>
      </w:pPr>
      <w:r>
        <w:rPr>
          <w:bCs/>
          <w:b/>
        </w:rPr>
        <w:t xml:space="preserve">Table 2.6. Established methods reviewed as the algorithmic basis for REM</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Problem</w:t>
            </w:r>
          </w:p>
        </w:tc>
        <w:tc>
          <w:tcPr/>
          <w:p>
            <w:pPr>
              <w:pStyle w:val="Compact"/>
              <w:jc w:val="left"/>
            </w:pPr>
            <w:r>
              <w:t xml:space="preserve">Method (original source)</w:t>
            </w:r>
          </w:p>
        </w:tc>
        <w:tc>
          <w:tcPr/>
          <w:p>
            <w:pPr>
              <w:pStyle w:val="Compact"/>
              <w:jc w:val="left"/>
            </w:pPr>
            <w:r>
              <w:t xml:space="preserve">Why relevant</w:t>
            </w:r>
          </w:p>
        </w:tc>
        <w:tc>
          <w:tcPr/>
          <w:p>
            <w:pPr>
              <w:pStyle w:val="Compact"/>
              <w:jc w:val="left"/>
            </w:pPr>
            <w:r>
              <w:t xml:space="preserve">Main limitation</w:t>
            </w:r>
          </w:p>
        </w:tc>
        <w:tc>
          <w:tcPr/>
          <w:p>
            <w:pPr>
              <w:pStyle w:val="Compact"/>
              <w:jc w:val="left"/>
            </w:pPr>
            <w:r>
              <w:t xml:space="preserve">Use among included studies</w:t>
            </w:r>
          </w:p>
        </w:tc>
      </w:tr>
      <w:tr>
        <w:tc>
          <w:tcPr/>
          <w:p>
            <w:pPr>
              <w:pStyle w:val="Compact"/>
              <w:jc w:val="left"/>
            </w:pPr>
            <w:r>
              <w:t xml:space="preserve">Probabilistic risk scoring</w:t>
            </w:r>
          </w:p>
        </w:tc>
        <w:tc>
          <w:tcPr/>
          <w:p>
            <w:pPr>
              <w:pStyle w:val="Compact"/>
              <w:jc w:val="left"/>
            </w:pPr>
            <w:r>
              <w:t xml:space="preserve">Logistic regression (Cox, 1958); ridge penalty (le Cessie &amp; van Houwelingen, 1992); naive Bayes as alternative (Ng &amp; Jordan, 2002)</w:t>
            </w:r>
          </w:p>
        </w:tc>
        <w:tc>
          <w:tcPr/>
          <w:p>
            <w:pPr>
              <w:pStyle w:val="Compact"/>
              <w:jc w:val="left"/>
            </w:pPr>
            <w:r>
              <w:t xml:space="preserve">Fast, inspectable, probabilistic output</w:t>
            </w:r>
          </w:p>
        </w:tc>
        <w:tc>
          <w:tcPr/>
          <w:p>
            <w:pPr>
              <w:pStyle w:val="Compact"/>
              <w:jc w:val="left"/>
            </w:pPr>
            <w:r>
              <w:t xml:space="preserve">Linear log-odds; distribution shift</w:t>
            </w:r>
          </w:p>
        </w:tc>
        <w:tc>
          <w:tcPr/>
          <w:p>
            <w:pPr>
              <w:pStyle w:val="Compact"/>
              <w:jc w:val="left"/>
            </w:pPr>
            <w:r>
              <w:t xml:space="preserve">NEXUS (plan level)</w:t>
            </w:r>
          </w:p>
        </w:tc>
      </w:tr>
      <w:tr>
        <w:tc>
          <w:tcPr/>
          <w:p>
            <w:pPr>
              <w:pStyle w:val="Compact"/>
              <w:jc w:val="left"/>
            </w:pPr>
            <w:r>
              <w:t xml:space="preserve">Calibration</w:t>
            </w:r>
          </w:p>
        </w:tc>
        <w:tc>
          <w:tcPr/>
          <w:p>
            <w:pPr>
              <w:pStyle w:val="Compact"/>
              <w:jc w:val="left"/>
            </w:pPr>
            <w:r>
              <w:t xml:space="preserve">Platt (1999); temperature (Guo et al., 2017); isotonic (Zadrozny &amp; Elkan, 2002); beta (Kull et al., 2017)</w:t>
            </w:r>
          </w:p>
        </w:tc>
        <w:tc>
          <w:tcPr/>
          <w:p>
            <w:pPr>
              <w:pStyle w:val="Compact"/>
              <w:jc w:val="left"/>
            </w:pPr>
            <w:r>
              <w:t xml:space="preserve">Makes scores usable with costs</w:t>
            </w:r>
          </w:p>
        </w:tc>
        <w:tc>
          <w:tcPr/>
          <w:p>
            <w:pPr>
              <w:pStyle w:val="Compact"/>
              <w:jc w:val="left"/>
            </w:pPr>
            <w:r>
              <w:t xml:space="preserve">Calibration does not imply good control</w:t>
            </w:r>
          </w:p>
        </w:tc>
        <w:tc>
          <w:tcPr/>
          <w:p>
            <w:pPr>
              <w:pStyle w:val="Compact"/>
              <w:jc w:val="left"/>
            </w:pPr>
            <w:r>
              <w:t xml:space="preserve">NEXUS (Platt, isotonic evaluated); C. Zhang et al. (analysis); DreamGuard (calibrated fusion)</w:t>
            </w:r>
          </w:p>
        </w:tc>
      </w:tr>
      <w:tr>
        <w:tc>
          <w:tcPr/>
          <w:p>
            <w:pPr>
              <w:pStyle w:val="Compact"/>
              <w:jc w:val="left"/>
            </w:pPr>
            <w:r>
              <w:t xml:space="preserve">Calibration measurement</w:t>
            </w:r>
          </w:p>
        </w:tc>
        <w:tc>
          <w:tcPr/>
          <w:p>
            <w:pPr>
              <w:pStyle w:val="Compact"/>
              <w:jc w:val="left"/>
            </w:pPr>
            <w:r>
              <w:t xml:space="preserve">ECE (Naeini et al., 2015; Guo et al., 2017)</w:t>
            </w:r>
          </w:p>
        </w:tc>
        <w:tc>
          <w:tcPr/>
          <w:p>
            <w:pPr>
              <w:pStyle w:val="Compact"/>
              <w:jc w:val="left"/>
            </w:pPr>
            <w:r>
              <w:t xml:space="preserve">Quantifies miscalibration</w:t>
            </w:r>
          </w:p>
        </w:tc>
        <w:tc>
          <w:tcPr/>
          <w:p>
            <w:pPr>
              <w:pStyle w:val="Compact"/>
              <w:jc w:val="left"/>
            </w:pPr>
            <w:r>
              <w:t xml:space="preserve">Bin-dependent; unstable with small sets</w:t>
            </w:r>
          </w:p>
        </w:tc>
        <w:tc>
          <w:tcPr/>
          <w:p>
            <w:pPr>
              <w:pStyle w:val="Compact"/>
              <w:jc w:val="left"/>
            </w:pPr>
            <w:r>
              <w:t xml:space="preserve">NEXUS; C. Zhang et al.</w:t>
            </w:r>
          </w:p>
        </w:tc>
      </w:tr>
      <w:tr>
        <w:tc>
          <w:tcPr/>
          <w:p>
            <w:pPr>
              <w:pStyle w:val="Compact"/>
              <w:jc w:val="left"/>
            </w:pPr>
            <w:r>
              <w:t xml:space="preserve">Sequential accumulation</w:t>
            </w:r>
          </w:p>
        </w:tc>
        <w:tc>
          <w:tcPr/>
          <w:p>
            <w:pPr>
              <w:pStyle w:val="Compact"/>
              <w:jc w:val="left"/>
            </w:pPr>
            <w:r>
              <w:t xml:space="preserve">CUSUM (Page, 1954; Basseville &amp; Nikiforov, 1993); optimality (Lorden, 1971)</w:t>
            </w:r>
          </w:p>
        </w:tc>
        <w:tc>
          <w:tcPr/>
          <w:p>
            <w:pPr>
              <w:pStyle w:val="Compact"/>
              <w:jc w:val="left"/>
            </w:pPr>
            <w:r>
              <w:t xml:space="preserve">Statistically grounded accumulation</w:t>
            </w:r>
          </w:p>
        </w:tc>
        <w:tc>
          <w:tcPr/>
          <w:p>
            <w:pPr>
              <w:pStyle w:val="Compact"/>
              <w:jc w:val="left"/>
            </w:pPr>
            <w:r>
              <w:t xml:space="preserve">Assumptions not met by agent trajectories; evadable by pacing</w:t>
            </w:r>
          </w:p>
        </w:tc>
        <w:tc>
          <w:tcPr/>
          <w:p>
            <w:pPr>
              <w:pStyle w:val="Compact"/>
              <w:jc w:val="left"/>
            </w:pPr>
            <w:r>
              <w:t xml:space="preserve">Heuristic analogues only (PRISM; FinHarness). In REM: optional, observe-only</w:t>
            </w:r>
          </w:p>
        </w:tc>
      </w:tr>
      <w:tr>
        <w:tc>
          <w:tcPr/>
          <w:p>
            <w:pPr>
              <w:pStyle w:val="Compact"/>
              <w:jc w:val="left"/>
            </w:pPr>
            <w:r>
              <w:t xml:space="preserve">Response selection</w:t>
            </w:r>
          </w:p>
        </w:tc>
        <w:tc>
          <w:tcPr/>
          <w:p>
            <w:pPr>
              <w:pStyle w:val="Compact"/>
              <w:jc w:val="left"/>
            </w:pPr>
            <w:r>
              <w:t xml:space="preserve">Minimum expected cost (Elkan, 2001); reject option (Chow, 1970)</w:t>
            </w:r>
          </w:p>
        </w:tc>
        <w:tc>
          <w:tcPr/>
          <w:p>
            <w:pPr>
              <w:pStyle w:val="Compact"/>
              <w:jc w:val="left"/>
            </w:pPr>
            <w:r>
              <w:t xml:space="preserve">Uses consequences explicitly; human-review region</w:t>
            </w:r>
          </w:p>
        </w:tc>
        <w:tc>
          <w:tcPr/>
          <w:p>
            <w:pPr>
              <w:pStyle w:val="Compact"/>
              <w:jc w:val="left"/>
            </w:pPr>
            <w:r>
              <w:t xml:space="preserve">Costs uncertain; recoverability omitted</w:t>
            </w:r>
          </w:p>
        </w:tc>
        <w:tc>
          <w:tcPr/>
          <w:p>
            <w:pPr>
              <w:pStyle w:val="Compact"/>
              <w:jc w:val="left"/>
            </w:pPr>
            <w:r>
              <w:t xml:space="preserve">NEXUS objective (fixed costs, cascade); consequence pricing (H.-H. Chen)</w:t>
            </w:r>
          </w:p>
        </w:tc>
      </w:tr>
      <w:tr>
        <w:tc>
          <w:tcPr/>
          <w:p>
            <w:pPr>
              <w:pStyle w:val="Compact"/>
              <w:jc w:val="left"/>
            </w:pPr>
            <w:r>
              <w:t xml:space="preserve">Audit decomposition</w:t>
            </w:r>
          </w:p>
        </w:tc>
        <w:tc>
          <w:tcPr/>
          <w:p>
            <w:pPr>
              <w:pStyle w:val="Compact"/>
              <w:jc w:val="left"/>
            </w:pPr>
            <w:r>
              <w:t xml:space="preserve">Additive attribution (Lundberg &amp; Lee, 2017)</w:t>
            </w:r>
          </w:p>
        </w:tc>
        <w:tc>
          <w:tcPr/>
          <w:p>
            <w:pPr>
              <w:pStyle w:val="Compact"/>
              <w:jc w:val="left"/>
            </w:pPr>
            <w:r>
              <w:t xml:space="preserve">Exact for linear scores; cheap</w:t>
            </w:r>
          </w:p>
        </w:tc>
        <w:tc>
          <w:tcPr/>
          <w:p>
            <w:pPr>
              <w:pStyle w:val="Compact"/>
              <w:jc w:val="left"/>
            </w:pPr>
            <w:r>
              <w:t xml:space="preserve">Not a novel explanation mechanism</w:t>
            </w:r>
          </w:p>
        </w:tc>
        <w:tc>
          <w:tcPr/>
          <w:p>
            <w:pPr>
              <w:pStyle w:val="Compact"/>
              <w:jc w:val="left"/>
            </w:pPr>
            <w:r>
              <w:t xml:space="preserve">Rule/evidence/audit traces in NEXUS, AgentTrust, ShieldAgent, ProvenanceGuard, PRISM, LATTICE</w:t>
            </w:r>
          </w:p>
        </w:tc>
      </w:tr>
    </w:tbl>
    <w:p>
      <w:pPr>
        <w:pStyle w:val="BodyText"/>
      </w:pPr>
      <w:r>
        <w:rPr>
          <w:bCs/>
          <w:b/>
        </w:rPr>
        <w:t xml:space="preserve">Theme 7 (statistical and algorithmic methods): synthesis.</w:t>
      </w:r>
    </w:p>
    <w:p>
      <w:pPr>
        <w:numPr>
          <w:ilvl w:val="0"/>
          <w:numId w:val="1076"/>
        </w:numPr>
        <w:pStyle w:val="Compact"/>
      </w:pPr>
      <w:r>
        <w:rPr>
          <w:bCs/>
          <w:b/>
        </w:rPr>
        <w:t xml:space="preserve">Established.</w:t>
      </w:r>
      <w:r>
        <w:t xml:space="preserve"> </w:t>
      </w:r>
      <w:r>
        <w:t xml:space="preserve">Each building block is established, and several are already applied in agent security.</w:t>
      </w:r>
    </w:p>
    <w:p>
      <w:pPr>
        <w:numPr>
          <w:ilvl w:val="0"/>
          <w:numId w:val="1076"/>
        </w:numPr>
        <w:pStyle w:val="Compact"/>
      </w:pPr>
      <w:r>
        <w:rPr>
          <w:bCs/>
          <w:b/>
        </w:rPr>
        <w:t xml:space="preserve">Uncertain.</w:t>
      </w:r>
      <w:r>
        <w:t xml:space="preserve"> </w:t>
      </w:r>
      <w:r>
        <w:t xml:space="preserve">How these blocks perform in combination at the action boundary of an executing agent under indirect injection.</w:t>
      </w:r>
    </w:p>
    <w:p>
      <w:pPr>
        <w:numPr>
          <w:ilvl w:val="0"/>
          <w:numId w:val="1076"/>
        </w:numPr>
        <w:pStyle w:val="Compact"/>
      </w:pPr>
      <w:r>
        <w:rPr>
          <w:bCs/>
          <w:b/>
        </w:rPr>
        <w:t xml:space="preserve">Under-evaluated.</w:t>
      </w:r>
      <w:r>
        <w:t xml:space="preserve"> </w:t>
      </w:r>
      <w:r>
        <w:t xml:space="preserve">Calibration of agent-safety probabilities. Only NEXUS reports calibration error for a deployed scorer, and C. Zhang et al. and LATTICE show that calibration or a threshold on confidence does not by itself secure good control.</w:t>
      </w:r>
    </w:p>
    <w:p>
      <w:pPr>
        <w:numPr>
          <w:ilvl w:val="0"/>
          <w:numId w:val="1076"/>
        </w:numPr>
        <w:pStyle w:val="Compact"/>
      </w:pPr>
      <w:r>
        <w:rPr>
          <w:bCs/>
          <w:b/>
        </w:rPr>
        <w:t xml:space="preserve">Differs across studies.</w:t>
      </w:r>
      <w:r>
        <w:t xml:space="preserve"> </w:t>
      </w:r>
      <w:r>
        <w:t xml:space="preserve">Probabilities are produced by logistic scores, learned Markov chains, latent world models, or LLM judges.</w:t>
      </w:r>
    </w:p>
    <w:p>
      <w:pPr>
        <w:numPr>
          <w:ilvl w:val="0"/>
          <w:numId w:val="1076"/>
        </w:numPr>
        <w:pStyle w:val="Compact"/>
      </w:pPr>
      <w:r>
        <w:rPr>
          <w:bCs/>
          <w:b/>
        </w:rPr>
        <w:t xml:space="preserve">Implication for REM.</w:t>
      </w:r>
      <w:r>
        <w:t xml:space="preserve"> </w:t>
      </w:r>
      <w:r>
        <w:t xml:space="preserve">REM’s estimator, calibrator and decision rule are adopted, not contributed. Calibration must be reported separately from control. The comparison that isolates the effect of using consequences is against a consequence-independent rule that uses the</w:t>
      </w:r>
      <w:r>
        <w:t xml:space="preserve"> </w:t>
      </w:r>
      <w:r>
        <w:rPr>
          <w:iCs/>
          <w:i/>
        </w:rPr>
        <w:t xml:space="preserve">same</w:t>
      </w:r>
      <w:r>
        <w:t xml:space="preserve"> </w:t>
      </w:r>
      <w:r>
        <w:t xml:space="preserve">estimator.</w:t>
      </w:r>
    </w:p>
    <w:p>
      <w:r>
        <w:pict>
          <v:rect style="width:0;height:1.5pt" o:hralign="center" o:hrstd="t" o:hr="t"/>
        </w:pict>
      </w:r>
    </w:p>
    <w:bookmarkEnd w:id="75"/>
    <w:bookmarkEnd w:id="76"/>
    <w:bookmarkStart w:id="81" w:name="runtime-decision-and-mitigation"/>
    <w:p>
      <w:pPr>
        <w:pStyle w:val="Heading2"/>
      </w:pPr>
      <w:r>
        <w:t xml:space="preserve">2.9 Runtime Decision and Mitigation</w:t>
      </w:r>
    </w:p>
    <w:p>
      <w:pPr>
        <w:pStyle w:val="FirstParagraph"/>
      </w:pPr>
      <w:r>
        <w:t xml:space="preserve">This section examines how runtime systems</w:t>
      </w:r>
      <w:r>
        <w:t xml:space="preserve"> </w:t>
      </w:r>
      <w:r>
        <w:rPr>
          <w:iCs/>
          <w:i/>
        </w:rPr>
        <w:t xml:space="preserve">act</w:t>
      </w:r>
      <w:r>
        <w:t xml:space="preserve"> </w:t>
      </w:r>
      <w:r>
        <w:t xml:space="preserve">on what they detect. It distinguishes four functions that the literature often conflates:</w:t>
      </w:r>
    </w:p>
    <w:p>
      <w:pPr>
        <w:numPr>
          <w:ilvl w:val="0"/>
          <w:numId w:val="1077"/>
        </w:numPr>
        <w:pStyle w:val="Compact"/>
      </w:pPr>
      <w:r>
        <w:rPr>
          <w:bCs/>
          <w:b/>
        </w:rPr>
        <w:t xml:space="preserve">detection:</w:t>
      </w:r>
      <w:r>
        <w:t xml:space="preserve"> </w:t>
      </w:r>
      <w:r>
        <w:t xml:space="preserve">recognizing that something may be wrong;</w:t>
      </w:r>
    </w:p>
    <w:p>
      <w:pPr>
        <w:numPr>
          <w:ilvl w:val="0"/>
          <w:numId w:val="1077"/>
        </w:numPr>
        <w:pStyle w:val="Compact"/>
      </w:pPr>
      <w:r>
        <w:rPr>
          <w:bCs/>
          <w:b/>
        </w:rPr>
        <w:t xml:space="preserve">risk estimation:</w:t>
      </w:r>
      <w:r>
        <w:t xml:space="preserve"> </w:t>
      </w:r>
      <w:r>
        <w:t xml:space="preserve">quantifying how likely or how severe;</w:t>
      </w:r>
    </w:p>
    <w:p>
      <w:pPr>
        <w:numPr>
          <w:ilvl w:val="0"/>
          <w:numId w:val="1077"/>
        </w:numPr>
        <w:pStyle w:val="Compact"/>
      </w:pPr>
      <w:r>
        <w:rPr>
          <w:bCs/>
          <w:b/>
        </w:rPr>
        <w:t xml:space="preserve">decision:</w:t>
      </w:r>
      <w:r>
        <w:t xml:space="preserve"> </w:t>
      </w:r>
      <w:r>
        <w:t xml:space="preserve">selecting a response;</w:t>
      </w:r>
    </w:p>
    <w:p>
      <w:pPr>
        <w:numPr>
          <w:ilvl w:val="0"/>
          <w:numId w:val="1077"/>
        </w:numPr>
        <w:pStyle w:val="Compact"/>
      </w:pPr>
      <w:r>
        <w:rPr>
          <w:bCs/>
          <w:b/>
        </w:rPr>
        <w:t xml:space="preserve">mitigation:</w:t>
      </w:r>
      <w:r>
        <w:t xml:space="preserve"> </w:t>
      </w:r>
      <w:r>
        <w:t xml:space="preserve">executing the response.</w:t>
      </w:r>
    </w:p>
    <w:bookmarkStart w:id="77" w:name="the-space-of-runtime-responses"/>
    <w:p>
      <w:pPr>
        <w:pStyle w:val="Heading3"/>
      </w:pPr>
      <w:r>
        <w:t xml:space="preserve">2.9.1 The space of runtime responses</w:t>
      </w:r>
    </w:p>
    <w:p>
      <w:pPr>
        <w:pStyle w:val="FirstParagraph"/>
      </w:pPr>
      <w:r>
        <w:t xml:space="preserve">The included systems use a common, graduated vocabulary:</w:t>
      </w:r>
    </w:p>
    <w:p>
      <w:pPr>
        <w:numPr>
          <w:ilvl w:val="0"/>
          <w:numId w:val="1078"/>
        </w:numPr>
        <w:pStyle w:val="Compact"/>
      </w:pPr>
      <w:r>
        <w:t xml:space="preserve">allow;</w:t>
      </w:r>
    </w:p>
    <w:p>
      <w:pPr>
        <w:numPr>
          <w:ilvl w:val="0"/>
          <w:numId w:val="1078"/>
        </w:numPr>
        <w:pStyle w:val="Compact"/>
      </w:pPr>
      <w:r>
        <w:t xml:space="preserve">block;</w:t>
      </w:r>
    </w:p>
    <w:p>
      <w:pPr>
        <w:numPr>
          <w:ilvl w:val="0"/>
          <w:numId w:val="1078"/>
        </w:numPr>
        <w:pStyle w:val="Compact"/>
      </w:pPr>
      <w:r>
        <w:t xml:space="preserve">modify: rewrite arguments, sanitize context, propose a safer alternative or request a revision;</w:t>
      </w:r>
    </w:p>
    <w:p>
      <w:pPr>
        <w:numPr>
          <w:ilvl w:val="0"/>
          <w:numId w:val="1078"/>
        </w:numPr>
        <w:pStyle w:val="Compact"/>
      </w:pPr>
      <w:r>
        <w:t xml:space="preserve">escalate: request confirmation or human review;</w:t>
      </w:r>
    </w:p>
    <w:p>
      <w:pPr>
        <w:numPr>
          <w:ilvl w:val="0"/>
          <w:numId w:val="1078"/>
        </w:numPr>
        <w:pStyle w:val="Compact"/>
      </w:pPr>
      <w:r>
        <w:t xml:space="preserve">restrict tools or privileges;</w:t>
      </w:r>
    </w:p>
    <w:p>
      <w:pPr>
        <w:numPr>
          <w:ilvl w:val="0"/>
          <w:numId w:val="1078"/>
        </w:numPr>
        <w:pStyle w:val="Compact"/>
      </w:pPr>
      <w:r>
        <w:t xml:space="preserve">interrupt or terminate;</w:t>
      </w:r>
    </w:p>
    <w:p>
      <w:pPr>
        <w:numPr>
          <w:ilvl w:val="0"/>
          <w:numId w:val="1078"/>
        </w:numPr>
        <w:pStyle w:val="Compact"/>
      </w:pPr>
      <w:r>
        <w:t xml:space="preserve">stage, undo or roll back effects.</w:t>
      </w:r>
    </w:p>
    <w:p>
      <w:pPr>
        <w:pStyle w:val="FirstParagraph"/>
      </w:pPr>
      <w:r>
        <w:t xml:space="preserve">Human participation is also studied directly. An analysis of 21 production agent systems found runtime approval in 15 of them, policy specification in 14 and scope configuration in 16. It found no production deployment of intent anchoring or trust labeling, the mechanisms most studied academically. It also identified a trade-off between approval fatigue and uncontrolled autonomy (P. Wang et al., 2026; preprint).</w:t>
      </w:r>
    </w:p>
    <w:p>
      <w:pPr>
        <w:pStyle w:val="BodyText"/>
      </w:pPr>
      <w:r>
        <w:rPr>
          <w:bCs/>
          <w:b/>
        </w:rPr>
        <w:t xml:space="preserve">Table 2.7. Runtime responses reported by included systems</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System</w:t>
            </w:r>
          </w:p>
        </w:tc>
        <w:tc>
          <w:tcPr/>
          <w:p>
            <w:pPr>
              <w:pStyle w:val="Compact"/>
              <w:jc w:val="left"/>
            </w:pPr>
            <w:r>
              <w:t xml:space="preserve">Allow</w:t>
            </w:r>
          </w:p>
        </w:tc>
        <w:tc>
          <w:tcPr/>
          <w:p>
            <w:pPr>
              <w:pStyle w:val="Compact"/>
              <w:jc w:val="left"/>
            </w:pPr>
            <w:r>
              <w:t xml:space="preserve">Block</w:t>
            </w:r>
          </w:p>
        </w:tc>
        <w:tc>
          <w:tcPr/>
          <w:p>
            <w:pPr>
              <w:pStyle w:val="Compact"/>
              <w:jc w:val="left"/>
            </w:pPr>
            <w:r>
              <w:t xml:space="preserve">Modify / sanitize / revise</w:t>
            </w:r>
          </w:p>
        </w:tc>
        <w:tc>
          <w:tcPr/>
          <w:p>
            <w:pPr>
              <w:pStyle w:val="Compact"/>
              <w:jc w:val="left"/>
            </w:pPr>
            <w:r>
              <w:t xml:space="preserve">Escalate / human review</w:t>
            </w:r>
          </w:p>
        </w:tc>
        <w:tc>
          <w:tcPr/>
          <w:p>
            <w:pPr>
              <w:pStyle w:val="Compact"/>
              <w:jc w:val="left"/>
            </w:pPr>
            <w:r>
              <w:t xml:space="preserve">Restrict tools or privileges</w:t>
            </w:r>
          </w:p>
        </w:tc>
        <w:tc>
          <w:tcPr/>
          <w:p>
            <w:pPr>
              <w:pStyle w:val="Compact"/>
              <w:jc w:val="left"/>
            </w:pPr>
            <w:r>
              <w:t xml:space="preserve">Interrupt / terminate</w:t>
            </w:r>
          </w:p>
        </w:tc>
        <w:tc>
          <w:tcPr/>
          <w:p>
            <w:pPr>
              <w:pStyle w:val="Compact"/>
              <w:jc w:val="left"/>
            </w:pPr>
            <w:r>
              <w:t xml:space="preserve">Stage / roll back / undo</w:t>
            </w:r>
          </w:p>
        </w:tc>
        <w:tc>
          <w:tcPr/>
          <w:p>
            <w:pPr>
              <w:pStyle w:val="Compact"/>
              <w:jc w:val="left"/>
            </w:pPr>
            <w:r>
              <w:t xml:space="preserve">Decision granularity</w:t>
            </w:r>
          </w:p>
        </w:tc>
      </w:tr>
      <w:tr>
        <w:tc>
          <w:tcPr/>
          <w:p>
            <w:pPr>
              <w:pStyle w:val="Compact"/>
              <w:jc w:val="left"/>
            </w:pPr>
            <w:r>
              <w:t xml:space="preserve">Progent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Not Reported</w:t>
            </w:r>
          </w:p>
        </w:tc>
        <w:tc>
          <w:tcPr/>
          <w:p>
            <w:pPr>
              <w:pStyle w:val="Compact"/>
              <w:jc w:val="left"/>
            </w:pPr>
            <w:r>
              <w:t xml:space="preserve">Yes (approval for privilege expansion)</w:t>
            </w:r>
          </w:p>
        </w:tc>
        <w:tc>
          <w:tcPr/>
          <w:p>
            <w:pPr>
              <w:pStyle w:val="Compact"/>
              <w:jc w:val="left"/>
            </w:pPr>
            <w:r>
              <w:t xml:space="preserve">Yes</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tool call</w:t>
            </w:r>
          </w:p>
        </w:tc>
      </w:tr>
      <w:tr>
        <w:tc>
          <w:tcPr/>
          <w:p>
            <w:pPr>
              <w:pStyle w:val="Compact"/>
              <w:jc w:val="left"/>
            </w:pPr>
            <w:r>
              <w:t xml:space="preserve">AgentSpec</w:t>
            </w:r>
          </w:p>
        </w:tc>
        <w:tc>
          <w:tcPr/>
          <w:p>
            <w:pPr>
              <w:pStyle w:val="Compact"/>
              <w:jc w:val="left"/>
            </w:pPr>
            <w:r>
              <w:t xml:space="preserve">Yes</w:t>
            </w:r>
          </w:p>
        </w:tc>
        <w:tc>
          <w:tcPr/>
          <w:p>
            <w:pPr>
              <w:pStyle w:val="Compact"/>
              <w:jc w:val="left"/>
            </w:pPr>
            <w:r>
              <w:t xml:space="preserve">Yes</w:t>
            </w:r>
          </w:p>
        </w:tc>
        <w:tc>
          <w:tcPr/>
          <w:p>
            <w:pPr>
              <w:pStyle w:val="Compact"/>
              <w:jc w:val="left"/>
            </w:pPr>
            <w:r>
              <w:t xml:space="preserve">Rule-defined</w:t>
            </w:r>
          </w:p>
        </w:tc>
        <w:tc>
          <w:tcPr/>
          <w:p>
            <w:pPr>
              <w:pStyle w:val="Compact"/>
              <w:jc w:val="left"/>
            </w:pPr>
            <w:r>
              <w:t xml:space="preserve">Not Verified</w:t>
            </w:r>
          </w:p>
        </w:tc>
        <w:tc>
          <w:tcPr/>
          <w:p>
            <w:pPr>
              <w:pStyle w:val="Compact"/>
              <w:jc w:val="left"/>
            </w:pPr>
            <w:r>
              <w:t xml:space="preserve">Not Reported</w:t>
            </w:r>
          </w:p>
        </w:tc>
        <w:tc>
          <w:tcPr/>
          <w:p>
            <w:pPr>
              <w:pStyle w:val="Compact"/>
              <w:jc w:val="left"/>
            </w:pPr>
            <w:r>
              <w:t xml:space="preserve">Not Verified</w:t>
            </w:r>
          </w:p>
        </w:tc>
        <w:tc>
          <w:tcPr/>
          <w:p>
            <w:pPr>
              <w:pStyle w:val="Compact"/>
              <w:jc w:val="left"/>
            </w:pPr>
            <w:r>
              <w:t xml:space="preserve">Not Reported</w:t>
            </w:r>
          </w:p>
        </w:tc>
        <w:tc>
          <w:tcPr/>
          <w:p>
            <w:pPr>
              <w:pStyle w:val="Compact"/>
              <w:jc w:val="left"/>
            </w:pPr>
            <w:r>
              <w:t xml:space="preserve">Per triggered event</w:t>
            </w:r>
          </w:p>
        </w:tc>
      </w:tr>
      <w:tr>
        <w:tc>
          <w:tcPr/>
          <w:p>
            <w:pPr>
              <w:pStyle w:val="Compact"/>
              <w:jc w:val="left"/>
            </w:pPr>
            <w:r>
              <w:t xml:space="preserve">RTBAS</w:t>
            </w:r>
          </w:p>
        </w:tc>
        <w:tc>
          <w:tcPr/>
          <w:p>
            <w:pPr>
              <w:pStyle w:val="Compact"/>
              <w:jc w:val="left"/>
            </w:pPr>
            <w:r>
              <w:t xml:space="preserve">Yes (auto-execute)</w:t>
            </w:r>
          </w:p>
        </w:tc>
        <w:tc>
          <w:tcPr/>
          <w:p>
            <w:pPr>
              <w:pStyle w:val="Compact"/>
              <w:jc w:val="left"/>
            </w:pPr>
            <w:r>
              <w:t xml:space="preserve">Not Verified</w:t>
            </w:r>
          </w:p>
        </w:tc>
        <w:tc>
          <w:tcPr/>
          <w:p>
            <w:pPr>
              <w:pStyle w:val="Compact"/>
              <w:jc w:val="left"/>
            </w:pPr>
            <w:r>
              <w:t xml:space="preserve">Not Reported</w:t>
            </w:r>
          </w:p>
        </w:tc>
        <w:tc>
          <w:tcPr/>
          <w:p>
            <w:pPr>
              <w:pStyle w:val="Compact"/>
              <w:jc w:val="left"/>
            </w:pPr>
            <w:r>
              <w:t xml:space="preserve">Yes (user confirmation)</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tool call</w:t>
            </w:r>
          </w:p>
        </w:tc>
      </w:tr>
      <w:tr>
        <w:tc>
          <w:tcPr/>
          <w:p>
            <w:pPr>
              <w:pStyle w:val="Compact"/>
              <w:jc w:val="left"/>
            </w:pPr>
            <w:r>
              <w:t xml:space="preserve">MCP policy-enforcement point</w:t>
            </w:r>
          </w:p>
        </w:tc>
        <w:tc>
          <w:tcPr/>
          <w:p>
            <w:pPr>
              <w:pStyle w:val="Compact"/>
              <w:jc w:val="left"/>
            </w:pPr>
            <w:r>
              <w:t xml:space="preserve">Yes</w:t>
            </w:r>
          </w:p>
        </w:tc>
        <w:tc>
          <w:tcPr/>
          <w:p>
            <w:pPr>
              <w:pStyle w:val="Compact"/>
              <w:jc w:val="left"/>
            </w:pPr>
            <w:r>
              <w:t xml:space="preserve">Yes (deny)</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Yes (capability tokens)</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tool call with cross-step labels</w:t>
            </w:r>
          </w:p>
        </w:tc>
      </w:tr>
      <w:tr>
        <w:tc>
          <w:tcPr/>
          <w:p>
            <w:pPr>
              <w:pStyle w:val="Compact"/>
              <w:jc w:val="left"/>
            </w:pPr>
            <w:r>
              <w:t xml:space="preserve">LATTICE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Not Reported</w:t>
            </w:r>
          </w:p>
        </w:tc>
        <w:tc>
          <w:tcPr/>
          <w:p>
            <w:pPr>
              <w:pStyle w:val="Compact"/>
              <w:jc w:val="left"/>
            </w:pPr>
            <w:r>
              <w:t xml:space="preserve">Yes (confidence-based escalation to humans)</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gated action</w:t>
            </w:r>
          </w:p>
        </w:tc>
      </w:tr>
      <w:tr>
        <w:tc>
          <w:tcPr/>
          <w:p>
            <w:pPr>
              <w:pStyle w:val="Compact"/>
              <w:jc w:val="left"/>
            </w:pPr>
            <w:r>
              <w:t xml:space="preserve">VIGIL</w:t>
            </w:r>
          </w:p>
        </w:tc>
        <w:tc>
          <w:tcPr/>
          <w:p>
            <w:pPr>
              <w:pStyle w:val="Compact"/>
              <w:jc w:val="left"/>
            </w:pPr>
            <w:r>
              <w:t xml:space="preserve">Yes (commit)</w:t>
            </w:r>
          </w:p>
        </w:tc>
        <w:tc>
          <w:tcPr/>
          <w:p>
            <w:pPr>
              <w:pStyle w:val="Compact"/>
              <w:jc w:val="left"/>
            </w:pPr>
            <w:r>
              <w:t xml:space="preserve">Yes (no commit)</w:t>
            </w:r>
          </w:p>
        </w:tc>
        <w:tc>
          <w:tcPr/>
          <w:p>
            <w:pPr>
              <w:pStyle w:val="Compact"/>
              <w:jc w:val="left"/>
            </w:pPr>
            <w:r>
              <w:t xml:space="preserve">Not Verified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speculative action</w:t>
            </w:r>
          </w:p>
        </w:tc>
      </w:tr>
      <w:tr>
        <w:tc>
          <w:tcPr/>
          <w:p>
            <w:pPr>
              <w:pStyle w:val="Compact"/>
              <w:jc w:val="left"/>
            </w:pPr>
            <w:r>
              <w:t xml:space="preserve">ToolSafe</w:t>
            </w:r>
          </w:p>
        </w:tc>
        <w:tc>
          <w:tcPr/>
          <w:p>
            <w:pPr>
              <w:pStyle w:val="Compact"/>
              <w:jc w:val="left"/>
            </w:pPr>
            <w:r>
              <w:t xml:space="preserve">Yes</w:t>
            </w:r>
          </w:p>
        </w:tc>
        <w:tc>
          <w:tcPr/>
          <w:p>
            <w:pPr>
              <w:pStyle w:val="Compact"/>
              <w:jc w:val="left"/>
            </w:pPr>
            <w:r>
              <w:t xml:space="preserve">Not Verified</w:t>
            </w:r>
          </w:p>
        </w:tc>
        <w:tc>
          <w:tcPr/>
          <w:p>
            <w:pPr>
              <w:pStyle w:val="Compact"/>
              <w:jc w:val="left"/>
            </w:pPr>
            <w:r>
              <w:t xml:space="preserve">Yes (guardrail feedback to agent)</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tool invocation</w:t>
            </w:r>
          </w:p>
        </w:tc>
      </w:tr>
      <w:tr>
        <w:tc>
          <w:tcPr/>
          <w:p>
            <w:pPr>
              <w:pStyle w:val="Compact"/>
              <w:jc w:val="left"/>
            </w:pPr>
            <w:r>
              <w:t xml:space="preserve">MI9</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Not Verified</w:t>
            </w:r>
          </w:p>
        </w:tc>
        <w:tc>
          <w:tcPr/>
          <w:p>
            <w:pPr>
              <w:pStyle w:val="Compact"/>
              <w:jc w:val="left"/>
            </w:pPr>
            <w:r>
              <w:t xml:space="preserve">Not Verified</w:t>
            </w:r>
          </w:p>
        </w:tc>
        <w:tc>
          <w:tcPr/>
          <w:p>
            <w:pPr>
              <w:pStyle w:val="Compact"/>
              <w:jc w:val="left"/>
            </w:pPr>
            <w:r>
              <w:t xml:space="preserve">Yes (graduated containment)</w:t>
            </w:r>
          </w:p>
        </w:tc>
        <w:tc>
          <w:tcPr/>
          <w:p>
            <w:pPr>
              <w:pStyle w:val="Compact"/>
              <w:jc w:val="left"/>
            </w:pPr>
            <w:r>
              <w:t xml:space="preserve">Yes</w:t>
            </w:r>
          </w:p>
        </w:tc>
        <w:tc>
          <w:tcPr/>
          <w:p>
            <w:pPr>
              <w:pStyle w:val="Compact"/>
              <w:jc w:val="left"/>
            </w:pPr>
            <w:r>
              <w:t xml:space="preserve">Not Reported</w:t>
            </w:r>
          </w:p>
        </w:tc>
        <w:tc>
          <w:tcPr/>
          <w:p>
            <w:pPr>
              <w:pStyle w:val="Compact"/>
              <w:jc w:val="left"/>
            </w:pPr>
            <w:r>
              <w:t xml:space="preserve">Continuous, agent-level</w:t>
            </w:r>
          </w:p>
        </w:tc>
      </w:tr>
      <w:tr>
        <w:tc>
          <w:tcPr/>
          <w:p>
            <w:pPr>
              <w:pStyle w:val="Compact"/>
              <w:jc w:val="left"/>
            </w:pPr>
            <w:r>
              <w:t xml:space="preserve">PRISM</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Not Verified</w:t>
            </w:r>
          </w:p>
        </w:tc>
        <w:tc>
          <w:tcPr/>
          <w:p>
            <w:pPr>
              <w:pStyle w:val="Compact"/>
              <w:jc w:val="left"/>
            </w:pPr>
            <w:r>
              <w:t xml:space="preserve">Not Verified</w:t>
            </w:r>
          </w:p>
        </w:tc>
        <w:tc>
          <w:tcPr/>
          <w:p>
            <w:pPr>
              <w:pStyle w:val="Compact"/>
              <w:jc w:val="left"/>
            </w:pPr>
            <w:r>
              <w:t xml:space="preserve">Yes (policy controls)</w:t>
            </w:r>
          </w:p>
        </w:tc>
        <w:tc>
          <w:tcPr/>
          <w:p>
            <w:pPr>
              <w:pStyle w:val="Compact"/>
              <w:jc w:val="left"/>
            </w:pPr>
            <w:r>
              <w:t xml:space="preserve">Not Verified</w:t>
            </w:r>
          </w:p>
        </w:tc>
        <w:tc>
          <w:tcPr/>
          <w:p>
            <w:pPr>
              <w:pStyle w:val="Compact"/>
              <w:jc w:val="left"/>
            </w:pPr>
            <w:r>
              <w:t xml:space="preserve">Not Reported</w:t>
            </w:r>
          </w:p>
        </w:tc>
        <w:tc>
          <w:tcPr/>
          <w:p>
            <w:pPr>
              <w:pStyle w:val="Compact"/>
              <w:jc w:val="left"/>
            </w:pPr>
            <w:r>
              <w:t xml:space="preserve">Per hook, session accumulation</w:t>
            </w:r>
          </w:p>
        </w:tc>
      </w:tr>
      <w:tr>
        <w:tc>
          <w:tcPr/>
          <w:p>
            <w:pPr>
              <w:pStyle w:val="Compact"/>
              <w:jc w:val="left"/>
            </w:pPr>
            <w:r>
              <w:t xml:space="preserve">SafeAgent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(sanitization, replanning, argument rewriting)</w:t>
            </w:r>
          </w:p>
        </w:tc>
        <w:tc>
          <w:tcPr/>
          <w:p>
            <w:pPr>
              <w:pStyle w:val="Compact"/>
              <w:jc w:val="left"/>
            </w:pPr>
            <w:r>
              <w:t xml:space="preserve">Yes (human escalation)</w:t>
            </w:r>
          </w:p>
        </w:tc>
        <w:tc>
          <w:tcPr/>
          <w:p>
            <w:pPr>
              <w:pStyle w:val="Compact"/>
              <w:jc w:val="left"/>
            </w:pPr>
            <w:r>
              <w:t xml:space="preserve">Not Verified</w:t>
            </w:r>
          </w:p>
        </w:tc>
        <w:tc>
          <w:tcPr/>
          <w:p>
            <w:pPr>
              <w:pStyle w:val="Compact"/>
              <w:jc w:val="left"/>
            </w:pPr>
            <w:r>
              <w:t xml:space="preserve">Yes</w:t>
            </w:r>
          </w:p>
        </w:tc>
        <w:tc>
          <w:tcPr/>
          <w:p>
            <w:pPr>
              <w:pStyle w:val="Compact"/>
              <w:jc w:val="left"/>
            </w:pPr>
            <w:r>
              <w:t xml:space="preserve">Yes (rollback)</w:t>
            </w:r>
          </w:p>
        </w:tc>
        <w:tc>
          <w:tcPr/>
          <w:p>
            <w:pPr>
              <w:pStyle w:val="Compact"/>
              <w:jc w:val="left"/>
            </w:pPr>
            <w:r>
              <w:t xml:space="preserve">Per step over session state (PARTLY UNVERIFIED)</w:t>
            </w:r>
          </w:p>
        </w:tc>
      </w:tr>
      <w:tr>
        <w:tc>
          <w:tcPr/>
          <w:p>
            <w:pPr>
              <w:pStyle w:val="Compact"/>
              <w:jc w:val="left"/>
            </w:pPr>
            <w:r>
              <w:t xml:space="preserve">AgentTrust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(safer alternatives)</w:t>
            </w:r>
          </w:p>
        </w:tc>
        <w:tc>
          <w:tcPr/>
          <w:p>
            <w:pPr>
              <w:pStyle w:val="Compact"/>
              <w:jc w:val="left"/>
            </w:pPr>
            <w:r>
              <w:t xml:space="preserve">Yes (warn; review)</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tool call, session chains</w:t>
            </w:r>
          </w:p>
        </w:tc>
      </w:tr>
      <w:tr>
        <w:tc>
          <w:tcPr/>
          <w:p>
            <w:pPr>
              <w:pStyle w:val="Compact"/>
              <w:jc w:val="left"/>
            </w:pPr>
            <w:r>
              <w:t xml:space="preserve">NEXUS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(request revision)</w:t>
            </w:r>
          </w:p>
        </w:tc>
        <w:tc>
          <w:tcPr/>
          <w:p>
            <w:pPr>
              <w:pStyle w:val="Compact"/>
              <w:jc w:val="left"/>
            </w:pPr>
            <w:r>
              <w:t xml:space="preserve">Yes (request confirmation)</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plan, before execution</w:t>
            </w:r>
          </w:p>
        </w:tc>
      </w:tr>
      <w:tr>
        <w:tc>
          <w:tcPr/>
          <w:p>
            <w:pPr>
              <w:pStyle w:val="Compact"/>
              <w:jc w:val="left"/>
            </w:pPr>
            <w:r>
              <w:t xml:space="preserve">DreamGuard</w:t>
            </w:r>
          </w:p>
        </w:tc>
        <w:tc>
          <w:tcPr/>
          <w:p>
            <w:pPr>
              <w:pStyle w:val="Compact"/>
              <w:jc w:val="left"/>
            </w:pPr>
            <w:r>
              <w:t xml:space="preserve">Yes (PASS)</w:t>
            </w:r>
          </w:p>
        </w:tc>
        <w:tc>
          <w:tcPr/>
          <w:p>
            <w:pPr>
              <w:pStyle w:val="Compact"/>
              <w:jc w:val="left"/>
            </w:pPr>
            <w:r>
              <w:t xml:space="preserve">Yes (BLOCK)</w:t>
            </w:r>
          </w:p>
        </w:tc>
        <w:tc>
          <w:tcPr/>
          <w:p>
            <w:pPr>
              <w:pStyle w:val="Compact"/>
              <w:jc w:val="left"/>
            </w:pPr>
            <w:r>
              <w:t xml:space="preserve">Not Reported</w:t>
            </w:r>
          </w:p>
        </w:tc>
        <w:tc>
          <w:tcPr/>
          <w:p>
            <w:pPr>
              <w:pStyle w:val="Compact"/>
              <w:jc w:val="left"/>
            </w:pPr>
            <w:r>
              <w:t xml:space="preserve">HOLD (semantics Not Verified)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action with trajectory state</w:t>
            </w:r>
          </w:p>
        </w:tc>
      </w:tr>
      <w:tr>
        <w:tc>
          <w:tcPr/>
          <w:p>
            <w:pPr>
              <w:pStyle w:val="Compact"/>
              <w:jc w:val="left"/>
            </w:pPr>
            <w:r>
              <w:t xml:space="preserve">FinHarness</w:t>
            </w:r>
          </w:p>
        </w:tc>
        <w:tc>
          <w:tcPr/>
          <w:p>
            <w:pPr>
              <w:pStyle w:val="Compact"/>
              <w:jc w:val="left"/>
            </w:pPr>
            <w:r>
              <w:t xml:space="preserve">Yes (approve)</w:t>
            </w:r>
          </w:p>
        </w:tc>
        <w:tc>
          <w:tcPr/>
          <w:p>
            <w:pPr>
              <w:pStyle w:val="Compact"/>
              <w:jc w:val="left"/>
            </w:pPr>
            <w:r>
              <w:t xml:space="preserve">Yes</w:t>
            </w:r>
          </w:p>
        </w:tc>
        <w:tc>
          <w:tcPr/>
          <w:p>
            <w:pPr>
              <w:pStyle w:val="Compact"/>
              <w:jc w:val="left"/>
            </w:pPr>
            <w:r>
              <w:t xml:space="preserve">Not Reported</w:t>
            </w:r>
          </w:p>
        </w:tc>
        <w:tc>
          <w:tcPr/>
          <w:p>
            <w:pPr>
              <w:pStyle w:val="Compact"/>
              <w:jc w:val="left"/>
            </w:pPr>
            <w:r>
              <w:t xml:space="preserve">Escalation to an advanced LLM judge (not a human)</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step, cross-turn</w:t>
            </w:r>
          </w:p>
        </w:tc>
      </w:tr>
      <w:tr>
        <w:tc>
          <w:tcPr/>
          <w:p>
            <w:pPr>
              <w:pStyle w:val="Compact"/>
              <w:jc w:val="left"/>
            </w:pPr>
            <w:r>
              <w:t xml:space="preserve">Jackson</w:t>
            </w:r>
          </w:p>
        </w:tc>
        <w:tc>
          <w:tcPr/>
          <w:p>
            <w:pPr>
              <w:pStyle w:val="Compact"/>
              <w:jc w:val="left"/>
            </w:pPr>
            <w:r>
              <w:t xml:space="preserve">Yes</w:t>
            </w:r>
          </w:p>
        </w:tc>
        <w:tc>
          <w:tcPr/>
          <w:p>
            <w:pPr>
              <w:pStyle w:val="Compact"/>
              <w:jc w:val="left"/>
            </w:pPr>
            <w:r>
              <w:t xml:space="preserve">Yes (deny)</w:t>
            </w:r>
          </w:p>
        </w:tc>
        <w:tc>
          <w:tcPr/>
          <w:p>
            <w:pPr>
              <w:pStyle w:val="Compact"/>
              <w:jc w:val="left"/>
            </w:pPr>
            <w:r>
              <w:t xml:space="preserve">Yes (sanitize)</w:t>
            </w:r>
          </w:p>
        </w:tc>
        <w:tc>
          <w:tcPr/>
          <w:p>
            <w:pPr>
              <w:pStyle w:val="Compact"/>
              <w:jc w:val="left"/>
            </w:pPr>
            <w:r>
              <w:t xml:space="preserve">Yes (escalate)</w:t>
            </w:r>
          </w:p>
        </w:tc>
        <w:tc>
          <w:tcPr/>
          <w:p>
            <w:pPr>
              <w:pStyle w:val="Compact"/>
              <w:jc w:val="left"/>
            </w:pPr>
            <w:r>
              <w:t xml:space="preserve">Not Verified</w:t>
            </w:r>
          </w:p>
        </w:tc>
        <w:tc>
          <w:tcPr/>
          <w:p>
            <w:pPr>
              <w:pStyle w:val="Compact"/>
              <w:jc w:val="left"/>
            </w:pPr>
            <w:r>
              <w:t xml:space="preserve">Not Verified</w:t>
            </w:r>
          </w:p>
        </w:tc>
        <w:tc>
          <w:tcPr/>
          <w:p>
            <w:pPr>
              <w:pStyle w:val="Compact"/>
              <w:jc w:val="left"/>
            </w:pPr>
            <w:r>
              <w:t xml:space="preserve">Not Verified</w:t>
            </w:r>
          </w:p>
        </w:tc>
        <w:tc>
          <w:tcPr/>
          <w:p>
            <w:pPr>
              <w:pStyle w:val="Compact"/>
              <w:jc w:val="left"/>
            </w:pPr>
            <w:r>
              <w:t xml:space="preserve">Not Verified</w:t>
            </w:r>
          </w:p>
        </w:tc>
      </w:tr>
      <w:tr>
        <w:tc>
          <w:tcPr/>
          <w:p>
            <w:pPr>
              <w:pStyle w:val="Compact"/>
              <w:jc w:val="left"/>
            </w:pPr>
            <w:r>
              <w:t xml:space="preserve">Cordon</w:t>
            </w:r>
          </w:p>
        </w:tc>
        <w:tc>
          <w:tcPr/>
          <w:p>
            <w:pPr>
              <w:pStyle w:val="Compact"/>
              <w:jc w:val="left"/>
            </w:pPr>
            <w:r>
              <w:t xml:space="preserve">Not Applicable</w:t>
            </w:r>
          </w:p>
        </w:tc>
        <w:tc>
          <w:tcPr/>
          <w:p>
            <w:pPr>
              <w:pStyle w:val="Compact"/>
              <w:jc w:val="left"/>
            </w:pPr>
            <w:r>
              <w:t xml:space="preserve">Not Applicable</w:t>
            </w:r>
          </w:p>
        </w:tc>
        <w:tc>
          <w:tcPr/>
          <w:p>
            <w:pPr>
              <w:pStyle w:val="Compact"/>
              <w:jc w:val="left"/>
            </w:pPr>
            <w:r>
              <w:t xml:space="preserve">Not Applicable</w:t>
            </w:r>
          </w:p>
        </w:tc>
        <w:tc>
          <w:tcPr/>
          <w:p>
            <w:pPr>
              <w:pStyle w:val="Compact"/>
              <w:jc w:val="left"/>
            </w:pPr>
            <w:r>
              <w:t xml:space="preserve">Not Verified</w:t>
            </w:r>
          </w:p>
        </w:tc>
        <w:tc>
          <w:tcPr/>
          <w:p>
            <w:pPr>
              <w:pStyle w:val="Compact"/>
              <w:jc w:val="left"/>
            </w:pPr>
            <w:r>
              <w:t xml:space="preserve">Not Applicable</w:t>
            </w:r>
          </w:p>
        </w:tc>
        <w:tc>
          <w:tcPr/>
          <w:p>
            <w:pPr>
              <w:pStyle w:val="Compact"/>
              <w:jc w:val="left"/>
            </w:pPr>
            <w:r>
              <w:t xml:space="preserve">Not Applicable</w:t>
            </w:r>
          </w:p>
        </w:tc>
        <w:tc>
          <w:tcPr/>
          <w:p>
            <w:pPr>
              <w:pStyle w:val="Compact"/>
              <w:jc w:val="left"/>
            </w:pPr>
            <w:r>
              <w:t xml:space="preserve">Yes (shadow state; effect outbox)</w:t>
            </w:r>
          </w:p>
        </w:tc>
        <w:tc>
          <w:tcPr/>
          <w:p>
            <w:pPr>
              <w:pStyle w:val="Compact"/>
              <w:jc w:val="left"/>
            </w:pPr>
            <w:r>
              <w:t xml:space="preserve">Per task transaction</w:t>
            </w:r>
          </w:p>
        </w:tc>
      </w:tr>
      <w:tr>
        <w:tc>
          <w:tcPr/>
          <w:p>
            <w:pPr>
              <w:pStyle w:val="Compact"/>
              <w:jc w:val="left"/>
            </w:pPr>
            <w:r>
              <w:t xml:space="preserve">GoEX</w:t>
            </w:r>
          </w:p>
        </w:tc>
        <w:tc>
          <w:tcPr/>
          <w:p>
            <w:pPr>
              <w:pStyle w:val="Compact"/>
              <w:jc w:val="left"/>
            </w:pPr>
            <w:r>
              <w:t xml:space="preserve">Not Applicable</w:t>
            </w:r>
          </w:p>
        </w:tc>
        <w:tc>
          <w:tcPr/>
          <w:p>
            <w:pPr>
              <w:pStyle w:val="Compact"/>
              <w:jc w:val="left"/>
            </w:pPr>
            <w:r>
              <w:t xml:space="preserve">Not Applicable</w:t>
            </w:r>
          </w:p>
        </w:tc>
        <w:tc>
          <w:tcPr/>
          <w:p>
            <w:pPr>
              <w:pStyle w:val="Compact"/>
              <w:jc w:val="left"/>
            </w:pPr>
            <w:r>
              <w:t xml:space="preserve">Not Applicable</w:t>
            </w:r>
          </w:p>
        </w:tc>
        <w:tc>
          <w:tcPr/>
          <w:p>
            <w:pPr>
              <w:pStyle w:val="Compact"/>
              <w:jc w:val="left"/>
            </w:pPr>
            <w:r>
              <w:t xml:space="preserve">Post-facto human validation</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Yes (undo; damage confinement)</w:t>
            </w:r>
          </w:p>
        </w:tc>
        <w:tc>
          <w:tcPr/>
          <w:p>
            <w:pPr>
              <w:pStyle w:val="Compact"/>
              <w:jc w:val="left"/>
            </w:pPr>
            <w:r>
              <w:t xml:space="preserve">Per executed action</w:t>
            </w:r>
          </w:p>
        </w:tc>
      </w:tr>
    </w:tbl>
    <w:bookmarkEnd w:id="77"/>
    <w:bookmarkStart w:id="78" w:name="Xf6a48846a4dd07be7749abc4ed733e193cccbb9"/>
    <w:p>
      <w:pPr>
        <w:pStyle w:val="Heading3"/>
      </w:pPr>
      <w:r>
        <w:t xml:space="preserve">2.9.2 AgentTrust: runtime interception with graduated verdicts</w:t>
      </w:r>
    </w:p>
    <w:p>
      <w:pPr>
        <w:pStyle w:val="FirstParagraph"/>
      </w:pPr>
      <w:r>
        <w:t xml:space="preserve">AgentTrust (C. Yang, 2026; preprint; MODERATE EVIDENCE; PARTLY UNVERIFIED) is among the closest prior art to REM. It passed the inclusion criteria through the other-methods stream. The protocol asks that its runtime interception, verdicts, monitoring, multi-step handling, mitigation, evaluation, latency and ablation claims each be verified; the verification status of each is given below.</w:t>
      </w:r>
    </w:p>
    <w:p>
      <w:pPr>
        <w:pStyle w:val="BodyText"/>
      </w:pPr>
      <w:r>
        <w:rPr>
          <w:bCs/>
          <w:b/>
        </w:rPr>
        <w:t xml:space="preserve">Architecture and verdicts (level A).</w:t>
      </w:r>
      <w:r>
        <w:t xml:space="preserve"> </w:t>
      </w:r>
      <w:r>
        <w:t xml:space="preserve">AgentTrust intercepts agent tool calls</w:t>
      </w:r>
      <w:r>
        <w:t xml:space="preserve"> </w:t>
      </w:r>
      <w:r>
        <w:rPr>
          <w:iCs/>
          <w:i/>
        </w:rPr>
        <w:t xml:space="preserve">before execution</w:t>
      </w:r>
      <w:r>
        <w:t xml:space="preserve"> </w:t>
      </w:r>
      <w:r>
        <w:t xml:space="preserve">and returns one of four verdicts: allow, warn, block or review. Its abstract names a shell deobfuscation normalizer, SafeFix suggestions of safer alternatives, RiskChain detection of multi-step attack chains, and a cache-aware LLM judge for ambiguous inputs.</w:t>
      </w:r>
    </w:p>
    <w:p>
      <w:pPr>
        <w:pStyle w:val="BodyText"/>
      </w:pPr>
      <w:r>
        <w:rPr>
          <w:bCs/>
          <w:b/>
        </w:rPr>
        <w:t xml:space="preserve">Results (level A).</w:t>
      </w:r>
      <w:r>
        <w:t xml:space="preserve"> </w:t>
      </w:r>
      <w:r>
        <w:t xml:space="preserve">On its 300-scenario internal benchmark, a production-only rule set reached 95.0% verdict accuracy and 73.7% risk-level accuracy. On 630 independently constructed adversarial scenarios, the author reports 96.7% under a</w:t>
      </w:r>
      <w:r>
        <w:t xml:space="preserve"> </w:t>
      </w:r>
      <w:r>
        <w:rPr>
          <w:iCs/>
          <w:i/>
        </w:rPr>
        <w:t xml:space="preserve">patched</w:t>
      </w:r>
      <w:r>
        <w:t xml:space="preserve"> </w:t>
      </w:r>
      <w:r>
        <w:t xml:space="preserve">rule set, explicitly not zero-shot.</w:t>
      </w:r>
    </w:p>
    <w:p>
      <w:pPr>
        <w:pStyle w:val="BodyText"/>
      </w:pPr>
      <w:r>
        <w:rPr>
          <w:bCs/>
          <w:b/>
        </w:rPr>
        <w:t xml:space="preserve">Unverified details (level U).</w:t>
      </w:r>
      <w:r>
        <w:t xml:space="preserve"> </w:t>
      </w:r>
      <w:r>
        <w:t xml:space="preserve">The following rest on search-engine excerpts and are not stated in the abstract retrieved on 28 October 2026: an analyzer with 42 risk patterns; a policy engine with 170 rules; seven order-aware chain detectors; and</w:t>
      </w:r>
    </w:p>
    <w:p>
      <w:pPr>
        <w:numPr>
          <w:ilvl w:val="0"/>
          <w:numId w:val="1079"/>
        </w:numPr>
        <w:pStyle w:val="Compact"/>
      </w:pPr>
      <w:r>
        <w:t xml:space="preserve">an end-to-end latency of about 1.72 ms against about 1.35 s for a zero-shot LLM judge;</w:t>
      </w:r>
    </w:p>
    <w:p>
      <w:pPr>
        <w:numPr>
          <w:ilvl w:val="0"/>
          <w:numId w:val="1079"/>
        </w:numPr>
        <w:pStyle w:val="Compact"/>
      </w:pPr>
      <w:r>
        <w:t xml:space="preserve">worst-case aggregation over the normalized variants of an input;</w:t>
      </w:r>
    </w:p>
    <w:p>
      <w:pPr>
        <w:numPr>
          <w:ilvl w:val="0"/>
          <w:numId w:val="1079"/>
        </w:numPr>
        <w:pStyle w:val="Compact"/>
      </w:pPr>
      <w:r>
        <w:t xml:space="preserve">the judge’s five dimensions, one of which is reversibility;</w:t>
      </w:r>
    </w:p>
    <w:p>
      <w:pPr>
        <w:numPr>
          <w:ilvl w:val="0"/>
          <w:numId w:val="1079"/>
        </w:numPr>
        <w:pStyle w:val="Compact"/>
      </w:pPr>
      <w:r>
        <w:t xml:space="preserve">the ablation in which disabling the session tracker left accuracy unchanged.</w:t>
      </w:r>
    </w:p>
    <w:p>
      <w:pPr>
        <w:pStyle w:val="FirstParagraph"/>
      </w:pPr>
      <w:r>
        <w:rPr>
          <w:bCs/>
          <w:b/>
        </w:rPr>
        <w:t xml:space="preserve">What REM cannot claim.</w:t>
      </w:r>
      <w:r>
        <w:t xml:space="preserve"> </w:t>
      </w:r>
      <w:r>
        <w:t xml:space="preserve">AgentTrust already provides:</w:t>
      </w:r>
    </w:p>
    <w:p>
      <w:pPr>
        <w:numPr>
          <w:ilvl w:val="0"/>
          <w:numId w:val="1080"/>
        </w:numPr>
        <w:pStyle w:val="Compact"/>
      </w:pPr>
      <w:r>
        <w:t xml:space="preserve">pre-execution interception;</w:t>
      </w:r>
    </w:p>
    <w:p>
      <w:pPr>
        <w:numPr>
          <w:ilvl w:val="0"/>
          <w:numId w:val="1080"/>
        </w:numPr>
        <w:pStyle w:val="Compact"/>
      </w:pPr>
      <w:r>
        <w:t xml:space="preserve">a four-way graduated verdict set that includes human review;</w:t>
      </w:r>
    </w:p>
    <w:p>
      <w:pPr>
        <w:numPr>
          <w:ilvl w:val="0"/>
          <w:numId w:val="1080"/>
        </w:numPr>
        <w:pStyle w:val="Compact"/>
      </w:pPr>
      <w:r>
        <w:t xml:space="preserve">a modify-like response (SafeFix);</w:t>
      </w:r>
    </w:p>
    <w:p>
      <w:pPr>
        <w:numPr>
          <w:ilvl w:val="0"/>
          <w:numId w:val="1080"/>
        </w:numPr>
        <w:pStyle w:val="Compact"/>
      </w:pPr>
      <w:r>
        <w:t xml:space="preserve">session-level multi-step detection;</w:t>
      </w:r>
    </w:p>
    <w:p>
      <w:pPr>
        <w:numPr>
          <w:ilvl w:val="0"/>
          <w:numId w:val="1080"/>
        </w:numPr>
        <w:pStyle w:val="Compact"/>
      </w:pPr>
      <w:r>
        <w:t xml:space="preserve">component ablations with latency.</w:t>
      </w:r>
    </w:p>
    <w:p>
      <w:pPr>
        <w:pStyle w:val="FirstParagraph"/>
      </w:pPr>
      <w:r>
        <w:rPr>
          <w:bCs/>
          <w:b/>
        </w:rPr>
        <w:t xml:space="preserve">Where the difference lies.</w:t>
      </w:r>
      <w:r>
        <w:t xml:space="preserve"> </w:t>
      </w:r>
      <w:r>
        <w:t xml:space="preserve">The defensible differences are narrower:</w:t>
      </w:r>
    </w:p>
    <w:p>
      <w:pPr>
        <w:numPr>
          <w:ilvl w:val="0"/>
          <w:numId w:val="1081"/>
        </w:numPr>
        <w:pStyle w:val="Compact"/>
      </w:pPr>
      <w:r>
        <w:rPr>
          <w:bCs/>
          <w:b/>
        </w:rPr>
        <w:t xml:space="preserve">Evidence to verdict.</w:t>
      </w:r>
      <w:r>
        <w:t xml:space="preserve"> </w:t>
      </w:r>
      <w:r>
        <w:t xml:space="preserve">AgentTrust’s verdicts come from analyzers and rules, with an LLM judge for ambiguous cases. The verified material reports no calibrated probability of adversarial induction.</w:t>
      </w:r>
    </w:p>
    <w:p>
      <w:pPr>
        <w:numPr>
          <w:ilvl w:val="0"/>
          <w:numId w:val="1081"/>
        </w:numPr>
        <w:pStyle w:val="Compact"/>
      </w:pPr>
      <w:r>
        <w:rPr>
          <w:bCs/>
          <w:b/>
        </w:rPr>
        <w:t xml:space="preserve">Use of consequence.</w:t>
      </w:r>
      <w:r>
        <w:t xml:space="preserve"> </w:t>
      </w:r>
      <w:r>
        <w:t xml:space="preserve">Reversibility is one of the judge’s dimensions, not an explicit loss that changes the decision at a fixed probability.</w:t>
      </w:r>
    </w:p>
    <w:p>
      <w:pPr>
        <w:numPr>
          <w:ilvl w:val="0"/>
          <w:numId w:val="1081"/>
        </w:numPr>
        <w:pStyle w:val="Compact"/>
      </w:pPr>
      <w:r>
        <w:rPr>
          <w:bCs/>
          <w:b/>
        </w:rPr>
        <w:t xml:space="preserve">Threat and domain.</w:t>
      </w:r>
      <w:r>
        <w:t xml:space="preserve"> </w:t>
      </w:r>
      <w:r>
        <w:t xml:space="preserve">AgentTrust targets side effects of coding and shell agents. It does not report evaluation on indirect injection against a financial agent.</w:t>
      </w:r>
    </w:p>
    <w:bookmarkEnd w:id="78"/>
    <w:bookmarkStart w:id="79" w:name="Xa6568888ebeb5d9ab9e2bd770ea4a43fd92c856"/>
    <w:p>
      <w:pPr>
        <w:pStyle w:val="Heading3"/>
      </w:pPr>
      <w:r>
        <w:t xml:space="preserve">2.9.3 NEXUS: calibrated risk scoring with a four-way intervention set</w:t>
      </w:r>
    </w:p>
    <w:p>
      <w:pPr>
        <w:pStyle w:val="FirstParagraph"/>
      </w:pPr>
      <w:r>
        <w:t xml:space="preserve">NEXUS (Hossain et al., 2026; preprint; MODERATE EVIDENCE; PARTLY UNVERIFIED) is the closest prior art to REM’s</w:t>
      </w:r>
      <w:r>
        <w:t xml:space="preserve"> </w:t>
      </w:r>
      <w:r>
        <w:rPr>
          <w:iCs/>
          <w:i/>
        </w:rPr>
        <w:t xml:space="preserve">decision</w:t>
      </w:r>
      <w:r>
        <w:t xml:space="preserve"> </w:t>
      </w:r>
      <w:r>
        <w:t xml:space="preserve">component. It also passed the inclusion criteria through the other-methods stream. The protocol asks that its logistic risk scoring, calibration, consequence features, expected-loss objective, decision policy, intervention cascade and evaluation each be verified; the verification status of each is given below.</w:t>
      </w:r>
    </w:p>
    <w:p>
      <w:pPr>
        <w:pStyle w:val="BodyText"/>
      </w:pPr>
      <w:r>
        <w:rPr>
          <w:bCs/>
          <w:b/>
        </w:rPr>
        <w:t xml:space="preserve">Architecture (level A).</w:t>
      </w:r>
      <w:r>
        <w:t xml:space="preserve"> </w:t>
      </w:r>
      <w:r>
        <w:t xml:space="preserve">NEXUS is a structured-plan safety monitor that</w:t>
      </w:r>
      <w:r>
        <w:t xml:space="preserve"> </w:t>
      </w:r>
      <w:r>
        <w:t xml:space="preserve">“</w:t>
      </w:r>
      <w:r>
        <w:t xml:space="preserve">applies a formal intervention policy</w:t>
      </w:r>
      <w:r>
        <w:t xml:space="preserve">”</w:t>
      </w:r>
      <w:r>
        <w:t xml:space="preserve"> </w:t>
      </w:r>
      <w:r>
        <w:t xml:space="preserve">to select among allow, block, request confirmation and request revision. It combines deterministic safety rules, argument-level inspection and a</w:t>
      </w:r>
      <w:r>
        <w:t xml:space="preserve"> </w:t>
      </w:r>
      <w:r>
        <w:rPr>
          <w:iCs/>
          <w:i/>
        </w:rPr>
        <w:t xml:space="preserve">calibrated</w:t>
      </w:r>
      <w:r>
        <w:t xml:space="preserve"> </w:t>
      </w:r>
      <w:r>
        <w:t xml:space="preserve">logistic-regression risk score used for graded escalation.</w:t>
      </w:r>
    </w:p>
    <w:p>
      <w:pPr>
        <w:pStyle w:val="BodyText"/>
      </w:pPr>
      <w:r>
        <w:rPr>
          <w:bCs/>
          <w:b/>
        </w:rPr>
        <w:t xml:space="preserve">Results (level A).</w:t>
      </w:r>
      <w:r>
        <w:t xml:space="preserve"> </w:t>
      </w:r>
      <w:r>
        <w:t xml:space="preserve">On a 128-instance synthetic benchmark it reports F1 of 0.949 and four-class intervention accuracy of 0.6406, 27.3 percentage points above rule-only selection. On R-Judge it reports F1 0.861 against 0.849 for rule-only; it matches rule-only on AgentHarm; it reports 0% ASR at 99% control allow on an indirect-injection set; F1 0.881 on its rule-blind stress set; and a median latency of 0.205 ms.</w:t>
      </w:r>
    </w:p>
    <w:p>
      <w:pPr>
        <w:pStyle w:val="BodyText"/>
      </w:pPr>
      <w:r>
        <w:rPr>
          <w:bCs/>
          <w:b/>
        </w:rPr>
        <w:t xml:space="preserve">Unverified details (level U).</w:t>
      </w:r>
      <w:r>
        <w:t xml:space="preserve"> </w:t>
      </w:r>
      <w:r>
        <w:t xml:space="preserve">The following rest on search-engine excerpts or on an earlier reading of the paper that could not be reproduced in the review environment:</w:t>
      </w:r>
    </w:p>
    <w:p>
      <w:pPr>
        <w:numPr>
          <w:ilvl w:val="0"/>
          <w:numId w:val="1082"/>
        </w:numPr>
        <w:pStyle w:val="Compact"/>
      </w:pPr>
      <w:r>
        <w:rPr>
          <w:bCs/>
          <w:b/>
        </w:rPr>
        <w:t xml:space="preserve">Calibration figures.</w:t>
      </w:r>
      <w:r>
        <w:t xml:space="preserve"> </w:t>
      </w:r>
      <w:r>
        <w:t xml:space="preserve">Platt scaling reducing ECE from 0.085 to 0.013; isotonic regression also evaluated.</w:t>
      </w:r>
    </w:p>
    <w:p>
      <w:pPr>
        <w:numPr>
          <w:ilvl w:val="0"/>
          <w:numId w:val="1082"/>
        </w:numPr>
        <w:pStyle w:val="Compact"/>
      </w:pPr>
      <w:r>
        <w:rPr>
          <w:bCs/>
          <w:b/>
        </w:rPr>
        <w:t xml:space="preserve">Expected-loss objective.</w:t>
      </w:r>
      <w:r>
        <w:t xml:space="preserve"> </w:t>
      </w:r>
      <w:r>
        <w:rPr>
          <w:iCs/>
          <w:i/>
        </w:rPr>
        <w:t xml:space="preserve">Fixed</w:t>
      </w:r>
      <w:r>
        <w:t xml:space="preserve"> </w:t>
      </w:r>
      <w:r>
        <w:t xml:space="preserve">intervention costs (0 allow, 0.1 revise, 0.3 confirm, 1 block) setting loss-optimal thresholds on the calibrated score.</w:t>
      </w:r>
    </w:p>
    <w:p>
      <w:pPr>
        <w:numPr>
          <w:ilvl w:val="0"/>
          <w:numId w:val="1082"/>
        </w:numPr>
        <w:pStyle w:val="Compact"/>
      </w:pPr>
      <w:r>
        <w:rPr>
          <w:bCs/>
          <w:b/>
        </w:rPr>
        <w:t xml:space="preserve">Deployed policy.</w:t>
      </w:r>
      <w:r>
        <w:t xml:space="preserve"> </w:t>
      </w:r>
      <w:r>
        <w:t xml:space="preserve">A rule-first cascade in which the score decides between block and confirm only in some rule states.</w:t>
      </w:r>
    </w:p>
    <w:p>
      <w:pPr>
        <w:numPr>
          <w:ilvl w:val="0"/>
          <w:numId w:val="1082"/>
        </w:numPr>
        <w:pStyle w:val="Compact"/>
      </w:pPr>
      <w:r>
        <w:rPr>
          <w:bCs/>
          <w:b/>
        </w:rPr>
        <w:t xml:space="preserve">Consequence features.</w:t>
      </w:r>
      <w:r>
        <w:t xml:space="preserve"> </w:t>
      </w:r>
      <w:r>
        <w:t xml:space="preserve">Side-effect, irreversibility, sensitivity, permission and cost annotations on each planned tool call, used by the rules.</w:t>
      </w:r>
    </w:p>
    <w:p>
      <w:pPr>
        <w:numPr>
          <w:ilvl w:val="0"/>
          <w:numId w:val="1082"/>
        </w:numPr>
        <w:pStyle w:val="Compact"/>
      </w:pPr>
      <w:r>
        <w:rPr>
          <w:bCs/>
          <w:b/>
        </w:rPr>
        <w:t xml:space="preserve">Session state.</w:t>
      </w:r>
      <w:r>
        <w:t xml:space="preserve"> </w:t>
      </w:r>
      <w:r>
        <w:t xml:space="preserve">A session manager for cross-turn state.</w:t>
      </w:r>
    </w:p>
    <w:p>
      <w:pPr>
        <w:pStyle w:val="FirstParagraph"/>
      </w:pPr>
      <w:r>
        <w:rPr>
          <w:bCs/>
          <w:b/>
        </w:rPr>
        <w:t xml:space="preserve">What REM cannot claim.</w:t>
      </w:r>
      <w:r>
        <w:t xml:space="preserve"> </w:t>
      </w:r>
      <w:r>
        <w:t xml:space="preserve">NEXUS already provides (level A) calibrated logistic risk scoring, a formal policy over a four-way intervention set with confirmation and revision routes, and sub-millisecond latency; and, if the level-U description is accurate, consequence annotations used by rules and an expected-loss formulation with loss-optimal thresholds.</w:t>
      </w:r>
    </w:p>
    <w:p>
      <w:pPr>
        <w:pStyle w:val="BodyText"/>
      </w:pPr>
      <w:r>
        <w:rPr>
          <w:bCs/>
          <w:b/>
        </w:rPr>
        <w:t xml:space="preserve">Where the difference lies.</w:t>
      </w:r>
      <w:r>
        <w:t xml:space="preserve"> </w:t>
      </w:r>
      <w:r>
        <w:t xml:space="preserve">Two differences rest on level-A evidence:</w:t>
      </w:r>
    </w:p>
    <w:p>
      <w:pPr>
        <w:numPr>
          <w:ilvl w:val="0"/>
          <w:numId w:val="1083"/>
        </w:numPr>
        <w:pStyle w:val="Compact"/>
      </w:pPr>
      <w:r>
        <w:rPr>
          <w:bCs/>
          <w:b/>
        </w:rPr>
        <w:t xml:space="preserve">Point of evaluation.</w:t>
      </w:r>
      <w:r>
        <w:t xml:space="preserve"> </w:t>
      </w:r>
      <w:r>
        <w:t xml:space="preserve">REM evaluates each proposed tool call during execution; NEXUS is described as a structured-</w:t>
      </w:r>
      <w:r>
        <w:rPr>
          <w:iCs/>
          <w:i/>
        </w:rPr>
        <w:t xml:space="preserve">plan</w:t>
      </w:r>
      <w:r>
        <w:t xml:space="preserve"> </w:t>
      </w:r>
      <w:r>
        <w:t xml:space="preserve">monitor.</w:t>
      </w:r>
    </w:p>
    <w:p>
      <w:pPr>
        <w:numPr>
          <w:ilvl w:val="0"/>
          <w:numId w:val="1083"/>
        </w:numPr>
        <w:pStyle w:val="Compact"/>
      </w:pPr>
      <w:r>
        <w:rPr>
          <w:bCs/>
          <w:b/>
        </w:rPr>
        <w:t xml:space="preserve">Threat model and setting.</w:t>
      </w:r>
      <w:r>
        <w:t xml:space="preserve"> </w:t>
      </w:r>
      <w:r>
        <w:t xml:space="preserve">REM is evaluated on indirect injection in an executable banking environment; NEXUS’s headline results are on a synthetic benchmark, with R-Judge, AgentHarm and an indirect-injection set as additional evaluations.</w:t>
      </w:r>
    </w:p>
    <w:p>
      <w:pPr>
        <w:pStyle w:val="FirstParagraph"/>
      </w:pPr>
      <w:r>
        <w:t xml:space="preserve">A third difference, in the decision rule (per-step expected loss with tier-indexed losses in REM; fixed intervention costs inside a rule-first cascade in NEXUS), rests on level-U evidence and must be checked against the full text before it is relied on. Whether any of these differences changes outcomes is an empirical question.</w:t>
      </w:r>
    </w:p>
    <w:bookmarkEnd w:id="79"/>
    <w:bookmarkStart w:id="80" w:name="other-decision-mechanisms"/>
    <w:p>
      <w:pPr>
        <w:pStyle w:val="Heading3"/>
      </w:pPr>
      <w:r>
        <w:t xml:space="preserve">2.9.4 Other decision mechanisms</w:t>
      </w:r>
    </w:p>
    <w:p>
      <w:pPr>
        <w:pStyle w:val="FirstParagraph"/>
      </w:pPr>
      <w:r>
        <w:rPr>
          <w:bCs/>
          <w:b/>
        </w:rPr>
        <w:t xml:space="preserve">Jackson (2025).</w:t>
      </w:r>
      <w:r>
        <w:t xml:space="preserve"> </w:t>
      </w:r>
      <w:r>
        <w:t xml:space="preserve">A working paper (LIMITED EVIDENCE; PARTLY UNVERIFIED) describes a policy engine in which a multi-dimensional risk score drives a deterministic enforcement state machine with allow, deny, sanitize and escalate decisions. Its decision set corresponds closely to REM’s four verdicts. It is unrefereed, its full text was not accessed, and its evaluation claims are qualitative.</w:t>
      </w:r>
    </w:p>
    <w:p>
      <w:pPr>
        <w:pStyle w:val="BodyText"/>
      </w:pPr>
      <w:r>
        <w:rPr>
          <w:bCs/>
          <w:b/>
        </w:rPr>
        <w:t xml:space="preserve">Consequence-aware control.</w:t>
      </w:r>
    </w:p>
    <w:p>
      <w:pPr>
        <w:numPr>
          <w:ilvl w:val="0"/>
          <w:numId w:val="1084"/>
        </w:numPr>
        <w:pStyle w:val="Compact"/>
      </w:pPr>
      <w:r>
        <w:t xml:space="preserve">H.-H. Chen (2026; preprint) prices each side-effect-bearing action, such as a payment or refund, against a safe default and gates it against a reserve capital budget. It does not estimate how likely the action is to have been induced.</w:t>
      </w:r>
    </w:p>
    <w:p>
      <w:pPr>
        <w:numPr>
          <w:ilvl w:val="0"/>
          <w:numId w:val="1084"/>
        </w:numPr>
        <w:pStyle w:val="Compact"/>
      </w:pPr>
      <w:r>
        <w:t xml:space="preserve">SafeAgent’s decision core instantiates operators for risk encoding, utility-cost evaluation, consequence modeling and policy arbitration over persistent session state (H. Liu et al., 2026; level A). Whether these operators are realized through LLM reasoning is unverified (level U).</w:t>
      </w:r>
    </w:p>
    <w:p>
      <w:pPr>
        <w:numPr>
          <w:ilvl w:val="0"/>
          <w:numId w:val="1084"/>
        </w:numPr>
        <w:pStyle w:val="Compact"/>
      </w:pPr>
      <w:r>
        <w:t xml:space="preserve">NEXUS encodes consequence in plan annotations and rules.</w:t>
      </w:r>
    </w:p>
    <w:p>
      <w:pPr>
        <w:pStyle w:val="FirstParagraph"/>
      </w:pPr>
      <w:r>
        <w:rPr>
          <w:bCs/>
          <w:b/>
        </w:rPr>
        <w:t xml:space="preserve">Confidence-based escalation.</w:t>
      </w:r>
      <w:r>
        <w:t xml:space="preserve"> </w:t>
      </w:r>
      <w:r>
        <w:t xml:space="preserve">LATTICE separates deciding from judging, so that no component both proposes and approves an action. It escalates to human operators on confidence, and reports zero unsafe actions across four planner families (Calboreanu, 2026). It achieved this at a conservative operating point that auto-allowed no action. In the same study, a confidence-threshold baseline’s false-allow rate varied from 0.03 to 0.998 across planners.</w:t>
      </w:r>
    </w:p>
    <w:p>
      <w:pPr>
        <w:pStyle w:val="BodyText"/>
      </w:pPr>
      <w:r>
        <w:rPr>
          <w:bCs/>
          <w:b/>
        </w:rPr>
        <w:t xml:space="preserve">Transactional and reversible mitigation.</w:t>
      </w:r>
    </w:p>
    <w:p>
      <w:pPr>
        <w:numPr>
          <w:ilvl w:val="0"/>
          <w:numId w:val="1085"/>
        </w:numPr>
        <w:pStyle w:val="Compact"/>
      </w:pPr>
      <w:r>
        <w:t xml:space="preserve">Cordon stages outward-facing effects in an outbox and executes reversible mutations in shadow state (Z. Chen et al., 2026).</w:t>
      </w:r>
    </w:p>
    <w:p>
      <w:pPr>
        <w:numPr>
          <w:ilvl w:val="0"/>
          <w:numId w:val="1085"/>
        </w:numPr>
        <w:pStyle w:val="Compact"/>
      </w:pPr>
      <w:r>
        <w:t xml:space="preserve">GoEX offers undo and damage confinement for post-facto validation (Patil et al., 2024).</w:t>
      </w:r>
    </w:p>
    <w:p>
      <w:pPr>
        <w:pStyle w:val="FirstParagraph"/>
      </w:pPr>
      <w:r>
        <w:t xml:space="preserve">Such substrates</w:t>
      </w:r>
      <w:r>
        <w:t xml:space="preserve"> </w:t>
      </w:r>
      <w:r>
        <w:rPr>
          <w:iCs/>
          <w:i/>
        </w:rPr>
        <w:t xml:space="preserve">consume</w:t>
      </w:r>
      <w:r>
        <w:t xml:space="preserve"> </w:t>
      </w:r>
      <w:r>
        <w:t xml:space="preserve">a decision and could supply the mechanics of a hold or undo response.</w:t>
      </w:r>
    </w:p>
    <w:p>
      <w:pPr>
        <w:pStyle w:val="BodyText"/>
      </w:pPr>
      <w:r>
        <w:rPr>
          <w:bCs/>
          <w:b/>
        </w:rPr>
        <w:t xml:space="preserve">Themes 8 and 9 (decision and consequence handling; mitigation): synthesis.</w:t>
      </w:r>
    </w:p>
    <w:p>
      <w:pPr>
        <w:numPr>
          <w:ilvl w:val="0"/>
          <w:numId w:val="1086"/>
        </w:numPr>
        <w:pStyle w:val="Compact"/>
      </w:pPr>
      <w:r>
        <w:rPr>
          <w:bCs/>
          <w:b/>
        </w:rPr>
        <w:t xml:space="preserve">Established.</w:t>
      </w:r>
      <w:r>
        <w:t xml:space="preserve"> </w:t>
      </w:r>
      <w:r>
        <w:t xml:space="preserve">Graduated responses including human review are common: Progent, RTBAS, LATTICE, AgentTrust, NEXUS, SafeAgent and Jackson. So are modify-type responses (AgentTrust, NEXUS, SafeAgent, ToolSafe) and reversible or staged effects (Cordon, GoEX). Consequence information enters decisions through rules (NEXUS), deterministic pricing (H.-H. Chen), a judge dimension (AgentTrust) or LLM operators (SafeAgent).</w:t>
      </w:r>
    </w:p>
    <w:p>
      <w:pPr>
        <w:numPr>
          <w:ilvl w:val="0"/>
          <w:numId w:val="1086"/>
        </w:numPr>
        <w:pStyle w:val="Compact"/>
      </w:pPr>
      <w:r>
        <w:rPr>
          <w:bCs/>
          <w:b/>
        </w:rPr>
        <w:t xml:space="preserve">Uncertain.</w:t>
      </w:r>
      <w:r>
        <w:t xml:space="preserve"> </w:t>
      </w:r>
      <w:r>
        <w:t xml:space="preserve">How a probability of adversarial induction and a declared consequence should be</w:t>
      </w:r>
      <w:r>
        <w:t xml:space="preserve"> </w:t>
      </w:r>
      <w:r>
        <w:rPr>
          <w:iCs/>
          <w:i/>
        </w:rPr>
        <w:t xml:space="preserve">combined</w:t>
      </w:r>
      <w:r>
        <w:t xml:space="preserve"> </w:t>
      </w:r>
      <w:r>
        <w:t xml:space="preserve">when choosing a response. Only NEXUS combines a calibrated probability with costs, and it does so with fixed intervention costs inside a cascade at the plan level.</w:t>
      </w:r>
    </w:p>
    <w:p>
      <w:pPr>
        <w:numPr>
          <w:ilvl w:val="0"/>
          <w:numId w:val="1086"/>
        </w:numPr>
        <w:pStyle w:val="Compact"/>
      </w:pPr>
      <w:r>
        <w:rPr>
          <w:bCs/>
          <w:b/>
        </w:rPr>
        <w:t xml:space="preserve">Under-evaluated.</w:t>
      </w:r>
      <w:r>
        <w:t xml:space="preserve"> </w:t>
      </w:r>
      <w:r>
        <w:t xml:space="preserve">How often each response is chosen, and how effective it is once chosen. Intervention rates are reported by few studies, notably ProvenanceGuard and the MCP policy-enforcement point. LATTICE’s result shows that zero false-allow can be bought with an operating point that auto-allows nothing, so a safety figure must be read alongside intervention behavior.</w:t>
      </w:r>
    </w:p>
    <w:p>
      <w:pPr>
        <w:numPr>
          <w:ilvl w:val="0"/>
          <w:numId w:val="1086"/>
        </w:numPr>
        <w:pStyle w:val="Compact"/>
      </w:pPr>
      <w:r>
        <w:rPr>
          <w:bCs/>
          <w:b/>
        </w:rPr>
        <w:t xml:space="preserve">Differs across studies.</w:t>
      </w:r>
      <w:r>
        <w:t xml:space="preserve"> </w:t>
      </w:r>
      <w:r>
        <w:t xml:space="preserve">The meaning of</w:t>
      </w:r>
      <w:r>
        <w:t xml:space="preserve"> </w:t>
      </w:r>
      <w:r>
        <w:t xml:space="preserve">“</w:t>
      </w:r>
      <w:r>
        <w:t xml:space="preserve">escalate</w:t>
      </w:r>
      <w:r>
        <w:t xml:space="preserve">”</w:t>
      </w:r>
      <w:r>
        <w:t xml:space="preserve">: to a human (RTBAS, LATTICE, AgentTrust) or to a stronger LLM judge (FinHarness). The meaning of</w:t>
      </w:r>
      <w:r>
        <w:t xml:space="preserve"> </w:t>
      </w:r>
      <w:r>
        <w:t xml:space="preserve">“</w:t>
      </w:r>
      <w:r>
        <w:t xml:space="preserve">modify</w:t>
      </w:r>
      <w:r>
        <w:t xml:space="preserve">”</w:t>
      </w:r>
      <w:r>
        <w:t xml:space="preserve">: argument rewriting, safer alternatives or plan revision. Whether decisions are per call, per plan or per episode.</w:t>
      </w:r>
    </w:p>
    <w:p>
      <w:pPr>
        <w:numPr>
          <w:ilvl w:val="0"/>
          <w:numId w:val="1086"/>
        </w:numPr>
        <w:pStyle w:val="Compact"/>
      </w:pPr>
      <w:r>
        <w:rPr>
          <w:bCs/>
          <w:b/>
        </w:rPr>
        <w:t xml:space="preserve">Implication for REM.</w:t>
      </w:r>
      <w:r>
        <w:t xml:space="preserve"> </w:t>
      </w:r>
      <w:r>
        <w:t xml:space="preserve">REM’s verdict set and its Escalate and Modify responses are adopted, not contributed. Its specific decision rule has one partial precedent in NEXUS. REM’s evaluation must report intervention rates and benign utility beside attack success. Because the meaning of Modify and Block differs across studies, Chapter 3 specifies their operational semantics and evaluates both a step-level and an episode-level reading.</w:t>
      </w:r>
    </w:p>
    <w:p>
      <w:r>
        <w:pict>
          <v:rect style="width:0;height:1.5pt" o:hralign="center" o:hrstd="t" o:hr="t"/>
        </w:pict>
      </w:r>
    </w:p>
    <w:bookmarkEnd w:id="80"/>
    <w:bookmarkEnd w:id="81"/>
    <w:bookmarkStart w:id="86" w:name="financial-ai-agent-security"/>
    <w:p>
      <w:pPr>
        <w:pStyle w:val="Heading2"/>
      </w:pPr>
      <w:r>
        <w:t xml:space="preserve">2.10 Financial AI-Agent Security</w:t>
      </w:r>
    </w:p>
    <w:p>
      <w:pPr>
        <w:pStyle w:val="FirstParagraph"/>
      </w:pPr>
      <w:r>
        <w:t xml:space="preserve">The protocol asks that general agent-security evidence be kept separate from financial-agent evidence. A general benchmark is not counted as financial evidence merely because one of its scenarios is financial.</w:t>
      </w:r>
    </w:p>
    <w:bookmarkStart w:id="82" w:name="Xc12db1a1dd6822f57838648498dbac9f1388422"/>
    <w:p>
      <w:pPr>
        <w:pStyle w:val="Heading3"/>
      </w:pPr>
      <w:r>
        <w:t xml:space="preserve">2.10.1 General agent-security evidence with a financial component</w:t>
      </w:r>
    </w:p>
    <w:p>
      <w:pPr>
        <w:pStyle w:val="FirstParagraph"/>
      </w:pPr>
      <w:r>
        <w:t xml:space="preserve">Several included general studies contain a financial element but report no finance-specific analysis in the verified record:</w:t>
      </w:r>
    </w:p>
    <w:p>
      <w:pPr>
        <w:numPr>
          <w:ilvl w:val="0"/>
          <w:numId w:val="1087"/>
        </w:numPr>
        <w:pStyle w:val="Compact"/>
      </w:pPr>
      <w:r>
        <w:rPr>
          <w:bCs/>
          <w:b/>
        </w:rPr>
        <w:t xml:space="preserve">AgentDojo</w:t>
      </w:r>
      <w:r>
        <w:t xml:space="preserve"> </w:t>
      </w:r>
      <w:r>
        <w:t xml:space="preserve">includes an executable Banking suite (Debenedetti et al., 2024).</w:t>
      </w:r>
    </w:p>
    <w:p>
      <w:pPr>
        <w:numPr>
          <w:ilvl w:val="0"/>
          <w:numId w:val="1087"/>
        </w:numPr>
        <w:pStyle w:val="Compact"/>
      </w:pPr>
      <w:r>
        <w:rPr>
          <w:bCs/>
          <w:b/>
        </w:rPr>
        <w:t xml:space="preserve">ASB</w:t>
      </w:r>
      <w:r>
        <w:t xml:space="preserve"> </w:t>
      </w:r>
      <w:r>
        <w:t xml:space="preserve">includes finance as one of ten scenarios (H. Zhang et al., 2025).</w:t>
      </w:r>
    </w:p>
    <w:p>
      <w:pPr>
        <w:numPr>
          <w:ilvl w:val="0"/>
          <w:numId w:val="1087"/>
        </w:numPr>
        <w:pStyle w:val="Compact"/>
      </w:pPr>
      <w:r>
        <w:rPr>
          <w:bCs/>
          <w:b/>
        </w:rPr>
        <w:t xml:space="preserve">AgentHarm</w:t>
      </w:r>
      <w:r>
        <w:t xml:space="preserve"> </w:t>
      </w:r>
      <w:r>
        <w:t xml:space="preserve">includes fraud among eleven harm categories (Andriushchenko et al., 2025).</w:t>
      </w:r>
    </w:p>
    <w:p>
      <w:pPr>
        <w:numPr>
          <w:ilvl w:val="0"/>
          <w:numId w:val="1087"/>
        </w:numPr>
        <w:pStyle w:val="Compact"/>
      </w:pPr>
      <w:r>
        <w:rPr>
          <w:bCs/>
          <w:b/>
        </w:rPr>
        <w:t xml:space="preserve">ClawSafety</w:t>
      </w:r>
      <w:r>
        <w:t xml:space="preserve"> </w:t>
      </w:r>
      <w:r>
        <w:t xml:space="preserve">includes finance among five professional domains. Its scenarios include redirecting financial transactions (Wei et al., 2026).</w:t>
      </w:r>
    </w:p>
    <w:p>
      <w:pPr>
        <w:numPr>
          <w:ilvl w:val="0"/>
          <w:numId w:val="1087"/>
        </w:numPr>
        <w:pStyle w:val="Compact"/>
      </w:pPr>
      <w:r>
        <w:rPr>
          <w:bCs/>
          <w:b/>
        </w:rPr>
        <w:t xml:space="preserve">ToolEmu</w:t>
      </w:r>
      <w:r>
        <w:t xml:space="preserve"> </w:t>
      </w:r>
      <w:r>
        <w:t xml:space="preserve">cites financial loss as a risk example (Ruan et al., 2024).</w:t>
      </w:r>
    </w:p>
    <w:p>
      <w:pPr>
        <w:numPr>
          <w:ilvl w:val="0"/>
          <w:numId w:val="1087"/>
        </w:numPr>
        <w:pStyle w:val="Compact"/>
      </w:pPr>
      <w:r>
        <w:rPr>
          <w:bCs/>
          <w:b/>
        </w:rPr>
        <w:t xml:space="preserve">RTBAS</w:t>
      </w:r>
      <w:r>
        <w:t xml:space="preserve"> </w:t>
      </w:r>
      <w:r>
        <w:t xml:space="preserve">cites financial transactions as a motivating example (Zhong et al., 2025).</w:t>
      </w:r>
    </w:p>
    <w:p>
      <w:pPr>
        <w:pStyle w:val="FirstParagraph"/>
      </w:pPr>
      <w:r>
        <w:t xml:space="preserve">These studies establish that financial actions are within the attack surface that general benchmarks cover. They do not establish how defenses perform on financial actions specifically.</w:t>
      </w:r>
    </w:p>
    <w:bookmarkEnd w:id="82"/>
    <w:bookmarkStart w:id="83" w:name="financial-agent-evidence"/>
    <w:p>
      <w:pPr>
        <w:pStyle w:val="Heading3"/>
      </w:pPr>
      <w:r>
        <w:t xml:space="preserve">2.10.2 Financial-agent evidence</w:t>
      </w:r>
    </w:p>
    <w:p>
      <w:pPr>
        <w:pStyle w:val="FirstParagraph"/>
      </w:pPr>
      <w:r>
        <w:t xml:space="preserve">Four included studies have a primarily financial setting, and none reaches MODERATE or HIGH EVIDENCE:</w:t>
      </w:r>
    </w:p>
    <w:p>
      <w:pPr>
        <w:numPr>
          <w:ilvl w:val="0"/>
          <w:numId w:val="1088"/>
        </w:numPr>
        <w:pStyle w:val="Compact"/>
      </w:pPr>
      <w:r>
        <w:rPr>
          <w:bCs/>
          <w:b/>
        </w:rPr>
        <w:t xml:space="preserve">Castro-Maldonado et al. (2026)</w:t>
      </w:r>
      <w:r>
        <w:t xml:space="preserve">, peer reviewed, study a semantic firewall with online ensemble learning in an agentic retrieval-augmented banking chatbot. The record specifies neither the threat model nor the results (LIMITED EVIDENCE).</w:t>
      </w:r>
    </w:p>
    <w:p>
      <w:pPr>
        <w:numPr>
          <w:ilvl w:val="0"/>
          <w:numId w:val="1088"/>
        </w:numPr>
        <w:pStyle w:val="Compact"/>
      </w:pPr>
      <w:r>
        <w:rPr>
          <w:bCs/>
          <w:b/>
        </w:rPr>
        <w:t xml:space="preserve">Z. Chen, J. Chen, et al. (2025)</w:t>
      </w:r>
      <w:r>
        <w:t xml:space="preserve">, a preprint position paper, argue that accuracy and return metrics give an illusion of reliability for financial agents. They propose model-, workflow- and system-level stress testing, illustrated by an audit of six agents on three tasks (LIMITED EVIDENCE).</w:t>
      </w:r>
    </w:p>
    <w:p>
      <w:pPr>
        <w:numPr>
          <w:ilvl w:val="0"/>
          <w:numId w:val="1088"/>
        </w:numPr>
        <w:pStyle w:val="Compact"/>
      </w:pPr>
      <w:r>
        <w:rPr>
          <w:bCs/>
          <w:b/>
        </w:rPr>
        <w:t xml:space="preserve">H.-H. Chen (2026)</w:t>
      </w:r>
      <w:r>
        <w:t xml:space="preserve">, a preprint, frames consequence pricing actuarially, with payments and refunds as examples (LIMITED EVIDENCE; partial financial focus).</w:t>
      </w:r>
    </w:p>
    <w:p>
      <w:pPr>
        <w:numPr>
          <w:ilvl w:val="0"/>
          <w:numId w:val="1088"/>
        </w:numPr>
        <w:pStyle w:val="Compact"/>
      </w:pPr>
      <w:r>
        <w:rPr>
          <w:bCs/>
          <w:b/>
        </w:rPr>
        <w:t xml:space="preserve">FinHarness</w:t>
      </w:r>
      <w:r>
        <w:t xml:space="preserve"> </w:t>
      </w:r>
      <w:r>
        <w:t xml:space="preserve">(H. Jia et al., 2026; preprint) is the closest domain-specific runtime system. It combines a query monitor fusing intent with cross-turn drift, a tool monitor for each prospective call, and a cascade routing verification between a lightweight and an advanced LLM judge. It reports attack success falling from 38.3% to 15.0%, with benign approval moving from 41.1% to 39.3%. All of these figures were measured on</w:t>
      </w:r>
      <w:r>
        <w:t xml:space="preserve"> </w:t>
      </w:r>
      <w:r>
        <w:rPr>
          <w:bCs/>
          <w:b/>
        </w:rPr>
        <w:t xml:space="preserve">FinVault</w:t>
      </w:r>
      <w:r>
        <w:t xml:space="preserve"> </w:t>
      </w:r>
      <w:r>
        <w:t xml:space="preserve">(Z. Yang et al., 2026). The review record of 25 September 2026 notes that FinVault’s arXiv preprint was</w:t>
      </w:r>
      <w:r>
        <w:t xml:space="preserve"> </w:t>
      </w:r>
      <w:r>
        <w:rPr>
          <w:bCs/>
          <w:b/>
        </w:rPr>
        <w:t xml:space="preserve">withdrawn by its authors</w:t>
      </w:r>
      <w:r>
        <w:t xml:space="preserve">, with a comment citing legal, intellectual-property and affiliation reasons rather than an error in the benchmark; its OpenAlex record carries no retraction flag, and the withdrawal notice could not be re-checked on 28 October 2026 because arXiv was unreachable. A withdrawal for non-scientific reasons does not invalidate measurements made on the benchmark. It does mean that FinHarness’s figures cannot be confirmed against a publicly maintained version, so they are reported as author-reported results with that caveat, and FinHarness is appraised LIMITED EVIDENCE by override.</w:t>
      </w:r>
    </w:p>
    <w:p>
      <w:pPr>
        <w:pStyle w:val="FirstParagraph"/>
      </w:pPr>
      <w:r>
        <w:rPr>
          <w:bCs/>
          <w:b/>
        </w:rPr>
        <w:t xml:space="preserve">Background SoK.</w:t>
      </w:r>
      <w:r>
        <w:t xml:space="preserve"> </w:t>
      </w:r>
      <w:r>
        <w:t xml:space="preserve">A systematization of LLM-agent security in agentic commerce (Mao et al., 2026) organizes financial threats along five dimensions and derives twelve cross-layer attack vectors. It places</w:t>
      </w:r>
      <w:r>
        <w:t xml:space="preserve"> </w:t>
      </w:r>
      <w:r>
        <w:rPr>
          <w:iCs/>
          <w:i/>
        </w:rPr>
        <w:t xml:space="preserve">transaction authorization</w:t>
      </w:r>
      <w:r>
        <w:t xml:space="preserve"> </w:t>
      </w:r>
      <w:r>
        <w:t xml:space="preserve">at the center of the financial threat model. It is a secondary study, cited as background.</w:t>
      </w:r>
    </w:p>
    <w:bookmarkEnd w:id="83"/>
    <w:bookmarkStart w:id="84" w:name="Xd9ead8d1caa16bf6fd563c9bf4178285cbf63c4"/>
    <w:p>
      <w:pPr>
        <w:pStyle w:val="Heading3"/>
      </w:pPr>
      <w:r>
        <w:t xml:space="preserve">2.10.3 Why financial execution raises the requirements</w:t>
      </w:r>
    </w:p>
    <w:p>
      <w:pPr>
        <w:pStyle w:val="FirstParagraph"/>
      </w:pPr>
      <w:r>
        <w:t xml:space="preserve">Three properties of financial execution raise the requirements on a runtime layer. The first two are established in the included sources; the third is this chapter’s inference from them.</w:t>
      </w:r>
    </w:p>
    <w:p>
      <w:pPr>
        <w:numPr>
          <w:ilvl w:val="0"/>
          <w:numId w:val="1089"/>
        </w:numPr>
        <w:pStyle w:val="Compact"/>
      </w:pPr>
      <w:r>
        <w:rPr>
          <w:bCs/>
          <w:b/>
        </w:rPr>
        <w:t xml:space="preserve">Irreversibility.</w:t>
      </w:r>
      <w:r>
        <w:t xml:space="preserve"> </w:t>
      </w:r>
      <w:r>
        <w:t xml:space="preserve">Some financial actions cannot be recalled. This is encoded in consequence pricing (H.-H. Chen), in irreversibility flags checked by rules (NEXUS), and in transactional staging (Cordon).</w:t>
      </w:r>
    </w:p>
    <w:p>
      <w:pPr>
        <w:numPr>
          <w:ilvl w:val="0"/>
          <w:numId w:val="1089"/>
        </w:numPr>
        <w:pStyle w:val="Compact"/>
      </w:pPr>
      <w:r>
        <w:rPr>
          <w:bCs/>
          <w:b/>
        </w:rPr>
        <w:t xml:space="preserve">Attacker-supplied arguments.</w:t>
      </w:r>
      <w:r>
        <w:t xml:space="preserve"> </w:t>
      </w:r>
      <w:r>
        <w:t xml:space="preserve">Under indirect injection, recipients and amounts can be planted in the content the agent reads, which makes argument provenance especially informative (Section 2.7.2).</w:t>
      </w:r>
    </w:p>
    <w:p>
      <w:pPr>
        <w:numPr>
          <w:ilvl w:val="0"/>
          <w:numId w:val="1089"/>
        </w:numPr>
        <w:pStyle w:val="Compact"/>
      </w:pPr>
      <w:r>
        <w:rPr>
          <w:bCs/>
          <w:b/>
        </w:rPr>
        <w:t xml:space="preserve">Heterogeneous consequences.</w:t>
      </w:r>
      <w:r>
        <w:t xml:space="preserve"> </w:t>
      </w:r>
      <w:r>
        <w:t xml:space="preserve">A balance query and a transfer may both be permitted, yet differ sharply in the harm an induced call could cause. The same probability of adversarial induction therefore need not warrant the same response.</w:t>
      </w:r>
    </w:p>
    <w:p>
      <w:pPr>
        <w:pStyle w:val="FirstParagraph"/>
      </w:pPr>
      <w:r>
        <w:rPr>
          <w:bCs/>
          <w:b/>
        </w:rPr>
        <w:t xml:space="preserve">Regulatory motivation.</w:t>
      </w:r>
      <w:r>
        <w:t xml:space="preserve"> </w:t>
      </w:r>
      <w:r>
        <w:t xml:space="preserve">Regulation (EU) 2024/1689 requires that high-risk AI systems allow automatic event logging (Article 12) and effective human oversight, including the ability to intervene or halt (Article 14) (European Parliament &amp; Council of the European Union, 2024). Whether a given financial agent is high-risk is not assessed here. The provisions motivate an audit record for every decision and an explicit route to human review.</w:t>
      </w:r>
    </w:p>
    <w:bookmarkEnd w:id="84"/>
    <w:bookmarkStart w:id="85" w:name="X46e24bbfc887c0ab9974395f368f6af7aa092d5"/>
    <w:p>
      <w:pPr>
        <w:pStyle w:val="Heading3"/>
      </w:pPr>
      <w:r>
        <w:t xml:space="preserve">2.10.4 Requirements derived for a runtime layer protecting a financial agent</w:t>
      </w:r>
    </w:p>
    <w:p>
      <w:pPr>
        <w:pStyle w:val="FirstParagraph"/>
      </w:pPr>
      <w:r>
        <w:t xml:space="preserve">Six requirements follow from Sections 2.4–2.10:</w:t>
      </w:r>
    </w:p>
    <w:p>
      <w:pPr>
        <w:numPr>
          <w:ilvl w:val="0"/>
          <w:numId w:val="1090"/>
        </w:numPr>
        <w:pStyle w:val="Compact"/>
      </w:pPr>
      <w:r>
        <w:rPr>
          <w:bCs/>
          <w:b/>
        </w:rPr>
        <w:t xml:space="preserve">R1</w:t>
      </w:r>
      <w:r>
        <w:t xml:space="preserve"> </w:t>
      </w:r>
      <w:r>
        <w:t xml:space="preserve">pre-execution mediation of each proposed action;</w:t>
      </w:r>
    </w:p>
    <w:p>
      <w:pPr>
        <w:numPr>
          <w:ilvl w:val="0"/>
          <w:numId w:val="1090"/>
        </w:numPr>
        <w:pStyle w:val="Compact"/>
      </w:pPr>
      <w:r>
        <w:rPr>
          <w:bCs/>
          <w:b/>
        </w:rPr>
        <w:t xml:space="preserve">R2</w:t>
      </w:r>
      <w:r>
        <w:t xml:space="preserve"> </w:t>
      </w:r>
      <w:r>
        <w:t xml:space="preserve">provenance evidence on action arguments;</w:t>
      </w:r>
    </w:p>
    <w:p>
      <w:pPr>
        <w:numPr>
          <w:ilvl w:val="0"/>
          <w:numId w:val="1090"/>
        </w:numPr>
        <w:pStyle w:val="Compact"/>
      </w:pPr>
      <w:r>
        <w:rPr>
          <w:bCs/>
          <w:b/>
        </w:rPr>
        <w:t xml:space="preserve">R3</w:t>
      </w:r>
      <w:r>
        <w:t xml:space="preserve"> </w:t>
      </w:r>
      <w:r>
        <w:t xml:space="preserve">consequence-differentiated responses at the same estimated probability;</w:t>
      </w:r>
    </w:p>
    <w:p>
      <w:pPr>
        <w:numPr>
          <w:ilvl w:val="0"/>
          <w:numId w:val="1090"/>
        </w:numPr>
        <w:pStyle w:val="Compact"/>
      </w:pPr>
      <w:r>
        <w:rPr>
          <w:bCs/>
          <w:b/>
        </w:rPr>
        <w:t xml:space="preserve">R4</w:t>
      </w:r>
      <w:r>
        <w:t xml:space="preserve"> </w:t>
      </w:r>
      <w:r>
        <w:t xml:space="preserve">a human-review route;</w:t>
      </w:r>
    </w:p>
    <w:p>
      <w:pPr>
        <w:numPr>
          <w:ilvl w:val="0"/>
          <w:numId w:val="1090"/>
        </w:numPr>
        <w:pStyle w:val="Compact"/>
      </w:pPr>
      <w:r>
        <w:rPr>
          <w:bCs/>
          <w:b/>
        </w:rPr>
        <w:t xml:space="preserve">R5</w:t>
      </w:r>
      <w:r>
        <w:t xml:space="preserve"> </w:t>
      </w:r>
      <w:r>
        <w:t xml:space="preserve">an audit record for every decision;</w:t>
      </w:r>
    </w:p>
    <w:p>
      <w:pPr>
        <w:numPr>
          <w:ilvl w:val="0"/>
          <w:numId w:val="1090"/>
        </w:numPr>
        <w:pStyle w:val="Compact"/>
      </w:pPr>
      <w:r>
        <w:rPr>
          <w:bCs/>
          <w:b/>
        </w:rPr>
        <w:t xml:space="preserve">R6</w:t>
      </w:r>
      <w:r>
        <w:t xml:space="preserve"> </w:t>
      </w:r>
      <w:r>
        <w:t xml:space="preserve">joint measurement of security, benign utility, intervention behavior, calibration and latency.</w:t>
      </w:r>
    </w:p>
    <w:p>
      <w:pPr>
        <w:pStyle w:val="FirstParagraph"/>
      </w:pPr>
      <w:r>
        <w:rPr>
          <w:bCs/>
          <w:b/>
        </w:rPr>
        <w:t xml:space="preserve">Theme 10 (financial-agent evidence): synthesis.</w:t>
      </w:r>
    </w:p>
    <w:p>
      <w:pPr>
        <w:numPr>
          <w:ilvl w:val="0"/>
          <w:numId w:val="1091"/>
        </w:numPr>
        <w:pStyle w:val="Compact"/>
      </w:pPr>
      <w:r>
        <w:rPr>
          <w:bCs/>
          <w:b/>
        </w:rPr>
        <w:t xml:space="preserve">Established.</w:t>
      </w:r>
      <w:r>
        <w:t xml:space="preserve"> </w:t>
      </w:r>
      <w:r>
        <w:t xml:space="preserve">Financial actions are within the attack surface of general benchmarks, and a financial runtime harness has been built (FinHarness).</w:t>
      </w:r>
    </w:p>
    <w:p>
      <w:pPr>
        <w:numPr>
          <w:ilvl w:val="0"/>
          <w:numId w:val="1091"/>
        </w:numPr>
        <w:pStyle w:val="Compact"/>
      </w:pPr>
      <w:r>
        <w:rPr>
          <w:bCs/>
          <w:b/>
        </w:rPr>
        <w:t xml:space="preserve">Uncertain.</w:t>
      </w:r>
      <w:r>
        <w:t xml:space="preserve"> </w:t>
      </w:r>
      <w:r>
        <w:t xml:space="preserve">How any defense performs on financial actions specifically. The only quantitative financial runtime results were measured on a benchmark whose preprint was withdrawn for non-scientific reasons, and cannot be independently confirmed.</w:t>
      </w:r>
    </w:p>
    <w:p>
      <w:pPr>
        <w:numPr>
          <w:ilvl w:val="0"/>
          <w:numId w:val="1091"/>
        </w:numPr>
        <w:pStyle w:val="Compact"/>
      </w:pPr>
      <w:r>
        <w:rPr>
          <w:bCs/>
          <w:b/>
        </w:rPr>
        <w:t xml:space="preserve">Under-evaluated.</w:t>
      </w:r>
      <w:r>
        <w:t xml:space="preserve"> </w:t>
      </w:r>
      <w:r>
        <w:t xml:space="preserve">Every financial-context study is LIMITED EVIDENCE. No included study reports a finance-specific analysis of an open, executable benchmark.</w:t>
      </w:r>
    </w:p>
    <w:p>
      <w:pPr>
        <w:numPr>
          <w:ilvl w:val="0"/>
          <w:numId w:val="1091"/>
        </w:numPr>
        <w:pStyle w:val="Compact"/>
      </w:pPr>
      <w:r>
        <w:rPr>
          <w:bCs/>
          <w:b/>
        </w:rPr>
        <w:t xml:space="preserve">Differs across studies.</w:t>
      </w:r>
      <w:r>
        <w:t xml:space="preserve"> </w:t>
      </w:r>
      <w:r>
        <w:t xml:space="preserve">The financial studies vary in kind: a chatbot firewall, a position paper, an actuarial framework, and an LLM-judge harness.</w:t>
      </w:r>
    </w:p>
    <w:p>
      <w:pPr>
        <w:numPr>
          <w:ilvl w:val="0"/>
          <w:numId w:val="1091"/>
        </w:numPr>
        <w:pStyle w:val="Compact"/>
      </w:pPr>
      <w:r>
        <w:rPr>
          <w:bCs/>
          <w:b/>
        </w:rPr>
        <w:t xml:space="preserve">Implication for REM.</w:t>
      </w:r>
      <w:r>
        <w:t xml:space="preserve"> </w:t>
      </w:r>
      <w:r>
        <w:t xml:space="preserve">Evaluation on AgentDojo’s Banking suite, with results reported at the level of financial action types and consequence tiers, would add verified financial evidence where the systematic search found none.</w:t>
      </w:r>
    </w:p>
    <w:p>
      <w:r>
        <w:pict>
          <v:rect style="width:0;height:1.5pt" o:hralign="center" o:hrstd="t" o:hr="t"/>
        </w:pict>
      </w:r>
    </w:p>
    <w:bookmarkEnd w:id="85"/>
    <w:bookmarkEnd w:id="86"/>
    <w:bookmarkStart w:id="87" w:name="comparative-evidence-synthesis"/>
    <w:p>
      <w:pPr>
        <w:pStyle w:val="Heading2"/>
      </w:pPr>
      <w:r>
        <w:t xml:space="preserve">2.11 Comparative Evidence Synthesis</w:t>
      </w:r>
    </w:p>
    <w:p>
      <w:pPr>
        <w:pStyle w:val="FirstParagraph"/>
      </w:pPr>
      <w:r>
        <w:t xml:space="preserve">Two tables compare the included runtime defense and design studies. Both are built from the systematic evidence matrix (</w:t>
      </w:r>
      <w:r>
        <w:rPr>
          <w:rStyle w:val="VerbatimChar"/>
        </w:rPr>
        <w:t xml:space="preserve">CHAPTER2_SYSTEMATIC_EVIDENCE_MATRIX.csv</w:t>
      </w:r>
      <w:r>
        <w:t xml:space="preserve">).</w:t>
      </w:r>
    </w:p>
    <w:p>
      <w:pPr>
        <w:numPr>
          <w:ilvl w:val="0"/>
          <w:numId w:val="1092"/>
        </w:numPr>
        <w:pStyle w:val="Compact"/>
      </w:pPr>
      <w:r>
        <w:rPr>
          <w:bCs/>
          <w:b/>
        </w:rPr>
        <w:t xml:space="preserve">Table 2.8</w:t>
      </w:r>
      <w:r>
        <w:t xml:space="preserve"> </w:t>
      </w:r>
      <w:r>
        <w:t xml:space="preserve">(Appendix 2A) records what each study observes and does, using the columns specified in the review protocol.</w:t>
      </w:r>
    </w:p>
    <w:p>
      <w:pPr>
        <w:numPr>
          <w:ilvl w:val="0"/>
          <w:numId w:val="1092"/>
        </w:numPr>
        <w:pStyle w:val="Compact"/>
      </w:pPr>
      <w:r>
        <w:rPr>
          <w:bCs/>
          <w:b/>
        </w:rPr>
        <w:t xml:space="preserve">Table 2.9</w:t>
      </w:r>
      <w:r>
        <w:t xml:space="preserve"> </w:t>
      </w:r>
      <w:r>
        <w:t xml:space="preserve">records how the studies closest to REM turn evidence into a decision.</w:t>
      </w:r>
    </w:p>
    <w:p>
      <w:pPr>
        <w:pStyle w:val="FirstParagraph"/>
      </w:pPr>
      <w:r>
        <w:t xml:space="preserve">Attack, benchmark and analysis studies appear in Tables 2.3 and 2.4.</w:t>
      </w:r>
    </w:p>
    <w:p>
      <w:pPr>
        <w:pStyle w:val="BodyText"/>
      </w:pPr>
      <w:r>
        <w:rPr>
          <w:bCs/>
          <w:b/>
        </w:rPr>
        <w:t xml:space="preserve">Coding.</w:t>
      </w:r>
      <w:r>
        <w:t xml:space="preserve"> </w:t>
      </w:r>
      <w:r>
        <w:t xml:space="preserve">Yes = reported in the verified record; NR = Not Reported; NV = Not Verified; NA = Not Applicable. A property that the record does not report is</w:t>
      </w:r>
      <w:r>
        <w:t xml:space="preserve"> </w:t>
      </w:r>
      <w:r>
        <w:rPr>
          <w:bCs/>
          <w:b/>
        </w:rPr>
        <w:t xml:space="preserve">not</w:t>
      </w:r>
      <w:r>
        <w:t xml:space="preserve"> </w:t>
      </w:r>
      <w:r>
        <w:t xml:space="preserve">inferred to be present or absent. Financial context is coded Yes only for a primarily financial setting. Evidence levels are HIGH, MOD (moderate) and LIM (limited), as defined in Section 2.2.6.</w:t>
      </w:r>
    </w:p>
    <w:p>
      <w:pPr>
        <w:pStyle w:val="BodyText"/>
      </w:pPr>
      <w:r>
        <w:rPr>
          <w:bCs/>
          <w:b/>
        </w:rPr>
        <w:t xml:space="preserve">Table 2.8</w:t>
      </w:r>
      <w:r>
        <w:t xml:space="preserve"> </w:t>
      </w:r>
      <w:r>
        <w:t xml:space="preserve">(42 defense and design studies × 13 properties) is reproduced in</w:t>
      </w:r>
      <w:r>
        <w:t xml:space="preserve"> </w:t>
      </w:r>
      <w:r>
        <w:rPr>
          <w:bCs/>
          <w:b/>
        </w:rPr>
        <w:t xml:space="preserve">Appendix 2A</w:t>
      </w:r>
      <w:r>
        <w:t xml:space="preserve">. In summary: 41 of the 42 studies operate at runtime, 34 code tool/action evidence, 21 multi-step handling, 17 behavioral evidence and 8 provenance evidence as present in the record; these counts describe what the records report (Section 2.2.7), not what the systems lack.</w:t>
      </w:r>
    </w:p>
    <w:p>
      <w:pPr>
        <w:pStyle w:val="BodyText"/>
      </w:pPr>
      <w:r>
        <w:rPr>
          <w:bCs/>
          <w:b/>
        </w:rPr>
        <w:t xml:space="preserve">Table 2.9. Decision mechanism, calibration, consequence and reported evaluation dimensions (runtime systems closest to REM)</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System</w:t>
            </w:r>
          </w:p>
        </w:tc>
        <w:tc>
          <w:tcPr/>
          <w:p>
            <w:pPr>
              <w:pStyle w:val="Compact"/>
              <w:jc w:val="left"/>
            </w:pPr>
            <w:r>
              <w:t xml:space="preserve">Decision basis</w:t>
            </w:r>
          </w:p>
        </w:tc>
        <w:tc>
          <w:tcPr/>
          <w:p>
            <w:pPr>
              <w:pStyle w:val="Compact"/>
              <w:jc w:val="left"/>
            </w:pPr>
            <w:r>
              <w:t xml:space="preserve">Calibrated probability</w:t>
            </w:r>
          </w:p>
        </w:tc>
        <w:tc>
          <w:tcPr/>
          <w:p>
            <w:pPr>
              <w:pStyle w:val="Compact"/>
              <w:jc w:val="left"/>
            </w:pPr>
            <w:r>
              <w:t xml:space="preserve">Consequence used in decision</w:t>
            </w:r>
          </w:p>
        </w:tc>
        <w:tc>
          <w:tcPr/>
          <w:p>
            <w:pPr>
              <w:pStyle w:val="Compact"/>
              <w:jc w:val="left"/>
            </w:pPr>
            <w:r>
              <w:t xml:space="preserve">Human review / graduated response</w:t>
            </w:r>
          </w:p>
        </w:tc>
        <w:tc>
          <w:tcPr/>
          <w:p>
            <w:pPr>
              <w:pStyle w:val="Compact"/>
              <w:jc w:val="left"/>
            </w:pPr>
            <w:r>
              <w:t xml:space="preserve">Benign utility or false interventions reported</w:t>
            </w:r>
          </w:p>
        </w:tc>
        <w:tc>
          <w:tcPr/>
          <w:p>
            <w:pPr>
              <w:pStyle w:val="Compact"/>
              <w:jc w:val="left"/>
            </w:pPr>
            <w:r>
              <w:t xml:space="preserve">Latency reported</w:t>
            </w:r>
          </w:p>
        </w:tc>
        <w:tc>
          <w:tcPr/>
          <w:p>
            <w:pPr>
              <w:pStyle w:val="Compact"/>
              <w:jc w:val="left"/>
            </w:pPr>
            <w:r>
              <w:t xml:space="preserve">Financial focus</w:t>
            </w:r>
          </w:p>
        </w:tc>
        <w:tc>
          <w:tcPr/>
          <w:p>
            <w:pPr>
              <w:pStyle w:val="Compact"/>
              <w:jc w:val="left"/>
            </w:pPr>
            <w:r>
              <w:t xml:space="preserve">Evidence level</w:t>
            </w:r>
          </w:p>
        </w:tc>
      </w:tr>
      <w:tr>
        <w:tc>
          <w:tcPr/>
          <w:p>
            <w:pPr>
              <w:pStyle w:val="Compact"/>
              <w:jc w:val="left"/>
            </w:pPr>
            <w:r>
              <w:t xml:space="preserve">Progent</w:t>
            </w:r>
          </w:p>
        </w:tc>
        <w:tc>
          <w:tcPr/>
          <w:p>
            <w:pPr>
              <w:pStyle w:val="Compact"/>
              <w:jc w:val="left"/>
            </w:pPr>
            <w:r>
              <w:t xml:space="preserve">Privilege policy (solver-checked updates)</w:t>
            </w:r>
          </w:p>
        </w:tc>
        <w:tc>
          <w:tcPr/>
          <w:p>
            <w:pPr>
              <w:pStyle w:val="Compact"/>
              <w:jc w:val="left"/>
            </w:pPr>
            <w:r>
              <w:t xml:space="preserve">NA</w:t>
            </w:r>
          </w:p>
        </w:tc>
        <w:tc>
          <w:tcPr/>
          <w:p>
            <w:pPr>
              <w:pStyle w:val="Compact"/>
              <w:jc w:val="left"/>
            </w:pPr>
            <w:r>
              <w:t xml:space="preserve">NR</w:t>
            </w:r>
          </w:p>
        </w:tc>
        <w:tc>
          <w:tcPr/>
          <w:p>
            <w:pPr>
              <w:pStyle w:val="Compact"/>
              <w:jc w:val="left"/>
            </w:pPr>
            <w:r>
              <w:t xml:space="preserve">Approval for privilege expansion</w:t>
            </w:r>
          </w:p>
        </w:tc>
        <w:tc>
          <w:tcPr/>
          <w:p>
            <w:pPr>
              <w:pStyle w:val="Compact"/>
              <w:jc w:val="left"/>
            </w:pPr>
            <w:r>
              <w:t xml:space="preserve">Yes (functionality maintained)</w:t>
            </w:r>
          </w:p>
        </w:tc>
        <w:tc>
          <w:tcPr/>
          <w:p>
            <w:pPr>
              <w:pStyle w:val="Compact"/>
              <w:jc w:val="left"/>
            </w:pPr>
            <w:r>
              <w:t xml:space="preserve">NR</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AgentSpec</w:t>
            </w:r>
          </w:p>
        </w:tc>
        <w:tc>
          <w:tcPr/>
          <w:p>
            <w:pPr>
              <w:pStyle w:val="Compact"/>
              <w:jc w:val="left"/>
            </w:pPr>
            <w:r>
              <w:t xml:space="preserve">Deterministic rules</w:t>
            </w:r>
          </w:p>
        </w:tc>
        <w:tc>
          <w:tcPr/>
          <w:p>
            <w:pPr>
              <w:pStyle w:val="Compact"/>
              <w:jc w:val="left"/>
            </w:pPr>
            <w:r>
              <w:t xml:space="preserve">NA</w:t>
            </w:r>
          </w:p>
        </w:tc>
        <w:tc>
          <w:tcPr/>
          <w:p>
            <w:pPr>
              <w:pStyle w:val="Compact"/>
              <w:jc w:val="left"/>
            </w:pPr>
            <w:r>
              <w:t xml:space="preserve">NR</w:t>
            </w:r>
          </w:p>
        </w:tc>
        <w:tc>
          <w:tcPr/>
          <w:p>
            <w:pPr>
              <w:pStyle w:val="Compact"/>
              <w:jc w:val="left"/>
            </w:pPr>
            <w:r>
              <w:t xml:space="preserve">NV</w:t>
            </w:r>
          </w:p>
        </w:tc>
        <w:tc>
          <w:tcPr/>
          <w:p>
            <w:pPr>
              <w:pStyle w:val="Compact"/>
              <w:jc w:val="left"/>
            </w:pPr>
            <w:r>
              <w:t xml:space="preserve">NV</w:t>
            </w:r>
          </w:p>
        </w:tc>
        <w:tc>
          <w:tcPr/>
          <w:p>
            <w:pPr>
              <w:pStyle w:val="Compact"/>
              <w:jc w:val="left"/>
            </w:pPr>
            <w:r>
              <w:t xml:space="preserve">Yes (ms)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RTBAS</w:t>
            </w:r>
          </w:p>
        </w:tc>
        <w:tc>
          <w:tcPr/>
          <w:p>
            <w:pPr>
              <w:pStyle w:val="Compact"/>
              <w:jc w:val="left"/>
            </w:pPr>
            <w:r>
              <w:t xml:space="preserve">Information-flow screeners</w:t>
            </w:r>
          </w:p>
        </w:tc>
        <w:tc>
          <w:tcPr/>
          <w:p>
            <w:pPr>
              <w:pStyle w:val="Compact"/>
              <w:jc w:val="left"/>
            </w:pPr>
            <w:r>
              <w:t xml:space="preserve">NR</w:t>
            </w:r>
          </w:p>
        </w:tc>
        <w:tc>
          <w:tcPr/>
          <w:p>
            <w:pPr>
              <w:pStyle w:val="Compact"/>
              <w:jc w:val="left"/>
            </w:pPr>
            <w:r>
              <w:t xml:space="preserve">NR</w:t>
            </w:r>
          </w:p>
        </w:tc>
        <w:tc>
          <w:tcPr/>
          <w:p>
            <w:pPr>
              <w:pStyle w:val="Compact"/>
              <w:jc w:val="left"/>
            </w:pPr>
            <w:r>
              <w:t xml:space="preserve">User confirmation when integrity/confidentiality not ensured</w:t>
            </w:r>
          </w:p>
        </w:tc>
        <w:tc>
          <w:tcPr/>
          <w:p>
            <w:pPr>
              <w:pStyle w:val="Compact"/>
              <w:jc w:val="left"/>
            </w:pPr>
            <w:r>
              <w:t xml:space="preserve">Yes (2% utility loss under attack)</w:t>
            </w:r>
          </w:p>
        </w:tc>
        <w:tc>
          <w:tcPr/>
          <w:p>
            <w:pPr>
              <w:pStyle w:val="Compact"/>
              <w:jc w:val="left"/>
            </w:pPr>
            <w:r>
              <w:t xml:space="preserve">NR</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MCP policy-enforcement point</w:t>
            </w:r>
          </w:p>
        </w:tc>
        <w:tc>
          <w:tcPr/>
          <w:p>
            <w:pPr>
              <w:pStyle w:val="Compact"/>
              <w:jc w:val="left"/>
            </w:pPr>
            <w:r>
              <w:t xml:space="preserve">Declarative rules over cross-step labels</w:t>
            </w:r>
          </w:p>
        </w:tc>
        <w:tc>
          <w:tcPr/>
          <w:p>
            <w:pPr>
              <w:pStyle w:val="Compact"/>
              <w:jc w:val="left"/>
            </w:pPr>
            <w:r>
              <w:t xml:space="preserve">NA</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 (task-level FP 30.0%; 0/30 rule FPs)</w:t>
            </w:r>
          </w:p>
        </w:tc>
        <w:tc>
          <w:tcPr/>
          <w:p>
            <w:pPr>
              <w:pStyle w:val="Compact"/>
              <w:jc w:val="left"/>
            </w:pPr>
            <w:r>
              <w:t xml:space="preserve">Yes (sub-ms)</w:t>
            </w:r>
          </w:p>
        </w:tc>
        <w:tc>
          <w:tcPr/>
          <w:p>
            <w:pPr>
              <w:pStyle w:val="Compact"/>
              <w:jc w:val="left"/>
            </w:pPr>
            <w:r>
              <w:t xml:space="preserve">NR</w:t>
            </w:r>
          </w:p>
        </w:tc>
        <w:tc>
          <w:tcPr/>
          <w:p>
            <w:pPr>
              <w:pStyle w:val="Compact"/>
              <w:jc w:val="left"/>
            </w:pPr>
            <w:r>
              <w:t xml:space="preserve">HIGH</w:t>
            </w:r>
          </w:p>
        </w:tc>
      </w:tr>
      <w:tr>
        <w:tc>
          <w:tcPr/>
          <w:p>
            <w:pPr>
              <w:pStyle w:val="Compact"/>
              <w:jc w:val="left"/>
            </w:pPr>
            <w:r>
              <w:t xml:space="preserve">LATTICE</w:t>
            </w:r>
          </w:p>
        </w:tc>
        <w:tc>
          <w:tcPr/>
          <w:p>
            <w:pPr>
              <w:pStyle w:val="Compact"/>
              <w:jc w:val="left"/>
            </w:pPr>
            <w:r>
              <w:t xml:space="preserve">Policy-as-code; deterministic verdicts; confidence-based escalation</w:t>
            </w:r>
          </w:p>
        </w:tc>
        <w:tc>
          <w:tcPr/>
          <w:p>
            <w:pPr>
              <w:pStyle w:val="Compact"/>
              <w:jc w:val="left"/>
            </w:pPr>
            <w:r>
              <w:t xml:space="preserve">NR (confidence baseline analysed)</w:t>
            </w:r>
          </w:p>
        </w:tc>
        <w:tc>
          <w:tcPr/>
          <w:p>
            <w:pPr>
              <w:pStyle w:val="Compact"/>
              <w:jc w:val="left"/>
            </w:pPr>
            <w:r>
              <w:t xml:space="preserve">NR</w:t>
            </w:r>
          </w:p>
        </w:tc>
        <w:tc>
          <w:tcPr/>
          <w:p>
            <w:pPr>
              <w:pStyle w:val="Compact"/>
              <w:jc w:val="left"/>
            </w:pPr>
            <w:r>
              <w:t xml:space="preserve">Yes (human escalation)</w:t>
            </w:r>
          </w:p>
        </w:tc>
        <w:tc>
          <w:tcPr/>
          <w:p>
            <w:pPr>
              <w:pStyle w:val="Compact"/>
              <w:jc w:val="left"/>
            </w:pPr>
            <w:r>
              <w:t xml:space="preserve">Yes (operating point auto-allowed no action)</w:t>
            </w:r>
          </w:p>
        </w:tc>
        <w:tc>
          <w:tcPr/>
          <w:p>
            <w:pPr>
              <w:pStyle w:val="Compact"/>
              <w:jc w:val="left"/>
            </w:pPr>
            <w:r>
              <w:t xml:space="preserve">Yes (µs–ms)</w:t>
            </w:r>
          </w:p>
        </w:tc>
        <w:tc>
          <w:tcPr/>
          <w:p>
            <w:pPr>
              <w:pStyle w:val="Compact"/>
              <w:jc w:val="left"/>
            </w:pPr>
            <w:r>
              <w:t xml:space="preserve">NR</w:t>
            </w:r>
          </w:p>
        </w:tc>
        <w:tc>
          <w:tcPr/>
          <w:p>
            <w:pPr>
              <w:pStyle w:val="Compact"/>
              <w:jc w:val="left"/>
            </w:pPr>
            <w:r>
              <w:t xml:space="preserve">HIGH</w:t>
            </w:r>
          </w:p>
        </w:tc>
      </w:tr>
      <w:tr>
        <w:tc>
          <w:tcPr/>
          <w:p>
            <w:pPr>
              <w:pStyle w:val="Compact"/>
              <w:jc w:val="left"/>
            </w:pPr>
            <w:r>
              <w:t xml:space="preserve">Task Shield</w:t>
            </w:r>
          </w:p>
        </w:tc>
        <w:tc>
          <w:tcPr/>
          <w:p>
            <w:pPr>
              <w:pStyle w:val="Compact"/>
              <w:jc w:val="left"/>
            </w:pPr>
            <w:r>
              <w:t xml:space="preserve">LLM verification of task alignment</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 (69.79% utility)</w:t>
            </w:r>
          </w:p>
        </w:tc>
        <w:tc>
          <w:tcPr/>
          <w:p>
            <w:pPr>
              <w:pStyle w:val="Compact"/>
              <w:jc w:val="left"/>
            </w:pPr>
            <w:r>
              <w:t xml:space="preserve">NR</w:t>
            </w:r>
          </w:p>
        </w:tc>
        <w:tc>
          <w:tcPr/>
          <w:p>
            <w:pPr>
              <w:pStyle w:val="Compact"/>
              <w:jc w:val="left"/>
            </w:pPr>
            <w:r>
              <w:t xml:space="preserve">NR</w:t>
            </w:r>
          </w:p>
        </w:tc>
        <w:tc>
          <w:tcPr/>
          <w:p>
            <w:pPr>
              <w:pStyle w:val="Compact"/>
              <w:jc w:val="left"/>
            </w:pPr>
            <w:r>
              <w:t xml:space="preserve">HIGH</w:t>
            </w:r>
          </w:p>
        </w:tc>
      </w:tr>
      <w:tr>
        <w:tc>
          <w:tcPr/>
          <w:p>
            <w:pPr>
              <w:pStyle w:val="Compact"/>
              <w:jc w:val="left"/>
            </w:pPr>
            <w:r>
              <w:t xml:space="preserve">VIGIL</w:t>
            </w:r>
          </w:p>
        </w:tc>
        <w:tc>
          <w:tcPr/>
          <w:p>
            <w:pPr>
              <w:pStyle w:val="Compact"/>
              <w:jc w:val="left"/>
            </w:pPr>
            <w:r>
              <w:t xml:space="preserve">Intent-grounded verification before commit</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 (utility under attack)</w:t>
            </w:r>
          </w:p>
        </w:tc>
        <w:tc>
          <w:tcPr/>
          <w:p>
            <w:pPr>
              <w:pStyle w:val="Compact"/>
              <w:jc w:val="left"/>
            </w:pPr>
            <w:r>
              <w:t xml:space="preserve">NR</w:t>
            </w:r>
          </w:p>
        </w:tc>
        <w:tc>
          <w:tcPr/>
          <w:p>
            <w:pPr>
              <w:pStyle w:val="Compact"/>
              <w:jc w:val="left"/>
            </w:pPr>
            <w:r>
              <w:t xml:space="preserve">NR</w:t>
            </w:r>
          </w:p>
        </w:tc>
        <w:tc>
          <w:tcPr/>
          <w:p>
            <w:pPr>
              <w:pStyle w:val="Compact"/>
              <w:jc w:val="left"/>
            </w:pPr>
            <w:r>
              <w:t xml:space="preserve">HIGH (PV)</w:t>
            </w:r>
          </w:p>
        </w:tc>
      </w:tr>
      <w:tr>
        <w:tc>
          <w:tcPr/>
          <w:p>
            <w:pPr>
              <w:pStyle w:val="Compact"/>
              <w:jc w:val="left"/>
            </w:pPr>
            <w:r>
              <w:t xml:space="preserve">ToolSafe</w:t>
            </w:r>
          </w:p>
        </w:tc>
        <w:tc>
          <w:tcPr/>
          <w:p>
            <w:pPr>
              <w:pStyle w:val="Compact"/>
              <w:jc w:val="left"/>
            </w:pPr>
            <w:r>
              <w:t xml:space="preserve">Learned step-level guardrail with feedback</w:t>
            </w:r>
          </w:p>
        </w:tc>
        <w:tc>
          <w:tcPr/>
          <w:p>
            <w:pPr>
              <w:pStyle w:val="Compact"/>
              <w:jc w:val="left"/>
            </w:pPr>
            <w:r>
              <w:t xml:space="preserve">NR</w:t>
            </w:r>
          </w:p>
        </w:tc>
        <w:tc>
          <w:tcPr/>
          <w:p>
            <w:pPr>
              <w:pStyle w:val="Compact"/>
              <w:jc w:val="left"/>
            </w:pPr>
            <w:r>
              <w:t xml:space="preserve">NR</w:t>
            </w:r>
          </w:p>
        </w:tc>
        <w:tc>
          <w:tcPr/>
          <w:p>
            <w:pPr>
              <w:pStyle w:val="Compact"/>
              <w:jc w:val="left"/>
            </w:pPr>
            <w:r>
              <w:t xml:space="preserve">Feedback to agent</w:t>
            </w:r>
          </w:p>
        </w:tc>
        <w:tc>
          <w:tcPr/>
          <w:p>
            <w:pPr>
              <w:pStyle w:val="Compact"/>
              <w:jc w:val="left"/>
            </w:pPr>
            <w:r>
              <w:t xml:space="preserve">Yes (benign completion)</w:t>
            </w:r>
          </w:p>
        </w:tc>
        <w:tc>
          <w:tcPr/>
          <w:p>
            <w:pPr>
              <w:pStyle w:val="Compact"/>
              <w:jc w:val="left"/>
            </w:pPr>
            <w:r>
              <w:t xml:space="preserve">NR</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ProvenanceGuard</w:t>
            </w:r>
          </w:p>
        </w:tc>
        <w:tc>
          <w:tcPr/>
          <w:p>
            <w:pPr>
              <w:pStyle w:val="Compact"/>
              <w:jc w:val="left"/>
            </w:pPr>
            <w:r>
              <w:t xml:space="preserve">Evidence support for tool calls</w:t>
            </w:r>
          </w:p>
        </w:tc>
        <w:tc>
          <w:tcPr/>
          <w:p>
            <w:pPr>
              <w:pStyle w:val="Compact"/>
              <w:jc w:val="left"/>
            </w:pPr>
            <w:r>
              <w:t xml:space="preserve">NR</w:t>
            </w:r>
          </w:p>
        </w:tc>
        <w:tc>
          <w:tcPr/>
          <w:p>
            <w:pPr>
              <w:pStyle w:val="Compact"/>
              <w:jc w:val="left"/>
            </w:pPr>
            <w:r>
              <w:t xml:space="preserve">NR</w:t>
            </w:r>
          </w:p>
        </w:tc>
        <w:tc>
          <w:tcPr/>
          <w:p>
            <w:pPr>
              <w:pStyle w:val="Compact"/>
              <w:jc w:val="left"/>
            </w:pPr>
            <w:r>
              <w:t xml:space="preserve">Intervention</w:t>
            </w:r>
          </w:p>
        </w:tc>
        <w:tc>
          <w:tcPr/>
          <w:p>
            <w:pPr>
              <w:pStyle w:val="Compact"/>
              <w:jc w:val="left"/>
            </w:pPr>
            <w:r>
              <w:t xml:space="preserve">Yes (aligned-trace intervention rate; PV)</w:t>
            </w:r>
          </w:p>
        </w:tc>
        <w:tc>
          <w:tcPr/>
          <w:p>
            <w:pPr>
              <w:pStyle w:val="Compact"/>
              <w:jc w:val="left"/>
            </w:pPr>
            <w:r>
              <w:t xml:space="preserve">Yes (higher than baselines; PV)</w:t>
            </w:r>
          </w:p>
        </w:tc>
        <w:tc>
          <w:tcPr/>
          <w:p>
            <w:pPr>
              <w:pStyle w:val="Compact"/>
              <w:jc w:val="left"/>
            </w:pPr>
            <w:r>
              <w:t xml:space="preserve">NR</w:t>
            </w:r>
          </w:p>
        </w:tc>
        <w:tc>
          <w:tcPr/>
          <w:p>
            <w:pPr>
              <w:pStyle w:val="Compact"/>
              <w:jc w:val="left"/>
            </w:pPr>
            <w:r>
              <w:t xml:space="preserve">MOD (PV)</w:t>
            </w:r>
          </w:p>
        </w:tc>
      </w:tr>
      <w:tr>
        <w:tc>
          <w:tcPr/>
          <w:p>
            <w:pPr>
              <w:pStyle w:val="Compact"/>
              <w:jc w:val="left"/>
            </w:pPr>
            <w:r>
              <w:t xml:space="preserve">MI9</w:t>
            </w:r>
          </w:p>
        </w:tc>
        <w:tc>
          <w:tcPr/>
          <w:p>
            <w:pPr>
              <w:pStyle w:val="Compact"/>
              <w:jc w:val="left"/>
            </w:pPr>
            <w:r>
              <w:t xml:space="preserve">Governance components; agency-risk index</w:t>
            </w:r>
          </w:p>
        </w:tc>
        <w:tc>
          <w:tcPr/>
          <w:p>
            <w:pPr>
              <w:pStyle w:val="Compact"/>
              <w:jc w:val="left"/>
            </w:pPr>
            <w:r>
              <w:t xml:space="preserve">NR</w:t>
            </w:r>
          </w:p>
        </w:tc>
        <w:tc>
          <w:tcPr/>
          <w:p>
            <w:pPr>
              <w:pStyle w:val="Compact"/>
              <w:jc w:val="left"/>
            </w:pPr>
            <w:r>
              <w:t xml:space="preserve">NR</w:t>
            </w:r>
          </w:p>
        </w:tc>
        <w:tc>
          <w:tcPr/>
          <w:p>
            <w:pPr>
              <w:pStyle w:val="Compact"/>
              <w:jc w:val="left"/>
            </w:pPr>
            <w:r>
              <w:t xml:space="preserve">Graduated containment</w:t>
            </w:r>
          </w:p>
        </w:tc>
        <w:tc>
          <w:tcPr/>
          <w:p>
            <w:pPr>
              <w:pStyle w:val="Compact"/>
              <w:jc w:val="left"/>
            </w:pPr>
            <w:r>
              <w:t xml:space="preserve">NV</w:t>
            </w:r>
          </w:p>
        </w:tc>
        <w:tc>
          <w:tcPr/>
          <w:p>
            <w:pPr>
              <w:pStyle w:val="Compact"/>
              <w:jc w:val="left"/>
            </w:pPr>
            <w:r>
              <w:t xml:space="preserve">Overhead noted (PV)</w:t>
            </w:r>
          </w:p>
        </w:tc>
        <w:tc>
          <w:tcPr/>
          <w:p>
            <w:pPr>
              <w:pStyle w:val="Compact"/>
              <w:jc w:val="left"/>
            </w:pPr>
            <w:r>
              <w:t xml:space="preserve">NV</w:t>
            </w:r>
          </w:p>
        </w:tc>
        <w:tc>
          <w:tcPr/>
          <w:p>
            <w:pPr>
              <w:pStyle w:val="Compact"/>
              <w:jc w:val="left"/>
            </w:pPr>
            <w:r>
              <w:t xml:space="preserve">MOD (PV)</w:t>
            </w:r>
          </w:p>
        </w:tc>
      </w:tr>
      <w:tr>
        <w:tc>
          <w:tcPr/>
          <w:p>
            <w:pPr>
              <w:pStyle w:val="Compact"/>
              <w:jc w:val="left"/>
            </w:pPr>
            <w:r>
              <w:t xml:space="preserve">ProbGuard</w:t>
            </w:r>
          </w:p>
        </w:tc>
        <w:tc>
          <w:tcPr/>
          <w:p>
            <w:pPr>
              <w:pStyle w:val="Compact"/>
              <w:jc w:val="left"/>
            </w:pPr>
            <w:r>
              <w:t xml:space="preserve">Probability of remaining safe (learned DTMC) vs threshold</w:t>
            </w:r>
          </w:p>
        </w:tc>
        <w:tc>
          <w:tcPr/>
          <w:p>
            <w:pPr>
              <w:pStyle w:val="Compact"/>
              <w:jc w:val="left"/>
            </w:pPr>
            <w:r>
              <w:t xml:space="preserve">NR (PAC-style bounds on learned model)</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 (task completion)</w:t>
            </w:r>
          </w:p>
        </w:tc>
        <w:tc>
          <w:tcPr/>
          <w:p>
            <w:pPr>
              <w:pStyle w:val="Compact"/>
              <w:jc w:val="left"/>
            </w:pPr>
            <w:r>
              <w:t xml:space="preserve">NV</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DreamGuard</w:t>
            </w:r>
          </w:p>
        </w:tc>
        <w:tc>
          <w:tcPr/>
          <w:p>
            <w:pPr>
              <w:pStyle w:val="Compact"/>
              <w:jc w:val="left"/>
            </w:pPr>
            <w:r>
              <w:t xml:space="preserve">Calibrated fusion of hazard and prefix-risk scores</w:t>
            </w:r>
          </w:p>
        </w:tc>
        <w:tc>
          <w:tcPr/>
          <w:p>
            <w:pPr>
              <w:pStyle w:val="Compact"/>
              <w:jc w:val="left"/>
            </w:pPr>
            <w:r>
              <w:t xml:space="preserve">Partial (</w:t>
            </w:r>
            <w:r>
              <w:t xml:space="preserve">“</w:t>
            </w:r>
            <w:r>
              <w:t xml:space="preserve">calibrated fusion</w:t>
            </w:r>
            <w:r>
              <w:t xml:space="preserve">”</w:t>
            </w:r>
            <w:r>
              <w:t xml:space="preserve">; no calibration metric verified)</w:t>
            </w:r>
          </w:p>
        </w:tc>
        <w:tc>
          <w:tcPr/>
          <w:p>
            <w:pPr>
              <w:pStyle w:val="Compact"/>
              <w:jc w:val="left"/>
            </w:pPr>
            <w:r>
              <w:t xml:space="preserve">NR</w:t>
            </w:r>
          </w:p>
        </w:tc>
        <w:tc>
          <w:tcPr/>
          <w:p>
            <w:pPr>
              <w:pStyle w:val="Compact"/>
              <w:jc w:val="left"/>
            </w:pPr>
            <w:r>
              <w:t xml:space="preserve">HOLD</w:t>
            </w:r>
          </w:p>
        </w:tc>
        <w:tc>
          <w:tcPr/>
          <w:p>
            <w:pPr>
              <w:pStyle w:val="Compact"/>
              <w:jc w:val="left"/>
            </w:pPr>
            <w:r>
              <w:t xml:space="preserve">NV</w:t>
            </w:r>
          </w:p>
        </w:tc>
        <w:tc>
          <w:tcPr/>
          <w:p>
            <w:pPr>
              <w:pStyle w:val="Compact"/>
              <w:jc w:val="left"/>
            </w:pPr>
            <w:r>
              <w:t xml:space="preserve">Yes (~25 ms)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SafeAgent</w:t>
            </w:r>
          </w:p>
        </w:tc>
        <w:tc>
          <w:tcPr/>
          <w:p>
            <w:pPr>
              <w:pStyle w:val="Compact"/>
              <w:jc w:val="left"/>
            </w:pPr>
            <w:r>
              <w:t xml:space="preserve">LLM operators; policy arbitration</w:t>
            </w:r>
          </w:p>
        </w:tc>
        <w:tc>
          <w:tcPr/>
          <w:p>
            <w:pPr>
              <w:pStyle w:val="Compact"/>
              <w:jc w:val="left"/>
            </w:pPr>
            <w:r>
              <w:t xml:space="preserve">NV</w:t>
            </w:r>
          </w:p>
        </w:tc>
        <w:tc>
          <w:tcPr/>
          <w:p>
            <w:pPr>
              <w:pStyle w:val="Compact"/>
              <w:jc w:val="left"/>
            </w:pPr>
            <w:r>
              <w:t xml:space="preserve">Yes (LLM consequence modelling; PV)</w:t>
            </w:r>
          </w:p>
        </w:tc>
        <w:tc>
          <w:tcPr/>
          <w:p>
            <w:pPr>
              <w:pStyle w:val="Compact"/>
              <w:jc w:val="left"/>
            </w:pPr>
            <w:r>
              <w:t xml:space="preserve">Yes</w:t>
            </w:r>
          </w:p>
        </w:tc>
        <w:tc>
          <w:tcPr/>
          <w:p>
            <w:pPr>
              <w:pStyle w:val="Compact"/>
              <w:jc w:val="left"/>
            </w:pPr>
            <w:r>
              <w:t xml:space="preserve">NV</w:t>
            </w:r>
          </w:p>
        </w:tc>
        <w:tc>
          <w:tcPr/>
          <w:p>
            <w:pPr>
              <w:pStyle w:val="Compact"/>
              <w:jc w:val="left"/>
            </w:pPr>
            <w:r>
              <w:t xml:space="preserve">NV</w:t>
            </w:r>
          </w:p>
        </w:tc>
        <w:tc>
          <w:tcPr/>
          <w:p>
            <w:pPr>
              <w:pStyle w:val="Compact"/>
              <w:jc w:val="left"/>
            </w:pPr>
            <w:r>
              <w:t xml:space="preserve">NR</w:t>
            </w:r>
          </w:p>
        </w:tc>
        <w:tc>
          <w:tcPr/>
          <w:p>
            <w:pPr>
              <w:pStyle w:val="Compact"/>
              <w:jc w:val="left"/>
            </w:pPr>
            <w:r>
              <w:t xml:space="preserve">LIM (PV)</w:t>
            </w:r>
          </w:p>
        </w:tc>
      </w:tr>
      <w:tr>
        <w:tc>
          <w:tcPr/>
          <w:p>
            <w:pPr>
              <w:pStyle w:val="Compact"/>
              <w:jc w:val="left"/>
            </w:pPr>
            <w:r>
              <w:t xml:space="preserve">AgentTrust</w:t>
            </w:r>
          </w:p>
        </w:tc>
        <w:tc>
          <w:tcPr/>
          <w:p>
            <w:pPr>
              <w:pStyle w:val="Compact"/>
              <w:jc w:val="left"/>
            </w:pPr>
            <w:r>
              <w:t xml:space="preserve">Rules and analysers; worst-case over normalized variants; LLM judge for ambiguity</w:t>
            </w:r>
          </w:p>
        </w:tc>
        <w:tc>
          <w:tcPr/>
          <w:p>
            <w:pPr>
              <w:pStyle w:val="Compact"/>
              <w:jc w:val="left"/>
            </w:pPr>
            <w:r>
              <w:t xml:space="preserve">NR</w:t>
            </w:r>
          </w:p>
        </w:tc>
        <w:tc>
          <w:tcPr/>
          <w:p>
            <w:pPr>
              <w:pStyle w:val="Compact"/>
              <w:jc w:val="left"/>
            </w:pPr>
            <w:r>
              <w:t xml:space="preserve">Partial (reversibility as a judge dimension; PV)</w:t>
            </w:r>
          </w:p>
        </w:tc>
        <w:tc>
          <w:tcPr/>
          <w:p>
            <w:pPr>
              <w:pStyle w:val="Compact"/>
              <w:jc w:val="left"/>
            </w:pPr>
            <w:r>
              <w:t xml:space="preserve">Yes (warn; review)</w:t>
            </w:r>
          </w:p>
        </w:tc>
        <w:tc>
          <w:tcPr/>
          <w:p>
            <w:pPr>
              <w:pStyle w:val="Compact"/>
              <w:jc w:val="left"/>
            </w:pPr>
            <w:r>
              <w:t xml:space="preserve">NR</w:t>
            </w:r>
          </w:p>
        </w:tc>
        <w:tc>
          <w:tcPr/>
          <w:p>
            <w:pPr>
              <w:pStyle w:val="Compact"/>
              <w:jc w:val="left"/>
            </w:pPr>
            <w:r>
              <w:t xml:space="preserve">Yes (~1.72 ms; PV)</w:t>
            </w:r>
          </w:p>
        </w:tc>
        <w:tc>
          <w:tcPr/>
          <w:p>
            <w:pPr>
              <w:pStyle w:val="Compact"/>
              <w:jc w:val="left"/>
            </w:pPr>
            <w:r>
              <w:t xml:space="preserve">NR</w:t>
            </w:r>
          </w:p>
        </w:tc>
        <w:tc>
          <w:tcPr/>
          <w:p>
            <w:pPr>
              <w:pStyle w:val="Compact"/>
              <w:jc w:val="left"/>
            </w:pPr>
            <w:r>
              <w:t xml:space="preserve">MOD (PV)</w:t>
            </w:r>
          </w:p>
        </w:tc>
      </w:tr>
      <w:tr>
        <w:tc>
          <w:tcPr/>
          <w:p>
            <w:pPr>
              <w:pStyle w:val="Compact"/>
              <w:jc w:val="left"/>
            </w:pPr>
            <w:r>
              <w:t xml:space="preserve">NEXUS</w:t>
            </w:r>
          </w:p>
        </w:tc>
        <w:tc>
          <w:tcPr/>
          <w:p>
            <w:pPr>
              <w:pStyle w:val="Compact"/>
              <w:jc w:val="left"/>
            </w:pPr>
            <w:r>
              <w:t xml:space="preserve">Rule-first cascade; calibrated logistic score with loss-optimal thresholds</w:t>
            </w:r>
          </w:p>
        </w:tc>
        <w:tc>
          <w:tcPr/>
          <w:p>
            <w:pPr>
              <w:pStyle w:val="Compact"/>
              <w:jc w:val="left"/>
            </w:pPr>
            <w:r>
              <w:t xml:space="preserve">Yes (Platt; ECE 0.085→0.013; PV)</w:t>
            </w:r>
          </w:p>
        </w:tc>
        <w:tc>
          <w:tcPr/>
          <w:p>
            <w:pPr>
              <w:pStyle w:val="Compact"/>
              <w:jc w:val="left"/>
            </w:pPr>
            <w:r>
              <w:t xml:space="preserve">Yes (plan annotations used by rules); intervention costs fixed (PV)</w:t>
            </w:r>
          </w:p>
        </w:tc>
        <w:tc>
          <w:tcPr/>
          <w:p>
            <w:pPr>
              <w:pStyle w:val="Compact"/>
              <w:jc w:val="left"/>
            </w:pPr>
            <w:r>
              <w:t xml:space="preserve">Yes (confirm; revise)</w:t>
            </w:r>
          </w:p>
        </w:tc>
        <w:tc>
          <w:tcPr/>
          <w:p>
            <w:pPr>
              <w:pStyle w:val="Compact"/>
              <w:jc w:val="left"/>
            </w:pPr>
            <w:r>
              <w:t xml:space="preserve">Yes (paired benign cases)</w:t>
            </w:r>
          </w:p>
        </w:tc>
        <w:tc>
          <w:tcPr/>
          <w:p>
            <w:pPr>
              <w:pStyle w:val="Compact"/>
              <w:jc w:val="left"/>
            </w:pPr>
            <w:r>
              <w:t xml:space="preserve">Yes (0.205 ms median)</w:t>
            </w:r>
          </w:p>
        </w:tc>
        <w:tc>
          <w:tcPr/>
          <w:p>
            <w:pPr>
              <w:pStyle w:val="Compact"/>
              <w:jc w:val="left"/>
            </w:pPr>
            <w:r>
              <w:t xml:space="preserve">NR</w:t>
            </w:r>
          </w:p>
        </w:tc>
        <w:tc>
          <w:tcPr/>
          <w:p>
            <w:pPr>
              <w:pStyle w:val="Compact"/>
              <w:jc w:val="left"/>
            </w:pPr>
            <w:r>
              <w:t xml:space="preserve">MOD (PV)</w:t>
            </w:r>
          </w:p>
        </w:tc>
      </w:tr>
      <w:tr>
        <w:tc>
          <w:tcPr/>
          <w:p>
            <w:pPr>
              <w:pStyle w:val="Compact"/>
              <w:jc w:val="left"/>
            </w:pPr>
            <w:r>
              <w:t xml:space="preserve">FinHarness</w:t>
            </w:r>
          </w:p>
        </w:tc>
        <w:tc>
          <w:tcPr/>
          <w:p>
            <w:pPr>
              <w:pStyle w:val="Compact"/>
              <w:jc w:val="left"/>
            </w:pPr>
            <w:r>
              <w:t xml:space="preserve">Monitors and LLM-judge cascade</w:t>
            </w:r>
          </w:p>
        </w:tc>
        <w:tc>
          <w:tcPr/>
          <w:p>
            <w:pPr>
              <w:pStyle w:val="Compact"/>
              <w:jc w:val="left"/>
            </w:pPr>
            <w:r>
              <w:t xml:space="preserve">NR</w:t>
            </w:r>
          </w:p>
        </w:tc>
        <w:tc>
          <w:tcPr/>
          <w:p>
            <w:pPr>
              <w:pStyle w:val="Compact"/>
              <w:jc w:val="left"/>
            </w:pPr>
            <w:r>
              <w:t xml:space="preserve">NR</w:t>
            </w:r>
          </w:p>
        </w:tc>
        <w:tc>
          <w:tcPr/>
          <w:p>
            <w:pPr>
              <w:pStyle w:val="Compact"/>
              <w:jc w:val="left"/>
            </w:pPr>
            <w:r>
              <w:t xml:space="preserve">Escalation to an advanced LLM judge</w:t>
            </w:r>
          </w:p>
        </w:tc>
        <w:tc>
          <w:tcPr/>
          <w:p>
            <w:pPr>
              <w:pStyle w:val="Compact"/>
              <w:jc w:val="left"/>
            </w:pPr>
            <w:r>
              <w:t xml:space="preserve">Yes (benign approval; benchmark withdrawn for non-scientific reasons)</w:t>
            </w:r>
          </w:p>
        </w:tc>
        <w:tc>
          <w:tcPr/>
          <w:p>
            <w:pPr>
              <w:pStyle w:val="Compact"/>
              <w:jc w:val="left"/>
            </w:pPr>
            <w:r>
              <w:t xml:space="preserve">NR (judge-call counts)</w:t>
            </w:r>
          </w:p>
        </w:tc>
        <w:tc>
          <w:tcPr/>
          <w:p>
            <w:pPr>
              <w:pStyle w:val="Compact"/>
              <w:jc w:val="left"/>
            </w:pPr>
            <w:r>
              <w:t xml:space="preserve">Yes</w:t>
            </w:r>
          </w:p>
        </w:tc>
        <w:tc>
          <w:tcPr/>
          <w:p>
            <w:pPr>
              <w:pStyle w:val="Compact"/>
              <w:jc w:val="left"/>
            </w:pPr>
            <w:r>
              <w:t xml:space="preserve">LIM</w:t>
            </w:r>
          </w:p>
        </w:tc>
      </w:tr>
      <w:tr>
        <w:tc>
          <w:tcPr/>
          <w:p>
            <w:pPr>
              <w:pStyle w:val="Compact"/>
              <w:jc w:val="left"/>
            </w:pPr>
            <w:r>
              <w:t xml:space="preserve">H.-H. Chen</w:t>
            </w:r>
          </w:p>
        </w:tc>
        <w:tc>
          <w:tcPr/>
          <w:p>
            <w:pPr>
              <w:pStyle w:val="Compact"/>
              <w:jc w:val="left"/>
            </w:pPr>
            <w:r>
              <w:t xml:space="preserve">Deterministic pricing against reserve capital</w:t>
            </w:r>
          </w:p>
        </w:tc>
        <w:tc>
          <w:tcPr/>
          <w:p>
            <w:pPr>
              <w:pStyle w:val="Compact"/>
              <w:jc w:val="left"/>
            </w:pPr>
            <w:r>
              <w:t xml:space="preserve">NA</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Partial</w:t>
            </w:r>
          </w:p>
        </w:tc>
        <w:tc>
          <w:tcPr/>
          <w:p>
            <w:pPr>
              <w:pStyle w:val="Compact"/>
              <w:jc w:val="left"/>
            </w:pPr>
            <w:r>
              <w:t xml:space="preserve">LIM</w:t>
            </w:r>
          </w:p>
        </w:tc>
      </w:tr>
      <w:tr>
        <w:tc>
          <w:tcPr/>
          <w:p>
            <w:pPr>
              <w:pStyle w:val="Compact"/>
              <w:jc w:val="left"/>
            </w:pPr>
            <w:r>
              <w:t xml:space="preserve">Jackson</w:t>
            </w:r>
          </w:p>
        </w:tc>
        <w:tc>
          <w:tcPr/>
          <w:p>
            <w:pPr>
              <w:pStyle w:val="Compact"/>
              <w:jc w:val="left"/>
            </w:pPr>
            <w:r>
              <w:t xml:space="preserve">Multi-dimensional risk score; enforcement state machine</w:t>
            </w:r>
          </w:p>
        </w:tc>
        <w:tc>
          <w:tcPr/>
          <w:p>
            <w:pPr>
              <w:pStyle w:val="Compact"/>
              <w:jc w:val="left"/>
            </w:pPr>
            <w:r>
              <w:t xml:space="preserve">NV</w:t>
            </w:r>
          </w:p>
        </w:tc>
        <w:tc>
          <w:tcPr/>
          <w:p>
            <w:pPr>
              <w:pStyle w:val="Compact"/>
              <w:jc w:val="left"/>
            </w:pPr>
            <w:r>
              <w:t xml:space="preserve">NV</w:t>
            </w:r>
          </w:p>
        </w:tc>
        <w:tc>
          <w:tcPr/>
          <w:p>
            <w:pPr>
              <w:pStyle w:val="Compact"/>
              <w:jc w:val="left"/>
            </w:pPr>
            <w:r>
              <w:t xml:space="preserve">Yes (escalate; sanitize)</w:t>
            </w:r>
          </w:p>
        </w:tc>
        <w:tc>
          <w:tcPr/>
          <w:p>
            <w:pPr>
              <w:pStyle w:val="Compact"/>
              <w:jc w:val="left"/>
            </w:pPr>
            <w:r>
              <w:t xml:space="preserve">NV</w:t>
            </w:r>
          </w:p>
        </w:tc>
        <w:tc>
          <w:tcPr/>
          <w:p>
            <w:pPr>
              <w:pStyle w:val="Compact"/>
              <w:jc w:val="left"/>
            </w:pPr>
            <w:r>
              <w:t xml:space="preserve">Qualitative only</w:t>
            </w:r>
          </w:p>
        </w:tc>
        <w:tc>
          <w:tcPr/>
          <w:p>
            <w:pPr>
              <w:pStyle w:val="Compact"/>
              <w:jc w:val="left"/>
            </w:pPr>
            <w:r>
              <w:t xml:space="preserve">NR</w:t>
            </w:r>
          </w:p>
        </w:tc>
        <w:tc>
          <w:tcPr/>
          <w:p>
            <w:pPr>
              <w:pStyle w:val="Compact"/>
              <w:jc w:val="left"/>
            </w:pPr>
            <w:r>
              <w:t xml:space="preserve">LIM (PV)</w:t>
            </w:r>
          </w:p>
        </w:tc>
      </w:tr>
      <w:tr>
        <w:tc>
          <w:tcPr/>
          <w:p>
            <w:pPr>
              <w:pStyle w:val="Compact"/>
              <w:jc w:val="left"/>
            </w:pPr>
            <w:r>
              <w:t xml:space="preserve">C. Zhang et al. (analysis)</w:t>
            </w:r>
          </w:p>
        </w:tc>
        <w:tc>
          <w:tcPr/>
          <w:p>
            <w:pPr>
              <w:pStyle w:val="Compact"/>
              <w:jc w:val="left"/>
            </w:pPr>
            <w:r>
              <w:t xml:space="preserve">Action-conditioned intervention value</w:t>
            </w:r>
          </w:p>
        </w:tc>
        <w:tc>
          <w:tcPr/>
          <w:p>
            <w:pPr>
              <w:pStyle w:val="Compact"/>
              <w:jc w:val="left"/>
            </w:pPr>
            <w:r>
              <w:t xml:space="preserve">Analysed (calibration did not reduce regret; PV)</w:t>
            </w:r>
          </w:p>
        </w:tc>
        <w:tc>
          <w:tcPr/>
          <w:p>
            <w:pPr>
              <w:pStyle w:val="Compact"/>
              <w:jc w:val="left"/>
            </w:pPr>
            <w:r>
              <w:t xml:space="preserve">Yes (recoverability)</w:t>
            </w:r>
          </w:p>
        </w:tc>
        <w:tc>
          <w:tcPr/>
          <w:p>
            <w:pPr>
              <w:pStyle w:val="Compact"/>
              <w:jc w:val="left"/>
            </w:pPr>
            <w:r>
              <w:t xml:space="preserve">NA</w:t>
            </w:r>
          </w:p>
        </w:tc>
        <w:tc>
          <w:tcPr/>
          <w:p>
            <w:pPr>
              <w:pStyle w:val="Compact"/>
              <w:jc w:val="left"/>
            </w:pPr>
            <w:r>
              <w:t xml:space="preserve">Regret reported</w:t>
            </w:r>
          </w:p>
        </w:tc>
        <w:tc>
          <w:tcPr/>
          <w:p>
            <w:pPr>
              <w:pStyle w:val="Compact"/>
              <w:jc w:val="left"/>
            </w:pPr>
            <w:r>
              <w:t xml:space="preserve">NR</w:t>
            </w:r>
          </w:p>
        </w:tc>
        <w:tc>
          <w:tcPr/>
          <w:p>
            <w:pPr>
              <w:pStyle w:val="Compact"/>
              <w:jc w:val="left"/>
            </w:pPr>
            <w:r>
              <w:t xml:space="preserve">NR</w:t>
            </w:r>
          </w:p>
        </w:tc>
        <w:tc>
          <w:tcPr/>
          <w:p>
            <w:pPr>
              <w:pStyle w:val="Compact"/>
              <w:jc w:val="left"/>
            </w:pPr>
            <w:r>
              <w:t xml:space="preserve">MOD (PV)</w:t>
            </w:r>
          </w:p>
        </w:tc>
      </w:tr>
      <w:tr>
        <w:tc>
          <w:tcPr/>
          <w:p>
            <w:pPr>
              <w:pStyle w:val="Compact"/>
              <w:jc w:val="left"/>
            </w:pPr>
            <w:r>
              <w:rPr>
                <w:bCs/>
                <w:b/>
              </w:rPr>
              <w:t xml:space="preserve">REM (this thesis; design, Chapter 3)</w:t>
            </w:r>
          </w:p>
        </w:tc>
        <w:tc>
          <w:tcPr/>
          <w:p>
            <w:pPr>
              <w:pStyle w:val="Compact"/>
              <w:jc w:val="left"/>
            </w:pPr>
            <w:r>
              <w:t xml:space="preserve">Calibrated per-step probability with consequence-tier losses in an expected-loss rule</w:t>
            </w:r>
          </w:p>
        </w:tc>
        <w:tc>
          <w:tcPr/>
          <w:p>
            <w:pPr>
              <w:pStyle w:val="Compact"/>
              <w:jc w:val="left"/>
            </w:pPr>
            <w:r>
              <w:t xml:space="preserve">Designed</w:t>
            </w:r>
          </w:p>
        </w:tc>
        <w:tc>
          <w:tcPr/>
          <w:p>
            <w:pPr>
              <w:pStyle w:val="Compact"/>
              <w:jc w:val="left"/>
            </w:pPr>
            <w:r>
              <w:t xml:space="preserve">Designed (declared tiers)</w:t>
            </w:r>
          </w:p>
        </w:tc>
        <w:tc>
          <w:tcPr/>
          <w:p>
            <w:pPr>
              <w:pStyle w:val="Compact"/>
              <w:jc w:val="left"/>
            </w:pPr>
            <w:r>
              <w:t xml:space="preserve">Designed (Escalate; Modify)</w:t>
            </w:r>
          </w:p>
        </w:tc>
        <w:tc>
          <w:tcPr/>
          <w:p>
            <w:pPr>
              <w:pStyle w:val="Compact"/>
              <w:jc w:val="left"/>
            </w:pPr>
            <w:r>
              <w:t xml:space="preserve">Exploratory evaluation (Chapter 5)</w:t>
            </w:r>
          </w:p>
        </w:tc>
        <w:tc>
          <w:tcPr/>
          <w:p>
            <w:pPr>
              <w:pStyle w:val="Compact"/>
              <w:jc w:val="left"/>
            </w:pPr>
            <w:r>
              <w:t xml:space="preserve">Measured (Chapter 5)</w:t>
            </w:r>
          </w:p>
        </w:tc>
        <w:tc>
          <w:tcPr/>
          <w:p>
            <w:pPr>
              <w:pStyle w:val="Compact"/>
              <w:jc w:val="left"/>
            </w:pPr>
            <w:r>
              <w:t xml:space="preserve">AgentDojo Banking</w:t>
            </w:r>
          </w:p>
        </w:tc>
        <w:tc>
          <w:tcPr/>
          <w:p>
            <w:pPr>
              <w:pStyle w:val="Compact"/>
              <w:jc w:val="left"/>
            </w:pPr>
            <w:r>
              <w:t xml:space="preserve">—</w:t>
            </w:r>
          </w:p>
        </w:tc>
      </w:tr>
    </w:tbl>
    <w:p>
      <w:pPr>
        <w:pStyle w:val="BodyText"/>
      </w:pPr>
      <w:r>
        <w:rPr>
          <w:iCs/>
          <w:i/>
        </w:rPr>
        <w:t xml:space="preserve">PV = figure or property unverified (level U: search-engine excerpt only).</w:t>
      </w:r>
    </w:p>
    <w:p>
      <w:pPr>
        <w:pStyle w:val="BodyText"/>
      </w:pPr>
      <w:r>
        <w:rPr>
          <w:bCs/>
          <w:b/>
        </w:rPr>
        <w:t xml:space="preserve">Reading the tables.</w:t>
      </w:r>
    </w:p>
    <w:p>
      <w:pPr>
        <w:pStyle w:val="BodyText"/>
      </w:pPr>
      <w:r>
        <w:rPr>
          <w:iCs/>
          <w:i/>
        </w:rPr>
        <w:t xml:space="preserve">Row by row</w:t>
      </w:r>
      <w:r>
        <w:t xml:space="preserve">, every individual property in REM’s design appears somewhere in the included studies:</w:t>
      </w:r>
    </w:p>
    <w:p>
      <w:pPr>
        <w:numPr>
          <w:ilvl w:val="0"/>
          <w:numId w:val="1093"/>
        </w:numPr>
        <w:pStyle w:val="Compact"/>
      </w:pPr>
      <w:r>
        <w:t xml:space="preserve">calibrated logistic scoring with a four-way intervention set: NEXUS;</w:t>
      </w:r>
    </w:p>
    <w:p>
      <w:pPr>
        <w:numPr>
          <w:ilvl w:val="0"/>
          <w:numId w:val="1093"/>
        </w:numPr>
        <w:pStyle w:val="Compact"/>
      </w:pPr>
      <w:r>
        <w:t xml:space="preserve">pre-execution interception with graduated verdicts and human review: AgentTrust, RTBAS, LATTICE;</w:t>
      </w:r>
    </w:p>
    <w:p>
      <w:pPr>
        <w:numPr>
          <w:ilvl w:val="0"/>
          <w:numId w:val="1093"/>
        </w:numPr>
        <w:pStyle w:val="Compact"/>
      </w:pPr>
      <w:r>
        <w:t xml:space="preserve">consequence-dependent control: H.-H. Chen, NEXUS, SafeAgent;</w:t>
      </w:r>
    </w:p>
    <w:p>
      <w:pPr>
        <w:numPr>
          <w:ilvl w:val="0"/>
          <w:numId w:val="1093"/>
        </w:numPr>
        <w:pStyle w:val="Compact"/>
      </w:pPr>
      <w:r>
        <w:t xml:space="preserve">provenance and cross-step information-flow evidence: ProvenanceGuard, CaMeL, ACE, RTBAS, the MCP policy-enforcement point;</w:t>
      </w:r>
    </w:p>
    <w:p>
      <w:pPr>
        <w:numPr>
          <w:ilvl w:val="0"/>
          <w:numId w:val="1093"/>
        </w:numPr>
        <w:pStyle w:val="Compact"/>
      </w:pPr>
      <w:r>
        <w:t xml:space="preserve">trajectory-aware monitoring: MI9, PRISM, ProbGuard, DreamGuard, ToolSafe, AgentTrust;</w:t>
      </w:r>
    </w:p>
    <w:p>
      <w:pPr>
        <w:numPr>
          <w:ilvl w:val="0"/>
          <w:numId w:val="1093"/>
        </w:numPr>
        <w:pStyle w:val="Compact"/>
      </w:pPr>
      <w:r>
        <w:t xml:space="preserve">latency and component ablation: AgentTrust, NEXUS, the MCP policy-enforcement point;</w:t>
      </w:r>
    </w:p>
    <w:p>
      <w:pPr>
        <w:numPr>
          <w:ilvl w:val="0"/>
          <w:numId w:val="1093"/>
        </w:numPr>
        <w:pStyle w:val="Compact"/>
      </w:pPr>
      <w:r>
        <w:t xml:space="preserve">a financial runtime harness: FinHarness;</w:t>
      </w:r>
    </w:p>
    <w:p>
      <w:pPr>
        <w:numPr>
          <w:ilvl w:val="0"/>
          <w:numId w:val="1093"/>
        </w:numPr>
        <w:pStyle w:val="Compact"/>
      </w:pPr>
      <w:r>
        <w:t xml:space="preserve">the limits of calibration and confidence thresholds for control: C. Zhang et al.; LATTICE.</w:t>
      </w:r>
    </w:p>
    <w:p>
      <w:pPr>
        <w:pStyle w:val="FirstParagraph"/>
      </w:pPr>
      <w:r>
        <w:rPr>
          <w:iCs/>
          <w:i/>
        </w:rPr>
        <w:t xml:space="preserve">Column by column</w:t>
      </w:r>
      <w:r>
        <w:t xml:space="preserve">, the combinations thin out:</w:t>
      </w:r>
    </w:p>
    <w:p>
      <w:pPr>
        <w:numPr>
          <w:ilvl w:val="0"/>
          <w:numId w:val="1094"/>
        </w:numPr>
        <w:pStyle w:val="Compact"/>
      </w:pPr>
      <w:r>
        <w:rPr>
          <w:bCs/>
          <w:b/>
        </w:rPr>
        <w:t xml:space="preserve">NEXUS</w:t>
      </w:r>
      <w:r>
        <w:t xml:space="preserve"> </w:t>
      </w:r>
      <w:r>
        <w:t xml:space="preserve">alone reports a calibrated probability together with costs and a graduated response. It does so at the plan level, on author-generated templates, with fixed intervention costs setting thresholds inside a rule-first cascade.</w:t>
      </w:r>
    </w:p>
    <w:p>
      <w:pPr>
        <w:numPr>
          <w:ilvl w:val="0"/>
          <w:numId w:val="1094"/>
        </w:numPr>
        <w:pStyle w:val="Compact"/>
      </w:pPr>
      <w:r>
        <w:rPr>
          <w:bCs/>
          <w:b/>
        </w:rPr>
        <w:t xml:space="preserve">Provenance evidence</w:t>
      </w:r>
      <w:r>
        <w:t xml:space="preserve">, where its contribution has been measured, feeds rules (the MCP policy-enforcement point) or a detector (ProvenanceGuard), not a probability estimator.</w:t>
      </w:r>
    </w:p>
    <w:p>
      <w:pPr>
        <w:numPr>
          <w:ilvl w:val="0"/>
          <w:numId w:val="1094"/>
        </w:numPr>
        <w:pStyle w:val="Compact"/>
      </w:pPr>
      <w:r>
        <w:rPr>
          <w:bCs/>
          <w:b/>
        </w:rPr>
        <w:t xml:space="preserve">Financial focus</w:t>
      </w:r>
      <w:r>
        <w:t xml:space="preserve"> </w:t>
      </w:r>
      <w:r>
        <w:t xml:space="preserve">appears only in LIMITED EVIDENCE studies.</w:t>
      </w:r>
    </w:p>
    <w:p>
      <w:pPr>
        <w:numPr>
          <w:ilvl w:val="0"/>
          <w:numId w:val="1094"/>
        </w:numPr>
        <w:pStyle w:val="Compact"/>
      </w:pPr>
      <w:r>
        <w:rPr>
          <w:bCs/>
          <w:b/>
        </w:rPr>
        <w:t xml:space="preserve">No included record</w:t>
      </w:r>
      <w:r>
        <w:t xml:space="preserve"> </w:t>
      </w:r>
      <w:r>
        <w:t xml:space="preserve">reports all three of the following together:</w:t>
      </w:r>
    </w:p>
    <w:p>
      <w:pPr>
        <w:numPr>
          <w:ilvl w:val="1"/>
          <w:numId w:val="1095"/>
        </w:numPr>
        <w:pStyle w:val="Compact"/>
      </w:pPr>
      <w:r>
        <w:t xml:space="preserve">a calibrated probability of adversarial induction per proposed tool call;</w:t>
      </w:r>
    </w:p>
    <w:p>
      <w:pPr>
        <w:numPr>
          <w:ilvl w:val="1"/>
          <w:numId w:val="1095"/>
        </w:numPr>
        <w:pStyle w:val="Compact"/>
      </w:pPr>
      <w:r>
        <w:t xml:space="preserve">consequence-dependent losses used to select among graduated responses;</w:t>
      </w:r>
    </w:p>
    <w:p>
      <w:pPr>
        <w:numPr>
          <w:ilvl w:val="1"/>
          <w:numId w:val="1095"/>
        </w:numPr>
        <w:pStyle w:val="Compact"/>
      </w:pPr>
      <w:r>
        <w:t xml:space="preserve">evaluation on an executable financial environment with utility, intervention behavior and latency reported.</w:t>
      </w:r>
    </w:p>
    <w:p>
      <w:pPr>
        <w:numPr>
          <w:ilvl w:val="0"/>
          <w:numId w:val="1000"/>
        </w:numPr>
        <w:pStyle w:val="Compact"/>
      </w:pPr>
      <w:r>
        <w:t xml:space="preserve">This observation concerns the</w:t>
      </w:r>
      <w:r>
        <w:t xml:space="preserve"> </w:t>
      </w:r>
      <w:r>
        <w:rPr>
          <w:iCs/>
          <w:i/>
        </w:rPr>
        <w:t xml:space="preserve">records</w:t>
      </w:r>
      <w:r>
        <w:t xml:space="preserve"> </w:t>
      </w:r>
      <w:r>
        <w:t xml:space="preserve">examined. A combination this specific is easy to miss in a record-level review and is weak evidence of originality on its own (Section 2.13.2).</w:t>
      </w:r>
    </w:p>
    <w:p>
      <w:r>
        <w:pict>
          <v:rect style="width:0;height:1.5pt" o:hralign="center" o:hrstd="t" o:hr="t"/>
        </w:pict>
      </w:r>
    </w:p>
    <w:bookmarkEnd w:id="87"/>
    <w:bookmarkStart w:id="88" w:name="critical-synthesis"/>
    <w:p>
      <w:pPr>
        <w:pStyle w:val="Heading2"/>
      </w:pPr>
      <w:r>
        <w:t xml:space="preserve">2.12 Critical Synthesis</w:t>
      </w:r>
    </w:p>
    <w:p>
      <w:pPr>
        <w:pStyle w:val="FirstParagraph"/>
      </w:pPr>
      <w:r>
        <w:t xml:space="preserve">This section draws the thematic syntheses together (Table 2.10) and then states what the systematic evidence does and does not support.</w:t>
      </w:r>
    </w:p>
    <w:p>
      <w:pPr>
        <w:pStyle w:val="BodyText"/>
      </w:pPr>
      <w:r>
        <w:rPr>
          <w:bCs/>
          <w:b/>
        </w:rPr>
        <w:t xml:space="preserve">Table 2.10. Thematic synthesis of the included evidence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Theme</w:t>
            </w:r>
          </w:p>
        </w:tc>
        <w:tc>
          <w:tcPr/>
          <w:p>
            <w:pPr>
              <w:pStyle w:val="Compact"/>
              <w:jc w:val="left"/>
            </w:pPr>
            <w:r>
              <w:t xml:space="preserve">What the literature establishes</w:t>
            </w:r>
          </w:p>
        </w:tc>
        <w:tc>
          <w:tcPr/>
          <w:p>
            <w:pPr>
              <w:pStyle w:val="Compact"/>
              <w:jc w:val="left"/>
            </w:pPr>
            <w:r>
              <w:t xml:space="preserve">What is uncertain</w:t>
            </w:r>
          </w:p>
        </w:tc>
        <w:tc>
          <w:tcPr/>
          <w:p>
            <w:pPr>
              <w:pStyle w:val="Compact"/>
              <w:jc w:val="left"/>
            </w:pPr>
            <w:r>
              <w:t xml:space="preserve">What is under-evaluated</w:t>
            </w:r>
          </w:p>
        </w:tc>
        <w:tc>
          <w:tcPr/>
          <w:p>
            <w:pPr>
              <w:pStyle w:val="Compact"/>
              <w:jc w:val="left"/>
            </w:pPr>
            <w:r>
              <w:t xml:space="preserve">What differs across studies</w:t>
            </w:r>
          </w:p>
        </w:tc>
        <w:tc>
          <w:tcPr/>
          <w:p>
            <w:pPr>
              <w:pStyle w:val="Compact"/>
              <w:jc w:val="left"/>
            </w:pPr>
            <w:r>
              <w:t xml:space="preserve">Implication for REM</w:t>
            </w:r>
          </w:p>
        </w:tc>
      </w:tr>
      <w:tr>
        <w:tc>
          <w:tcPr/>
          <w:p>
            <w:pPr>
              <w:pStyle w:val="Compact"/>
              <w:jc w:val="left"/>
            </w:pPr>
            <w:r>
              <w:t xml:space="preserve">1 Threats</w:t>
            </w:r>
          </w:p>
        </w:tc>
        <w:tc>
          <w:tcPr/>
          <w:p>
            <w:pPr>
              <w:pStyle w:val="Compact"/>
              <w:jc w:val="left"/>
            </w:pPr>
            <w:r>
              <w:t xml:space="preserve">Indirect injection is demonstrated, benchmarked and adaptive; defenses of the time were bypassed</w:t>
            </w:r>
          </w:p>
        </w:tc>
        <w:tc>
          <w:tcPr/>
          <w:p>
            <w:pPr>
              <w:pStyle w:val="Compact"/>
              <w:jc w:val="left"/>
            </w:pPr>
            <w:r>
              <w:t xml:space="preserve">Magnitude: 24% to 84.30% average ASR across benchmarks</w:t>
            </w:r>
          </w:p>
        </w:tc>
        <w:tc>
          <w:tcPr/>
          <w:p>
            <w:pPr>
              <w:pStyle w:val="Compact"/>
              <w:jc w:val="left"/>
            </w:pPr>
            <w:r>
              <w:t xml:space="preserve">Tool-metadata, tool-library, skill and MCP-server threats against runtime defenses</w:t>
            </w:r>
          </w:p>
        </w:tc>
        <w:tc>
          <w:tcPr/>
          <w:p>
            <w:pPr>
              <w:pStyle w:val="Compact"/>
              <w:jc w:val="left"/>
            </w:pPr>
            <w:r>
              <w:t xml:space="preserve">Threat actor and success criterion</w:t>
            </w:r>
          </w:p>
        </w:tc>
        <w:tc>
          <w:tcPr/>
          <w:p>
            <w:pPr>
              <w:pStyle w:val="Compact"/>
              <w:jc w:val="left"/>
            </w:pPr>
            <w:r>
              <w:t xml:space="preserve">Focus on indirect injection; state other classes as out of scope</w:t>
            </w:r>
          </w:p>
        </w:tc>
      </w:tr>
      <w:tr>
        <w:tc>
          <w:tcPr/>
          <w:p>
            <w:pPr>
              <w:pStyle w:val="Compact"/>
              <w:jc w:val="left"/>
            </w:pPr>
            <w:r>
              <w:t xml:space="preserve">2 Entry points</w:t>
            </w:r>
          </w:p>
        </w:tc>
        <w:tc>
          <w:tcPr/>
          <w:p>
            <w:pPr>
              <w:pStyle w:val="Compact"/>
              <w:jc w:val="left"/>
            </w:pPr>
            <w:r>
              <w:t xml:space="preserve">The observation channel (tool outputs, retrieved content, tool metadata) is the decisive entry for tool-using agents</w:t>
            </w:r>
          </w:p>
        </w:tc>
        <w:tc>
          <w:tcPr/>
          <w:p>
            <w:pPr>
              <w:pStyle w:val="Compact"/>
              <w:jc w:val="left"/>
            </w:pPr>
            <w:r>
              <w:t xml:space="preserve">Relative danger of channels (skills &gt; email/web in one study)</w:t>
            </w:r>
          </w:p>
        </w:tc>
        <w:tc>
          <w:tcPr/>
          <w:p>
            <w:pPr>
              <w:pStyle w:val="Compact"/>
              <w:jc w:val="left"/>
            </w:pPr>
            <w:r>
              <w:t xml:space="preserve">Defenses against setup-time channels</w:t>
            </w:r>
          </w:p>
        </w:tc>
        <w:tc>
          <w:tcPr/>
          <w:p>
            <w:pPr>
              <w:pStyle w:val="Compact"/>
              <w:jc w:val="left"/>
            </w:pPr>
            <w:r>
              <w:t xml:space="preserve">Which channel each benchmark exercises</w:t>
            </w:r>
          </w:p>
        </w:tc>
        <w:tc>
          <w:tcPr/>
          <w:p>
            <w:pPr>
              <w:pStyle w:val="Compact"/>
              <w:jc w:val="left"/>
            </w:pPr>
            <w:r>
              <w:t xml:space="preserve">Mediate at the action, where all channels converge</w:t>
            </w:r>
          </w:p>
        </w:tc>
      </w:tr>
      <w:tr>
        <w:tc>
          <w:tcPr/>
          <w:p>
            <w:pPr>
              <w:pStyle w:val="Compact"/>
              <w:jc w:val="left"/>
            </w:pPr>
            <w:r>
              <w:t xml:space="preserve">3 Observation granularity</w:t>
            </w:r>
          </w:p>
        </w:tc>
        <w:tc>
          <w:tcPr/>
          <w:p>
            <w:pPr>
              <w:pStyle w:val="Compact"/>
              <w:jc w:val="left"/>
            </w:pPr>
            <w:r>
              <w:t xml:space="preserve">Input, call, plan, data-flow and trajectory units all implemented</w:t>
            </w:r>
          </w:p>
        </w:tc>
        <w:tc>
          <w:tcPr/>
          <w:p>
            <w:pPr>
              <w:pStyle w:val="Compact"/>
              <w:jc w:val="left"/>
            </w:pPr>
            <w:r>
              <w:t xml:space="preserve">Which unit gives the best security–utility trade-off</w:t>
            </w:r>
          </w:p>
        </w:tc>
        <w:tc>
          <w:tcPr/>
          <w:p>
            <w:pPr>
              <w:pStyle w:val="Compact"/>
              <w:jc w:val="left"/>
            </w:pPr>
            <w:r>
              <w:t xml:space="preserve">Head-to-head comparisons on a shared workload</w:t>
            </w:r>
          </w:p>
        </w:tc>
        <w:tc>
          <w:tcPr/>
          <w:p>
            <w:pPr>
              <w:pStyle w:val="Compact"/>
              <w:jc w:val="left"/>
            </w:pPr>
            <w:r>
              <w:t xml:space="preserve">Unit observed; question asked</w:t>
            </w:r>
          </w:p>
        </w:tc>
        <w:tc>
          <w:tcPr/>
          <w:p>
            <w:pPr>
              <w:pStyle w:val="Compact"/>
              <w:jc w:val="left"/>
            </w:pPr>
            <w:r>
              <w:t xml:space="preserve">Per-call observation with provenance context is a defensible, not novel, choice</w:t>
            </w:r>
          </w:p>
        </w:tc>
      </w:tr>
      <w:tr>
        <w:tc>
          <w:tcPr/>
          <w:p>
            <w:pPr>
              <w:pStyle w:val="Compact"/>
              <w:jc w:val="left"/>
            </w:pPr>
            <w:r>
              <w:t xml:space="preserve">4 Runtime intervention</w:t>
            </w:r>
          </w:p>
        </w:tc>
        <w:tc>
          <w:tcPr/>
          <w:p>
            <w:pPr>
              <w:pStyle w:val="Compact"/>
              <w:jc w:val="left"/>
            </w:pPr>
            <w:r>
              <w:t xml:space="preserve">Interception at the tool boundary is widespread (41/42 runtime; 34/42 tool/action) and fast</w:t>
            </w:r>
          </w:p>
        </w:tc>
        <w:tc>
          <w:tcPr/>
          <w:p>
            <w:pPr>
              <w:pStyle w:val="Compact"/>
              <w:jc w:val="left"/>
            </w:pPr>
            <w:r>
              <w:t xml:space="preserve">Robustness to adaptive attacks</w:t>
            </w:r>
          </w:p>
        </w:tc>
        <w:tc>
          <w:tcPr/>
          <w:p>
            <w:pPr>
              <w:pStyle w:val="Compact"/>
              <w:jc w:val="left"/>
            </w:pPr>
            <w:r>
              <w:t xml:space="preserve">Evaluation on benchmarks the authors did not build</w:t>
            </w:r>
          </w:p>
        </w:tc>
        <w:tc>
          <w:tcPr/>
          <w:p>
            <w:pPr>
              <w:pStyle w:val="Compact"/>
              <w:jc w:val="left"/>
            </w:pPr>
            <w:r>
              <w:t xml:space="preserve">Permission vs. alignment vs. provenance vs. harm</w:t>
            </w:r>
          </w:p>
        </w:tc>
        <w:tc>
          <w:tcPr/>
          <w:p>
            <w:pPr>
              <w:pStyle w:val="Compact"/>
              <w:jc w:val="left"/>
            </w:pPr>
            <w:r>
              <w:t xml:space="preserve">REM cannot claim interception</w:t>
            </w:r>
          </w:p>
        </w:tc>
      </w:tr>
      <w:tr>
        <w:tc>
          <w:tcPr/>
          <w:p>
            <w:pPr>
              <w:pStyle w:val="Compact"/>
              <w:jc w:val="left"/>
            </w:pPr>
            <w:r>
              <w:t xml:space="preserve">5 Behavioral / trajectory evidence</w:t>
            </w:r>
          </w:p>
        </w:tc>
        <w:tc>
          <w:tcPr/>
          <w:p>
            <w:pPr>
              <w:pStyle w:val="Compact"/>
              <w:jc w:val="left"/>
            </w:pPr>
            <w:r>
              <w:t xml:space="preserve">Many monitors model sequences (17/42 behavioral; 21/42 multi-step)</w:t>
            </w:r>
          </w:p>
        </w:tc>
        <w:tc>
          <w:tcPr/>
          <w:p>
            <w:pPr>
              <w:pStyle w:val="Compact"/>
              <w:jc w:val="left"/>
            </w:pPr>
            <w:r>
              <w:t xml:space="preserve">Contribution: one null ablation (session tracker)</w:t>
            </w:r>
          </w:p>
        </w:tc>
        <w:tc>
          <w:tcPr/>
          <w:p>
            <w:pPr>
              <w:pStyle w:val="Compact"/>
              <w:jc w:val="left"/>
            </w:pPr>
            <w:r>
              <w:t xml:space="preserve">Contribution inside a probabilistic estimator; financial settings</w:t>
            </w:r>
          </w:p>
        </w:tc>
        <w:tc>
          <w:tcPr/>
          <w:p>
            <w:pPr>
              <w:pStyle w:val="Compact"/>
              <w:jc w:val="left"/>
            </w:pPr>
            <w:r>
              <w:t xml:space="preserve">Automata, Markov chains, latent states, heuristics</w:t>
            </w:r>
          </w:p>
        </w:tc>
        <w:tc>
          <w:tcPr/>
          <w:p>
            <w:pPr>
              <w:pStyle w:val="Compact"/>
              <w:jc w:val="left"/>
            </w:pPr>
            <w:r>
              <w:t xml:space="preserve">Measure and report the contribution; do not assume it</w:t>
            </w:r>
          </w:p>
        </w:tc>
      </w:tr>
      <w:tr>
        <w:tc>
          <w:tcPr/>
          <w:p>
            <w:pPr>
              <w:pStyle w:val="Compact"/>
              <w:jc w:val="left"/>
            </w:pPr>
            <w:r>
              <w:t xml:space="preserve">6 Provenance / goal–action consistency</w:t>
            </w:r>
          </w:p>
        </w:tc>
        <w:tc>
          <w:tcPr/>
          <w:p>
            <w:pPr>
              <w:pStyle w:val="Compact"/>
              <w:jc w:val="left"/>
            </w:pPr>
            <w:r>
              <w:t xml:space="preserve">Informative against injected or misaligned calls; cross-step labels had a 26.4-point effect in one study</w:t>
            </w:r>
          </w:p>
        </w:tc>
        <w:tc>
          <w:tcPr/>
          <w:p>
            <w:pPr>
              <w:pStyle w:val="Compact"/>
              <w:jc w:val="left"/>
            </w:pPr>
            <w:r>
              <w:t xml:space="preserve">Whether the effect generalizes beyond the authors’ datasets</w:t>
            </w:r>
          </w:p>
        </w:tc>
        <w:tc>
          <w:tcPr/>
          <w:p>
            <w:pPr>
              <w:pStyle w:val="Compact"/>
              <w:jc w:val="left"/>
            </w:pPr>
            <w:r>
              <w:t xml:space="preserve">Provenance as input to a calibrated estimator; financial arguments</w:t>
            </w:r>
          </w:p>
        </w:tc>
        <w:tc>
          <w:tcPr/>
          <w:p>
            <w:pPr>
              <w:pStyle w:val="Compact"/>
              <w:jc w:val="left"/>
            </w:pPr>
            <w:r>
              <w:t xml:space="preserve">Obtained by analysis, construction or labels</w:t>
            </w:r>
          </w:p>
        </w:tc>
        <w:tc>
          <w:tcPr/>
          <w:p>
            <w:pPr>
              <w:pStyle w:val="Compact"/>
              <w:jc w:val="left"/>
            </w:pPr>
            <w:r>
              <w:t xml:space="preserve">Use as estimator input; test the contribution</w:t>
            </w:r>
          </w:p>
        </w:tc>
      </w:tr>
      <w:tr>
        <w:tc>
          <w:tcPr/>
          <w:p>
            <w:pPr>
              <w:pStyle w:val="Compact"/>
              <w:jc w:val="left"/>
            </w:pPr>
            <w:r>
              <w:t xml:space="preserve">7 Statistical / algorithmic methods</w:t>
            </w:r>
          </w:p>
        </w:tc>
        <w:tc>
          <w:tcPr/>
          <w:p>
            <w:pPr>
              <w:pStyle w:val="Compact"/>
              <w:jc w:val="left"/>
            </w:pPr>
            <w:r>
              <w:t xml:space="preserve">Logistic scoring, calibration, expected cost, reject option and attribution are established; one agent-safety precedent (NEXUS)</w:t>
            </w:r>
          </w:p>
        </w:tc>
        <w:tc>
          <w:tcPr/>
          <w:p>
            <w:pPr>
              <w:pStyle w:val="Compact"/>
              <w:jc w:val="left"/>
            </w:pPr>
            <w:r>
              <w:t xml:space="preserve">Behaviour in combination at the action boundary</w:t>
            </w:r>
          </w:p>
        </w:tc>
        <w:tc>
          <w:tcPr/>
          <w:p>
            <w:pPr>
              <w:pStyle w:val="Compact"/>
              <w:jc w:val="left"/>
            </w:pPr>
            <w:r>
              <w:t xml:space="preserve">Calibration of agent-safety probabilities; calibration vs. control</w:t>
            </w:r>
          </w:p>
        </w:tc>
        <w:tc>
          <w:tcPr/>
          <w:p>
            <w:pPr>
              <w:pStyle w:val="Compact"/>
              <w:jc w:val="left"/>
            </w:pPr>
            <w:r>
              <w:t xml:space="preserve">How probabilities are produced</w:t>
            </w:r>
          </w:p>
        </w:tc>
        <w:tc>
          <w:tcPr/>
          <w:p>
            <w:pPr>
              <w:pStyle w:val="Compact"/>
              <w:jc w:val="left"/>
            </w:pPr>
            <w:r>
              <w:t xml:space="preserve">Adopted methods; report calibration separately from control</w:t>
            </w:r>
          </w:p>
        </w:tc>
      </w:tr>
      <w:tr>
        <w:tc>
          <w:tcPr/>
          <w:p>
            <w:pPr>
              <w:pStyle w:val="Compact"/>
              <w:jc w:val="left"/>
            </w:pPr>
            <w:r>
              <w:t xml:space="preserve">8 Decision and consequence</w:t>
            </w:r>
          </w:p>
        </w:tc>
        <w:tc>
          <w:tcPr/>
          <w:p>
            <w:pPr>
              <w:pStyle w:val="Compact"/>
              <w:jc w:val="left"/>
            </w:pPr>
            <w:r>
              <w:t xml:space="preserve">Graduated responses and consequence information are common</w:t>
            </w:r>
          </w:p>
        </w:tc>
        <w:tc>
          <w:tcPr/>
          <w:p>
            <w:pPr>
              <w:pStyle w:val="Compact"/>
              <w:jc w:val="left"/>
            </w:pPr>
            <w:r>
              <w:t xml:space="preserve">How to combine an induction probability with a declared consequence</w:t>
            </w:r>
          </w:p>
        </w:tc>
        <w:tc>
          <w:tcPr/>
          <w:p>
            <w:pPr>
              <w:pStyle w:val="Compact"/>
              <w:jc w:val="left"/>
            </w:pPr>
            <w:r>
              <w:t xml:space="preserve">Intervention rates; per-response effectiveness</w:t>
            </w:r>
          </w:p>
        </w:tc>
        <w:tc>
          <w:tcPr/>
          <w:p>
            <w:pPr>
              <w:pStyle w:val="Compact"/>
              <w:jc w:val="left"/>
            </w:pPr>
            <w:r>
              <w:t xml:space="preserve">Fixed costs, pricing, rules, judge dimensions</w:t>
            </w:r>
          </w:p>
        </w:tc>
        <w:tc>
          <w:tcPr/>
          <w:p>
            <w:pPr>
              <w:pStyle w:val="Compact"/>
              <w:jc w:val="left"/>
            </w:pPr>
            <w:r>
              <w:t xml:space="preserve">Test the combination against a same-estimator consequence-independent baseline</w:t>
            </w:r>
          </w:p>
        </w:tc>
      </w:tr>
      <w:tr>
        <w:tc>
          <w:tcPr/>
          <w:p>
            <w:pPr>
              <w:pStyle w:val="Compact"/>
              <w:jc w:val="left"/>
            </w:pPr>
            <w:r>
              <w:t xml:space="preserve">9 Mitigation</w:t>
            </w:r>
          </w:p>
        </w:tc>
        <w:tc>
          <w:tcPr/>
          <w:p>
            <w:pPr>
              <w:pStyle w:val="Compact"/>
              <w:jc w:val="left"/>
            </w:pPr>
            <w:r>
              <w:t xml:space="preserve">Block, modify, escalate, restrict, roll back and undo all implemented</w:t>
            </w:r>
          </w:p>
        </w:tc>
        <w:tc>
          <w:tcPr/>
          <w:p>
            <w:pPr>
              <w:pStyle w:val="Compact"/>
              <w:jc w:val="left"/>
            </w:pPr>
            <w:r>
              <w:t xml:space="preserve">Effectiveness of each response once chosen</w:t>
            </w:r>
          </w:p>
        </w:tc>
        <w:tc>
          <w:tcPr/>
          <w:p>
            <w:pPr>
              <w:pStyle w:val="Compact"/>
              <w:jc w:val="left"/>
            </w:pPr>
            <w:r>
              <w:t xml:space="preserve">Residual risk after modify-type responses</w:t>
            </w:r>
          </w:p>
        </w:tc>
        <w:tc>
          <w:tcPr/>
          <w:p>
            <w:pPr>
              <w:pStyle w:val="Compact"/>
              <w:jc w:val="left"/>
            </w:pPr>
            <w:r>
              <w:t xml:space="preserve">Meaning of</w:t>
            </w:r>
            <w:r>
              <w:t xml:space="preserve"> </w:t>
            </w:r>
            <w:r>
              <w:t xml:space="preserve">“</w:t>
            </w:r>
            <w:r>
              <w:t xml:space="preserve">escalate</w:t>
            </w:r>
            <w:r>
              <w:t xml:space="preserve">”</w:t>
            </w:r>
            <w:r>
              <w:t xml:space="preserve"> </w:t>
            </w:r>
            <w:r>
              <w:t xml:space="preserve">(human vs. stronger judge) and</w:t>
            </w:r>
            <w:r>
              <w:t xml:space="preserve"> </w:t>
            </w:r>
            <w:r>
              <w:t xml:space="preserve">“</w:t>
            </w:r>
            <w:r>
              <w:t xml:space="preserve">modify</w:t>
            </w:r>
            <w:r>
              <w:t xml:space="preserve">”</w:t>
            </w:r>
          </w:p>
        </w:tc>
        <w:tc>
          <w:tcPr/>
          <w:p>
            <w:pPr>
              <w:pStyle w:val="Compact"/>
              <w:jc w:val="left"/>
            </w:pPr>
            <w:r>
              <w:t xml:space="preserve">Report residual attack success and escalation rate; SC-1 and SC-2 remain open</w:t>
            </w:r>
          </w:p>
        </w:tc>
      </w:tr>
      <w:tr>
        <w:tc>
          <w:tcPr/>
          <w:p>
            <w:pPr>
              <w:pStyle w:val="Compact"/>
              <w:jc w:val="left"/>
            </w:pPr>
            <w:r>
              <w:t xml:space="preserve">10 Financial evidence</w:t>
            </w:r>
          </w:p>
        </w:tc>
        <w:tc>
          <w:tcPr/>
          <w:p>
            <w:pPr>
              <w:pStyle w:val="Compact"/>
              <w:jc w:val="left"/>
            </w:pPr>
            <w:r>
              <w:t xml:space="preserve">Financial actions lie within general benchmarks’ attack surface; one financial harness exists</w:t>
            </w:r>
          </w:p>
        </w:tc>
        <w:tc>
          <w:tcPr/>
          <w:p>
            <w:pPr>
              <w:pStyle w:val="Compact"/>
              <w:jc w:val="left"/>
            </w:pPr>
            <w:r>
              <w:t xml:space="preserve">Defense performance on financial actions</w:t>
            </w:r>
          </w:p>
        </w:tc>
        <w:tc>
          <w:tcPr/>
          <w:p>
            <w:pPr>
              <w:pStyle w:val="Compact"/>
              <w:jc w:val="left"/>
            </w:pPr>
            <w:r>
              <w:t xml:space="preserve">Every financial-context study is LIMITED EVIDENCE; key figures were measured on a benchmark withdrawn for non-scientific reasons and cannot be confirmed</w:t>
            </w:r>
          </w:p>
        </w:tc>
        <w:tc>
          <w:tcPr/>
          <w:p>
            <w:pPr>
              <w:pStyle w:val="Compact"/>
              <w:jc w:val="left"/>
            </w:pPr>
            <w:r>
              <w:t xml:space="preserve">Chatbot firewall, position paper, actuarial framework, judge harness</w:t>
            </w:r>
          </w:p>
        </w:tc>
        <w:tc>
          <w:tcPr/>
          <w:p>
            <w:pPr>
              <w:pStyle w:val="Compact"/>
              <w:jc w:val="left"/>
            </w:pPr>
            <w:r>
              <w:t xml:space="preserve">Report results per financial action type and consequence tier</w:t>
            </w:r>
          </w:p>
        </w:tc>
      </w:tr>
      <w:tr>
        <w:tc>
          <w:tcPr/>
          <w:p>
            <w:pPr>
              <w:pStyle w:val="Compact"/>
              <w:jc w:val="left"/>
            </w:pPr>
            <w:r>
              <w:t xml:space="preserve">11 Evaluation quality</w:t>
            </w:r>
          </w:p>
        </w:tc>
        <w:tc>
          <w:tcPr/>
          <w:p>
            <w:pPr>
              <w:pStyle w:val="Compact"/>
              <w:jc w:val="left"/>
            </w:pPr>
            <w:r>
              <w:t xml:space="preserve">Results are benchmark-specific; many benchmarks are built with the defense they evaluate</w:t>
            </w:r>
          </w:p>
        </w:tc>
        <w:tc>
          <w:tcPr/>
          <w:p>
            <w:pPr>
              <w:pStyle w:val="Compact"/>
              <w:jc w:val="left"/>
            </w:pPr>
            <w:r>
              <w:t xml:space="preserve">Multi-step content of benchmarks</w:t>
            </w:r>
          </w:p>
        </w:tc>
        <w:tc>
          <w:tcPr/>
          <w:p>
            <w:pPr>
              <w:pStyle w:val="Compact"/>
              <w:jc w:val="left"/>
            </w:pPr>
            <w:r>
              <w:t xml:space="preserve">Independent evaluation; decomposition into security, utility, intervention, calibration and latency</w:t>
            </w:r>
          </w:p>
        </w:tc>
        <w:tc>
          <w:tcPr/>
          <w:p>
            <w:pPr>
              <w:pStyle w:val="Compact"/>
              <w:jc w:val="left"/>
            </w:pPr>
            <w:r>
              <w:t xml:space="preserve">Metrics and baselines</w:t>
            </w:r>
          </w:p>
        </w:tc>
        <w:tc>
          <w:tcPr/>
          <w:p>
            <w:pPr>
              <w:pStyle w:val="Compact"/>
              <w:jc w:val="left"/>
            </w:pPr>
            <w:r>
              <w:t xml:space="preserve">Per-benchmark reporting with benign utility, intervention rates, calibration and latency</w:t>
            </w:r>
          </w:p>
        </w:tc>
      </w:tr>
    </w:tbl>
    <w:p>
      <w:pPr>
        <w:pStyle w:val="BodyText"/>
      </w:pPr>
      <w:r>
        <w:rPr>
          <w:bCs/>
          <w:b/>
        </w:rPr>
        <w:t xml:space="preserve">What is well addressed.</w:t>
      </w:r>
    </w:p>
    <w:p>
      <w:pPr>
        <w:numPr>
          <w:ilvl w:val="0"/>
          <w:numId w:val="1096"/>
        </w:numPr>
        <w:pStyle w:val="Compact"/>
      </w:pPr>
      <w:r>
        <w:t xml:space="preserve">Threats are well characterized and benchmarked.</w:t>
      </w:r>
    </w:p>
    <w:p>
      <w:pPr>
        <w:numPr>
          <w:ilvl w:val="0"/>
          <w:numId w:val="1096"/>
        </w:numPr>
        <w:pStyle w:val="Compact"/>
      </w:pPr>
      <w:r>
        <w:t xml:space="preserve">Interception at the tool-call boundary is implemented in many forms, and deterministic enforcement is fast.</w:t>
      </w:r>
    </w:p>
    <w:p>
      <w:pPr>
        <w:numPr>
          <w:ilvl w:val="0"/>
          <w:numId w:val="1096"/>
        </w:numPr>
        <w:pStyle w:val="Compact"/>
      </w:pPr>
      <w:r>
        <w:t xml:space="preserve">Graduated responses, including human review, are standard.</w:t>
      </w:r>
    </w:p>
    <w:p>
      <w:pPr>
        <w:numPr>
          <w:ilvl w:val="0"/>
          <w:numId w:val="1096"/>
        </w:numPr>
        <w:pStyle w:val="Compact"/>
      </w:pPr>
      <w:r>
        <w:t xml:space="preserve">Architectural defenses offer formal guarantees for the threats they formalize.</w:t>
      </w:r>
    </w:p>
    <w:p>
      <w:pPr>
        <w:numPr>
          <w:ilvl w:val="0"/>
          <w:numId w:val="1096"/>
        </w:numPr>
        <w:pStyle w:val="Compact"/>
      </w:pPr>
      <w:r>
        <w:t xml:space="preserve">Calibration methods are mature and have one agent-safety application.</w:t>
      </w:r>
    </w:p>
    <w:p>
      <w:pPr>
        <w:pStyle w:val="FirstParagraph"/>
      </w:pPr>
      <w:r>
        <w:rPr>
          <w:bCs/>
          <w:b/>
        </w:rPr>
        <w:t xml:space="preserve">What remains fragmented.</w:t>
      </w:r>
      <w:r>
        <w:t xml:space="preserve"> </w:t>
      </w:r>
      <w:r>
        <w:t xml:space="preserve">The pieces of a probabilistic, consequence-aware decision exist, but in different studies:</w:t>
      </w:r>
    </w:p>
    <w:p>
      <w:pPr>
        <w:numPr>
          <w:ilvl w:val="0"/>
          <w:numId w:val="1097"/>
        </w:numPr>
        <w:pStyle w:val="Compact"/>
      </w:pPr>
      <w:r>
        <w:t xml:space="preserve">a calibrated score with fixed-cost thresholds in a plan-level cascade (NEXUS);</w:t>
      </w:r>
    </w:p>
    <w:p>
      <w:pPr>
        <w:numPr>
          <w:ilvl w:val="0"/>
          <w:numId w:val="1097"/>
        </w:numPr>
        <w:pStyle w:val="Compact"/>
      </w:pPr>
      <w:r>
        <w:t xml:space="preserve">deterministic consequence pricing that ignores how an action arose (H.-H. Chen);</w:t>
      </w:r>
    </w:p>
    <w:p>
      <w:pPr>
        <w:numPr>
          <w:ilvl w:val="0"/>
          <w:numId w:val="1097"/>
        </w:numPr>
        <w:pStyle w:val="Compact"/>
      </w:pPr>
      <w:r>
        <w:t xml:space="preserve">consequence reasoning realized by LLM operators (SafeAgent);</w:t>
      </w:r>
    </w:p>
    <w:p>
      <w:pPr>
        <w:numPr>
          <w:ilvl w:val="0"/>
          <w:numId w:val="1097"/>
        </w:numPr>
        <w:pStyle w:val="Compact"/>
      </w:pPr>
      <w:r>
        <w:t xml:space="preserve">provenance evidence feeding rules or a detector (the MCP policy-enforcement point; ProvenanceGuard);</w:t>
      </w:r>
    </w:p>
    <w:p>
      <w:pPr>
        <w:numPr>
          <w:ilvl w:val="0"/>
          <w:numId w:val="1097"/>
        </w:numPr>
        <w:pStyle w:val="Compact"/>
      </w:pPr>
      <w:r>
        <w:t xml:space="preserve">financial focus in a judge cascade evaluated on a benchmark that is no longer publicly maintained (FinHarness).</w:t>
      </w:r>
    </w:p>
    <w:p>
      <w:pPr>
        <w:pStyle w:val="FirstParagraph"/>
      </w:pPr>
      <w:r>
        <w:rPr>
          <w:bCs/>
          <w:b/>
        </w:rPr>
        <w:t xml:space="preserve">Conflicting evidence, presented rather than resolved.</w:t>
      </w:r>
    </w:p>
    <w:p>
      <w:pPr>
        <w:numPr>
          <w:ilvl w:val="0"/>
          <w:numId w:val="1098"/>
        </w:numPr>
        <w:pStyle w:val="Compact"/>
      </w:pPr>
      <w:r>
        <w:rPr>
          <w:bCs/>
          <w:b/>
        </w:rPr>
        <w:t xml:space="preserve">Value of trajectory evidence.</w:t>
      </w:r>
      <w:r>
        <w:t xml:space="preserve"> </w:t>
      </w:r>
      <w:r>
        <w:t xml:space="preserve">The AgentTrust ablation reportedly found no effect of a session tracker (level U). The MCP policy-enforcement point found a large effect of cross-step labels. The kind of trajectory evidence differs, and both are single studies.</w:t>
      </w:r>
    </w:p>
    <w:p>
      <w:pPr>
        <w:numPr>
          <w:ilvl w:val="0"/>
          <w:numId w:val="1098"/>
        </w:numPr>
        <w:pStyle w:val="Compact"/>
      </w:pPr>
      <w:r>
        <w:rPr>
          <w:bCs/>
          <w:b/>
        </w:rPr>
        <w:t xml:space="preserve">Architectural guarantees.</w:t>
      </w:r>
      <w:r>
        <w:t xml:space="preserve"> </w:t>
      </w:r>
      <w:r>
        <w:t xml:space="preserve">IsolateGPT reports protection against the attacks it tested, and ACE later defeats it with new attacks.</w:t>
      </w:r>
    </w:p>
    <w:p>
      <w:pPr>
        <w:numPr>
          <w:ilvl w:val="0"/>
          <w:numId w:val="1098"/>
        </w:numPr>
        <w:pStyle w:val="Compact"/>
      </w:pPr>
      <w:r>
        <w:rPr>
          <w:bCs/>
          <w:b/>
        </w:rPr>
        <w:t xml:space="preserve">Calibration as a remedy.</w:t>
      </w:r>
      <w:r>
        <w:t xml:space="preserve"> </w:t>
      </w:r>
      <w:r>
        <w:t xml:space="preserve">NEXUS reports a large ECE improvement. C. Zhang et al. report that a similar improvement left control regret unchanged. LATTICE reports that a confidence threshold’s false-allow rate ranged from 0.03 to 0.998 across planners.</w:t>
      </w:r>
    </w:p>
    <w:p>
      <w:pPr>
        <w:numPr>
          <w:ilvl w:val="0"/>
          <w:numId w:val="1098"/>
        </w:numPr>
        <w:pStyle w:val="Compact"/>
      </w:pPr>
      <w:r>
        <w:rPr>
          <w:bCs/>
          <w:b/>
        </w:rPr>
        <w:t xml:space="preserve">Safety figures versus utility.</w:t>
      </w:r>
      <w:r>
        <w:t xml:space="preserve"> </w:t>
      </w:r>
      <w:r>
        <w:t xml:space="preserve">LATTICE’s zero false-allow was obtained at an operating point that auto-allowed no action. The MCP policy-enforcement point’s attack-success reduction came with a 30.0% task-level false-positive rate. A safety figure alone is therefore not evidence of a usable defense.</w:t>
      </w:r>
    </w:p>
    <w:p>
      <w:pPr>
        <w:pStyle w:val="FirstParagraph"/>
      </w:pPr>
      <w:r>
        <w:rPr>
          <w:bCs/>
          <w:b/>
        </w:rPr>
        <w:t xml:space="preserve">Where current approaches stop.</w:t>
      </w:r>
    </w:p>
    <w:p>
      <w:pPr>
        <w:numPr>
          <w:ilvl w:val="0"/>
          <w:numId w:val="1099"/>
        </w:numPr>
        <w:pStyle w:val="Compact"/>
      </w:pPr>
      <w:r>
        <w:t xml:space="preserve">Most detectors and guardrails stop at a verdict and do not produce a probability that could be traded off against consequence.</w:t>
      </w:r>
    </w:p>
    <w:p>
      <w:pPr>
        <w:numPr>
          <w:ilvl w:val="0"/>
          <w:numId w:val="1099"/>
        </w:numPr>
        <w:pStyle w:val="Compact"/>
      </w:pPr>
      <w:r>
        <w:t xml:space="preserve">Most consequence-aware designs stop at the consequence and do not estimate the likelihood of adversarial induction.</w:t>
      </w:r>
    </w:p>
    <w:p>
      <w:pPr>
        <w:numPr>
          <w:ilvl w:val="0"/>
          <w:numId w:val="1099"/>
        </w:numPr>
        <w:pStyle w:val="Compact"/>
      </w:pPr>
      <w:r>
        <w:t xml:space="preserve">Most trajectory-aware systems stop at detection. The two ablations disagree about whether the trajectory component changes outcomes.</w:t>
      </w:r>
    </w:p>
    <w:p>
      <w:pPr>
        <w:numPr>
          <w:ilvl w:val="0"/>
          <w:numId w:val="1099"/>
        </w:numPr>
        <w:pStyle w:val="Compact"/>
      </w:pPr>
      <w:r>
        <w:t xml:space="preserve">Most evaluations stop at attack success: benign utility, intervention behavior, calibration and latency are reported unevenly.</w:t>
      </w:r>
    </w:p>
    <w:p>
      <w:pPr>
        <w:pStyle w:val="FirstParagraph"/>
      </w:pPr>
      <w:r>
        <w:rPr>
          <w:bCs/>
          <w:b/>
        </w:rPr>
        <w:t xml:space="preserve">What the evidence does not support.</w:t>
      </w:r>
      <w:r>
        <w:t xml:space="preserve"> </w:t>
      </w:r>
      <w:r>
        <w:t xml:space="preserve">The systematic evidence does</w:t>
      </w:r>
      <w:r>
        <w:t xml:space="preserve"> </w:t>
      </w:r>
      <w:r>
        <w:rPr>
          <w:bCs/>
          <w:b/>
        </w:rPr>
        <w:t xml:space="preserve">not</w:t>
      </w:r>
      <w:r>
        <w:t xml:space="preserve"> </w:t>
      </w:r>
      <w:r>
        <w:t xml:space="preserve">support three claims that earlier drafts could have been read as making:</w:t>
      </w:r>
    </w:p>
    <w:p>
      <w:pPr>
        <w:numPr>
          <w:ilvl w:val="0"/>
          <w:numId w:val="1100"/>
        </w:numPr>
        <w:pStyle w:val="Compact"/>
      </w:pPr>
      <w:r>
        <w:t xml:space="preserve">that runtime interception, graduated verdicts or consequence awareness are absent from the literature;</w:t>
      </w:r>
    </w:p>
    <w:p>
      <w:pPr>
        <w:numPr>
          <w:ilvl w:val="0"/>
          <w:numId w:val="1100"/>
        </w:numPr>
        <w:pStyle w:val="Compact"/>
      </w:pPr>
      <w:r>
        <w:t xml:space="preserve">that combining several signals at the action boundary is rare. AgentTrust, the MCP policy-enforcement point, ToolSafe, DRIFT and FinHarness all combine signals at or near the tool call;</w:t>
      </w:r>
    </w:p>
    <w:p>
      <w:pPr>
        <w:numPr>
          <w:ilvl w:val="0"/>
          <w:numId w:val="1100"/>
        </w:numPr>
        <w:pStyle w:val="Compact"/>
      </w:pPr>
      <w:r>
        <w:t xml:space="preserve">that trajectory evidence is known to be ineffective. The evidence is mixed.</w:t>
      </w:r>
    </w:p>
    <w:p>
      <w:r>
        <w:pict>
          <v:rect style="width:0;height:1.5pt" o:hralign="center" o:hrstd="t" o:hr="t"/>
        </w:pict>
      </w:r>
    </w:p>
    <w:bookmarkEnd w:id="88"/>
    <w:bookmarkStart w:id="94" w:name="research-gap-and-rem-positioning"/>
    <w:p>
      <w:pPr>
        <w:pStyle w:val="Heading2"/>
      </w:pPr>
      <w:r>
        <w:t xml:space="preserve">2.13 Research Gap and REM Positioning</w:t>
      </w:r>
    </w:p>
    <w:bookmarkStart w:id="89" w:name="assessment-of-candidate-gaps"/>
    <w:p>
      <w:pPr>
        <w:pStyle w:val="Heading3"/>
      </w:pPr>
      <w:r>
        <w:t xml:space="preserve">2.13.1 Assessment of candidate gaps</w:t>
      </w:r>
    </w:p>
    <w:p>
      <w:pPr>
        <w:pStyle w:val="FirstParagraph"/>
      </w:pPr>
      <w:r>
        <w:t xml:space="preserve">The protocol listed five candidate gaps, A to E, to be retained only if the systematic evidence supports them. Table 2.11 records the assessment.</w:t>
      </w:r>
    </w:p>
    <w:p>
      <w:pPr>
        <w:pStyle w:val="BodyText"/>
      </w:pPr>
      <w:r>
        <w:rPr>
          <w:bCs/>
          <w:b/>
        </w:rPr>
        <w:t xml:space="preserve">Table 2.11. Evidence-based assessment of candidate research gaps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Candidate gap</w:t>
            </w:r>
          </w:p>
        </w:tc>
        <w:tc>
          <w:tcPr/>
          <w:p>
            <w:pPr>
              <w:pStyle w:val="Compact"/>
              <w:jc w:val="left"/>
            </w:pPr>
            <w:r>
              <w:t xml:space="preserve">Evidence for</w:t>
            </w:r>
          </w:p>
        </w:tc>
        <w:tc>
          <w:tcPr/>
          <w:p>
            <w:pPr>
              <w:pStyle w:val="Compact"/>
              <w:jc w:val="left"/>
            </w:pPr>
            <w:r>
              <w:t xml:space="preserve">Evidence against</w:t>
            </w:r>
          </w:p>
        </w:tc>
        <w:tc>
          <w:tcPr/>
          <w:p>
            <w:pPr>
              <w:pStyle w:val="Compact"/>
              <w:jc w:val="left"/>
            </w:pPr>
            <w:r>
              <w:t xml:space="preserve">Decision</w:t>
            </w:r>
          </w:p>
        </w:tc>
      </w:tr>
      <w:tr>
        <w:tc>
          <w:tcPr/>
          <w:p>
            <w:pPr>
              <w:pStyle w:val="Compact"/>
              <w:jc w:val="left"/>
            </w:pPr>
            <w:r>
              <w:rPr>
                <w:bCs/>
                <w:b/>
              </w:rPr>
              <w:t xml:space="preserve">A. Integration.</w:t>
            </w:r>
            <w:r>
              <w:t xml:space="preserve"> </w:t>
            </w:r>
            <w:r>
              <w:t xml:space="preserve">Capabilities exist across separate approaches</w:t>
            </w:r>
          </w:p>
        </w:tc>
        <w:tc>
          <w:tcPr/>
          <w:p>
            <w:pPr>
              <w:pStyle w:val="Compact"/>
              <w:jc w:val="left"/>
            </w:pPr>
            <w:r>
              <w:t xml:space="preserve">Tables 2.8–2.9: calibrated scoring (NEXUS), consequence pricing (H.-H. Chen), provenance (ProvenanceGuard; MCP policy-enforcement point), graduated verdicts (AgentTrust; LATTICE) are in different studies</w:t>
            </w:r>
          </w:p>
        </w:tc>
        <w:tc>
          <w:tcPr/>
          <w:p>
            <w:pPr>
              <w:pStyle w:val="Compact"/>
              <w:jc w:val="left"/>
            </w:pPr>
            <w:r>
              <w:t xml:space="preserve">NEXUS combines calibration and graduated responses (level A) and, per level-U evidence, costs, at the plan level</w:t>
            </w:r>
          </w:p>
        </w:tc>
        <w:tc>
          <w:tcPr/>
          <w:p>
            <w:pPr>
              <w:pStyle w:val="Compact"/>
              <w:jc w:val="left"/>
            </w:pPr>
            <w:r>
              <w:rPr>
                <w:bCs/>
                <w:b/>
              </w:rPr>
              <w:t xml:space="preserve">Retained only as a weak, record-bounded observation.</w:t>
            </w:r>
            <w:r>
              <w:t xml:space="preserve"> </w:t>
            </w:r>
            <w:r>
              <w:t xml:space="preserve">A calibrated per-call probability combined with consequence-indexed losses at the action boundary was not reported in the examined records. Because the combination is specific and the review is record-level, its absence is not treated as evidence of originality</w:t>
            </w:r>
          </w:p>
        </w:tc>
      </w:tr>
      <w:tr>
        <w:tc>
          <w:tcPr/>
          <w:p>
            <w:pPr>
              <w:pStyle w:val="Compact"/>
              <w:jc w:val="left"/>
            </w:pPr>
            <w:r>
              <w:rPr>
                <w:bCs/>
                <w:b/>
              </w:rPr>
              <w:t xml:space="preserve">B. Runtime action-boundary evaluation.</w:t>
            </w:r>
            <w:r>
              <w:t xml:space="preserve"> </w:t>
            </w:r>
            <w:r>
              <w:t xml:space="preserve">Limited evidence combining multiple signals at the point of action</w:t>
            </w:r>
          </w:p>
        </w:tc>
        <w:tc>
          <w:tcPr/>
          <w:p>
            <w:pPr>
              <w:pStyle w:val="Compact"/>
              <w:jc w:val="left"/>
            </w:pPr>
            <w:r>
              <w:t xml:space="preserve">—</w:t>
            </w:r>
          </w:p>
        </w:tc>
        <w:tc>
          <w:tcPr/>
          <w:p>
            <w:pPr>
              <w:pStyle w:val="Compact"/>
              <w:jc w:val="left"/>
            </w:pPr>
            <w:r>
              <w:t xml:space="preserve">AgentTrust, the MCP policy-enforcement point, ToolSafe, DRIFT, SafeAgent and FinHarness combine several signals at or near the tool call</w:t>
            </w:r>
          </w:p>
        </w:tc>
        <w:tc>
          <w:tcPr/>
          <w:p>
            <w:pPr>
              <w:pStyle w:val="Compact"/>
              <w:jc w:val="left"/>
            </w:pPr>
            <w:r>
              <w:rPr>
                <w:bCs/>
                <w:b/>
              </w:rPr>
              <w:t xml:space="preserve">Not retained as stated.</w:t>
            </w:r>
            <w:r>
              <w:t xml:space="preserve"> </w:t>
            </w:r>
            <w:r>
              <w:t xml:space="preserve">Its defensible residue, combination into a calibrated probability, is part of Gap A</w:t>
            </w:r>
          </w:p>
        </w:tc>
      </w:tr>
      <w:tr>
        <w:tc>
          <w:tcPr/>
          <w:p>
            <w:pPr>
              <w:pStyle w:val="Compact"/>
              <w:jc w:val="left"/>
            </w:pPr>
            <w:r>
              <w:rPr>
                <w:bCs/>
                <w:b/>
              </w:rPr>
              <w:t xml:space="preserve">C. Behavioral/provenance contribution.</w:t>
            </w:r>
            <w:r>
              <w:t xml:space="preserve"> </w:t>
            </w:r>
            <w:r>
              <w:t xml:space="preserve">Insufficient evidence separating the contribution of behavioral and provenance signals</w:t>
            </w:r>
          </w:p>
        </w:tc>
        <w:tc>
          <w:tcPr/>
          <w:p>
            <w:pPr>
              <w:pStyle w:val="Compact"/>
              <w:jc w:val="left"/>
            </w:pPr>
            <w:r>
              <w:t xml:space="preserve">Only three component-level tests found; they conflict (null session-tracker ablation vs. a 26.4-point cross-step-label effect); none inside a probabilistic estimator; none financial</w:t>
            </w:r>
          </w:p>
        </w:tc>
        <w:tc>
          <w:tcPr/>
          <w:p>
            <w:pPr>
              <w:pStyle w:val="Compact"/>
              <w:jc w:val="left"/>
            </w:pPr>
            <w:r>
              <w:t xml:space="preserve">The MCP policy-enforcement point does separate the contribution of cross-step labels in a rule-based enforcer (HIGH EVIDENCE)</w:t>
            </w:r>
          </w:p>
        </w:tc>
        <w:tc>
          <w:tcPr/>
          <w:p>
            <w:pPr>
              <w:pStyle w:val="Compact"/>
              <w:jc w:val="left"/>
            </w:pPr>
            <w:r>
              <w:rPr>
                <w:bCs/>
                <w:b/>
              </w:rPr>
              <w:t xml:space="preserve">Retained, narrowed.</w:t>
            </w:r>
            <w:r>
              <w:t xml:space="preserve"> </w:t>
            </w:r>
            <w:r>
              <w:t xml:space="preserve">Limited and conflicting evidence on the contribution of behavioral and provenance evidence</w:t>
            </w:r>
            <w:r>
              <w:t xml:space="preserve"> </w:t>
            </w:r>
            <w:r>
              <w:rPr>
                <w:iCs/>
                <w:i/>
              </w:rPr>
              <w:t xml:space="preserve">as inputs to a calibrated estimator</w:t>
            </w:r>
            <w:r>
              <w:t xml:space="preserve"> </w:t>
            </w:r>
            <w:r>
              <w:t xml:space="preserve">for financial actions under indirect injection</w:t>
            </w:r>
          </w:p>
        </w:tc>
      </w:tr>
      <w:tr>
        <w:tc>
          <w:tcPr/>
          <w:p>
            <w:pPr>
              <w:pStyle w:val="Compact"/>
              <w:jc w:val="left"/>
            </w:pPr>
            <w:r>
              <w:rPr>
                <w:bCs/>
                <w:b/>
              </w:rPr>
              <w:t xml:space="preserve">D. Financial-agent evidence.</w:t>
            </w:r>
            <w:r>
              <w:t xml:space="preserve"> </w:t>
            </w:r>
            <w:r>
              <w:t xml:space="preserve">Limited verified evidence in executable financial settings</w:t>
            </w:r>
          </w:p>
        </w:tc>
        <w:tc>
          <w:tcPr/>
          <w:p>
            <w:pPr>
              <w:pStyle w:val="Compact"/>
              <w:jc w:val="left"/>
            </w:pPr>
            <w:r>
              <w:t xml:space="preserve">Four financial-context studies, all LIMITED EVIDENCE; the only quantitative runtime results cannot be confirmed against a maintained benchmark; general benchmarks with financial suites report no finance-specific analysis in the verified record</w:t>
            </w:r>
          </w:p>
        </w:tc>
        <w:tc>
          <w:tcPr/>
          <w:p>
            <w:pPr>
              <w:pStyle w:val="Compact"/>
              <w:jc w:val="left"/>
            </w:pPr>
            <w:r>
              <w:t xml:space="preserve">FinHarness shows the problem is recognized</w:t>
            </w:r>
          </w:p>
        </w:tc>
        <w:tc>
          <w:tcPr/>
          <w:p>
            <w:pPr>
              <w:pStyle w:val="Compact"/>
              <w:jc w:val="left"/>
            </w:pPr>
            <w:r>
              <w:rPr>
                <w:bCs/>
                <w:b/>
              </w:rPr>
              <w:t xml:space="preserve">Retained</w:t>
            </w:r>
          </w:p>
        </w:tc>
      </w:tr>
      <w:tr>
        <w:tc>
          <w:tcPr/>
          <w:p>
            <w:pPr>
              <w:pStyle w:val="Compact"/>
              <w:jc w:val="left"/>
            </w:pPr>
            <w:r>
              <w:rPr>
                <w:bCs/>
                <w:b/>
              </w:rPr>
              <w:t xml:space="preserve">E. Evaluation decomposition.</w:t>
            </w:r>
            <w:r>
              <w:t xml:space="preserve"> </w:t>
            </w:r>
            <w:r>
              <w:t xml:space="preserve">Insufficient evaluation separating security, benign utility, calibration or decision quality, intervention behavior and latency</w:t>
            </w:r>
          </w:p>
        </w:tc>
        <w:tc>
          <w:tcPr/>
          <w:p>
            <w:pPr>
              <w:pStyle w:val="Compact"/>
              <w:jc w:val="left"/>
            </w:pPr>
            <w:r>
              <w:t xml:space="preserve">Calibration reported for one deployed scorer (NEXUS); intervention rates by few studies; no study compares a consequence-aware decision with a consequence-independent baseline that shares its estimator</w:t>
            </w:r>
          </w:p>
        </w:tc>
        <w:tc>
          <w:tcPr/>
          <w:p>
            <w:pPr>
              <w:pStyle w:val="Compact"/>
              <w:jc w:val="left"/>
            </w:pPr>
            <w:r>
              <w:t xml:space="preserve">Several studies report more than attack success (MCP policy-enforcement point; LATTICE; NEXUS; ToolSafe)</w:t>
            </w:r>
          </w:p>
        </w:tc>
        <w:tc>
          <w:tcPr/>
          <w:p>
            <w:pPr>
              <w:pStyle w:val="Compact"/>
              <w:jc w:val="left"/>
            </w:pPr>
            <w:r>
              <w:rPr>
                <w:bCs/>
                <w:b/>
              </w:rPr>
              <w:t xml:space="preserve">Retained, narrowed.</w:t>
            </w:r>
            <w:r>
              <w:t xml:space="preserve"> </w:t>
            </w:r>
            <w:r>
              <w:t xml:space="preserve">The missing element is the same-estimator comparison, with calibration reported separately from control and intervention rates reported</w:t>
            </w:r>
          </w:p>
        </w:tc>
      </w:tr>
    </w:tbl>
    <w:bookmarkEnd w:id="89"/>
    <w:bookmarkStart w:id="90" w:name="statement-of-the-research-gap"/>
    <w:p>
      <w:pPr>
        <w:pStyle w:val="Heading3"/>
      </w:pPr>
      <w:r>
        <w:t xml:space="preserve">2.13.2 Statement of the research gap</w:t>
      </w:r>
    </w:p>
    <w:p>
      <w:pPr>
        <w:pStyle w:val="BlockText"/>
      </w:pPr>
      <w:r>
        <w:t xml:space="preserve">The gap supported by the examined evidence is</w:t>
      </w:r>
      <w:r>
        <w:t xml:space="preserve"> </w:t>
      </w:r>
      <w:r>
        <w:rPr>
          <w:bCs/>
          <w:b/>
        </w:rPr>
        <w:t xml:space="preserve">empirical</w:t>
      </w:r>
      <w:r>
        <w:t xml:space="preserve">. In the records of the 71 included studies (search date 25 September 2026), the review found (a) limited and conflicting evidence on whether behavioral and provenance evidence improves runtime decisions, and none testing it as input to a calibrated estimator for financial actions (Gap C); (b) no verified quantitative evaluation of a runtime defense on financial actions in an open, executable benchmark (Gap D); and (c) no evaluation that compares a consequence-aware decision with a consequence-independent baseline sharing the same estimator, while reporting attack success, benign utility, intervention behavior, calibration and latency separately (Gap E).</w:t>
      </w:r>
    </w:p>
    <w:p>
      <w:pPr>
        <w:pStyle w:val="FirstParagraph"/>
      </w:pPr>
      <w:r>
        <w:rPr>
          <w:bCs/>
          <w:b/>
        </w:rPr>
        <w:t xml:space="preserve">Nature of the gap.</w:t>
      </w:r>
      <w:r>
        <w:t xml:space="preserve"> </w:t>
      </w:r>
      <w:r>
        <w:t xml:space="preserve">The gap concerns</w:t>
      </w:r>
      <w:r>
        <w:t xml:space="preserve"> </w:t>
      </w:r>
      <w:r>
        <w:rPr>
          <w:iCs/>
          <w:i/>
        </w:rPr>
        <w:t xml:space="preserve">evidence</w:t>
      </w:r>
      <w:r>
        <w:t xml:space="preserve">: how established mechanisms behave when combined at the action boundary of a financial agent under indirect prompt injection, measured against a baseline that isolates the decision rule. It does not concern the absence of any single mechanism, and it does not concern a new learning algorithm. The specific combination that REM implements (Gap A) was not found in the examined records, but the thesis does not rest its originality on that absence: a combination this specific is easy to miss in a record-level review, and closely related designs exist (NEXUS, AgentTrust, SafeAgent).</w:t>
      </w:r>
    </w:p>
    <w:p>
      <w:pPr>
        <w:pStyle w:val="BodyText"/>
      </w:pPr>
      <w:r>
        <w:rPr>
          <w:bCs/>
          <w:b/>
        </w:rPr>
        <w:t xml:space="preserve">Bounds.</w:t>
      </w:r>
      <w:r>
        <w:t xml:space="preserve"> </w:t>
      </w:r>
      <w:r>
        <w:t xml:space="preserve">The gap is bounded by the search, which covered one database with a retrieval cap and a partly non-independent other-methods stream. It is also bounded by record-level appraisal: no study was read in full, and several properties of the closest studies are unverified (Section 2.13.4).</w:t>
      </w:r>
    </w:p>
    <w:p>
      <w:pPr>
        <w:pStyle w:val="BodyText"/>
      </w:pPr>
      <w:r>
        <w:rPr>
          <w:bCs/>
          <w:b/>
        </w:rPr>
        <w:t xml:space="preserve">Falsifiability.</w:t>
      </w:r>
      <w:r>
        <w:t xml:space="preserve"> </w:t>
      </w:r>
      <w:r>
        <w:t xml:space="preserve">A study that reports this combination and evaluation would require the contribution to be revised.</w:t>
      </w:r>
    </w:p>
    <w:p>
      <w:pPr>
        <w:pStyle w:val="BodyText"/>
      </w:pPr>
      <w:r>
        <w:rPr>
          <w:bCs/>
          <w:b/>
        </w:rPr>
        <w:t xml:space="preserve">Consistency with Chapter 3.</w:t>
      </w:r>
      <w:r>
        <w:t xml:space="preserve"> </w:t>
      </w:r>
      <w:r>
        <w:t xml:space="preserve">The statement is consistent with Chapter 3, §3.13, which describes the contribution as empirical and integrative.</w:t>
      </w:r>
    </w:p>
    <w:bookmarkEnd w:id="90"/>
    <w:bookmarkStart w:id="91" w:name="X5b21b358fe99ae0a30ce7b15a3f4d1299d4cca5"/>
    <w:p>
      <w:pPr>
        <w:pStyle w:val="Heading3"/>
      </w:pPr>
      <w:r>
        <w:t xml:space="preserve">2.13.3 REM positioning: established by prior research versus proposed by this thesis</w:t>
      </w:r>
    </w:p>
    <w:p>
      <w:pPr>
        <w:pStyle w:val="FirstParagraph"/>
      </w:pPr>
      <w:r>
        <w:t xml:space="preserve">REM is a runtime mediation layer between a financial tool-using agent and its environment. It is organized in exactly five layers:</w:t>
      </w:r>
    </w:p>
    <w:p>
      <w:pPr>
        <w:numPr>
          <w:ilvl w:val="0"/>
          <w:numId w:val="1101"/>
        </w:numPr>
        <w:pStyle w:val="Compact"/>
      </w:pPr>
      <w:r>
        <w:rPr>
          <w:bCs/>
          <w:b/>
        </w:rPr>
        <w:t xml:space="preserve">Input &amp; Context</w:t>
      </w:r>
      <w:r>
        <w:t xml:space="preserve">;</w:t>
      </w:r>
    </w:p>
    <w:p>
      <w:pPr>
        <w:numPr>
          <w:ilvl w:val="0"/>
          <w:numId w:val="1101"/>
        </w:numPr>
        <w:pStyle w:val="Compact"/>
      </w:pPr>
      <w:r>
        <w:rPr>
          <w:bCs/>
          <w:b/>
        </w:rPr>
        <w:t xml:space="preserve">Detection</w:t>
      </w:r>
      <w:r>
        <w:t xml:space="preserve">;</w:t>
      </w:r>
    </w:p>
    <w:p>
      <w:pPr>
        <w:numPr>
          <w:ilvl w:val="0"/>
          <w:numId w:val="1101"/>
        </w:numPr>
        <w:pStyle w:val="Compact"/>
      </w:pPr>
      <w:r>
        <w:rPr>
          <w:bCs/>
          <w:b/>
        </w:rPr>
        <w:t xml:space="preserve">Behavioral Analysis</w:t>
      </w:r>
      <w:r>
        <w:t xml:space="preserve">;</w:t>
      </w:r>
    </w:p>
    <w:p>
      <w:pPr>
        <w:numPr>
          <w:ilvl w:val="0"/>
          <w:numId w:val="1101"/>
        </w:numPr>
        <w:pStyle w:val="Compact"/>
      </w:pPr>
      <w:r>
        <w:rPr>
          <w:bCs/>
          <w:b/>
        </w:rPr>
        <w:t xml:space="preserve">Decision Engine</w:t>
      </w:r>
      <w:r>
        <w:t xml:space="preserve">;</w:t>
      </w:r>
    </w:p>
    <w:p>
      <w:pPr>
        <w:numPr>
          <w:ilvl w:val="0"/>
          <w:numId w:val="1101"/>
        </w:numPr>
        <w:pStyle w:val="Compact"/>
      </w:pPr>
      <w:r>
        <w:rPr>
          <w:bCs/>
          <w:b/>
        </w:rPr>
        <w:t xml:space="preserve">Mitigation</w:t>
      </w:r>
      <w:r>
        <w:t xml:space="preserve">.</w:t>
      </w:r>
    </w:p>
    <w:p>
      <w:pPr>
        <w:pStyle w:val="FirstParagraph"/>
      </w:pPr>
      <w:r>
        <w:t xml:space="preserve">Chapter 3 specifies it. Table 2.12 separates what REM adopts from prior research from what this thesis proposes.</w:t>
      </w:r>
    </w:p>
    <w:p>
      <w:pPr>
        <w:pStyle w:val="BodyText"/>
      </w:pPr>
      <w:r>
        <w:rPr>
          <w:bCs/>
          <w:b/>
        </w:rPr>
        <w:t xml:space="preserve">Table 2.12. Established by prior research versus proposed by this thesis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Established by prior research (included or foundational sources)</w:t>
            </w:r>
          </w:p>
        </w:tc>
        <w:tc>
          <w:tcPr/>
          <w:p>
            <w:pPr>
              <w:pStyle w:val="Compact"/>
              <w:jc w:val="left"/>
            </w:pPr>
            <w:r>
              <w:t xml:space="preserve">Role in REM</w:t>
            </w:r>
          </w:p>
        </w:tc>
      </w:tr>
      <w:tr>
        <w:tc>
          <w:tcPr/>
          <w:p>
            <w:pPr>
              <w:pStyle w:val="Compact"/>
              <w:jc w:val="left"/>
            </w:pPr>
            <w:r>
              <w:t xml:space="preserve">Runtime interception of each proposed tool call</w:t>
            </w:r>
          </w:p>
        </w:tc>
        <w:tc>
          <w:tcPr/>
          <w:p>
            <w:pPr>
              <w:pStyle w:val="Compact"/>
              <w:jc w:val="left"/>
            </w:pPr>
            <w:r>
              <w:t xml:space="preserve">Progent; AgentSpec; AgentTrust; RTBAS; MCP policy-enforcement point; LATTICE; PRISM; SafeAgent; Task Shield</w:t>
            </w:r>
          </w:p>
        </w:tc>
        <w:tc>
          <w:tcPr/>
          <w:p>
            <w:pPr>
              <w:pStyle w:val="Compact"/>
              <w:jc w:val="left"/>
            </w:pPr>
            <w:r>
              <w:t xml:space="preserve">Adopted, not claimed</w:t>
            </w:r>
          </w:p>
        </w:tc>
      </w:tr>
      <w:tr>
        <w:tc>
          <w:tcPr/>
          <w:p>
            <w:pPr>
              <w:pStyle w:val="Compact"/>
              <w:jc w:val="left"/>
            </w:pPr>
            <w:r>
              <w:t xml:space="preserve">Provenance / goal–action consistency evidence</w:t>
            </w:r>
          </w:p>
        </w:tc>
        <w:tc>
          <w:tcPr/>
          <w:p>
            <w:pPr>
              <w:pStyle w:val="Compact"/>
              <w:jc w:val="left"/>
            </w:pPr>
            <w:r>
              <w:t xml:space="preserve">ProvenanceGuard; Task Shield; MELON; CaMeL; ACE; RTBAS; MCP policy-enforcement point</w:t>
            </w:r>
          </w:p>
        </w:tc>
        <w:tc>
          <w:tcPr/>
          <w:p>
            <w:pPr>
              <w:pStyle w:val="Compact"/>
              <w:jc w:val="left"/>
            </w:pPr>
            <w:r>
              <w:t xml:space="preserve">Adopted as estimator input, not claimed</w:t>
            </w:r>
          </w:p>
        </w:tc>
      </w:tr>
      <w:tr>
        <w:tc>
          <w:tcPr/>
          <w:p>
            <w:pPr>
              <w:pStyle w:val="Compact"/>
              <w:jc w:val="left"/>
            </w:pPr>
            <w:r>
              <w:t xml:space="preserve">Behavioral / trajectory monitoring</w:t>
            </w:r>
          </w:p>
        </w:tc>
        <w:tc>
          <w:tcPr/>
          <w:p>
            <w:pPr>
              <w:pStyle w:val="Compact"/>
              <w:jc w:val="left"/>
            </w:pPr>
            <w:r>
              <w:t xml:space="preserve">MI9; ProbGuard; DreamGuard; PRISM; AgentTrust; ToolSafe; Forrest et al. (1996); Chandola et al. (2009, 2012)</w:t>
            </w:r>
          </w:p>
        </w:tc>
        <w:tc>
          <w:tcPr/>
          <w:p>
            <w:pPr>
              <w:pStyle w:val="Compact"/>
              <w:jc w:val="left"/>
            </w:pPr>
            <w:r>
              <w:t xml:space="preserve">Adopted, not claimed</w:t>
            </w:r>
          </w:p>
        </w:tc>
      </w:tr>
      <w:tr>
        <w:tc>
          <w:tcPr/>
          <w:p>
            <w:pPr>
              <w:pStyle w:val="Compact"/>
              <w:jc w:val="left"/>
            </w:pPr>
            <w:r>
              <w:t xml:space="preserve">Ridge logistic risk scoring</w:t>
            </w:r>
          </w:p>
        </w:tc>
        <w:tc>
          <w:tcPr/>
          <w:p>
            <w:pPr>
              <w:pStyle w:val="Compact"/>
              <w:jc w:val="left"/>
            </w:pPr>
            <w:r>
              <w:t xml:space="preserve">Cox (1958); le Cessie &amp; van Houwelingen (1992); NEXUS</w:t>
            </w:r>
          </w:p>
        </w:tc>
        <w:tc>
          <w:tcPr/>
          <w:p>
            <w:pPr>
              <w:pStyle w:val="Compact"/>
              <w:jc w:val="left"/>
            </w:pPr>
            <w:r>
              <w:t xml:space="preserve">Adopted, not claimed</w:t>
            </w:r>
          </w:p>
        </w:tc>
      </w:tr>
      <w:tr>
        <w:tc>
          <w:tcPr/>
          <w:p>
            <w:pPr>
              <w:pStyle w:val="Compact"/>
              <w:jc w:val="left"/>
            </w:pPr>
            <w:r>
              <w:t xml:space="preserve">Platt calibration on the logit</w:t>
            </w:r>
          </w:p>
        </w:tc>
        <w:tc>
          <w:tcPr/>
          <w:p>
            <w:pPr>
              <w:pStyle w:val="Compact"/>
              <w:jc w:val="left"/>
            </w:pPr>
            <w:r>
              <w:t xml:space="preserve">Platt (1999); Guo et al. (2017); NEXUS</w:t>
            </w:r>
          </w:p>
        </w:tc>
        <w:tc>
          <w:tcPr/>
          <w:p>
            <w:pPr>
              <w:pStyle w:val="Compact"/>
              <w:jc w:val="left"/>
            </w:pPr>
            <w:r>
              <w:t xml:space="preserve">Adopted, not claimed. Beta, isotonic and temperature calibration are reviewed and</w:t>
            </w:r>
            <w:r>
              <w:t xml:space="preserve"> </w:t>
            </w:r>
            <w:r>
              <w:rPr>
                <w:bCs/>
                <w:b/>
              </w:rPr>
              <w:t xml:space="preserve">not adopted</w:t>
            </w:r>
          </w:p>
        </w:tc>
      </w:tr>
      <w:tr>
        <w:tc>
          <w:tcPr/>
          <w:p>
            <w:pPr>
              <w:pStyle w:val="Compact"/>
              <w:jc w:val="left"/>
            </w:pPr>
            <w:r>
              <w:t xml:space="preserve">Minimum expected-cost decision; reject option</w:t>
            </w:r>
          </w:p>
        </w:tc>
        <w:tc>
          <w:tcPr/>
          <w:p>
            <w:pPr>
              <w:pStyle w:val="Compact"/>
              <w:jc w:val="left"/>
            </w:pPr>
            <w:r>
              <w:t xml:space="preserve">Elkan (2001); Chow (1970); NEXUS objective</w:t>
            </w:r>
          </w:p>
        </w:tc>
        <w:tc>
          <w:tcPr/>
          <w:p>
            <w:pPr>
              <w:pStyle w:val="Compact"/>
              <w:jc w:val="left"/>
            </w:pPr>
            <w:r>
              <w:t xml:space="preserve">Adopted, not claimed. Neither source proposed REM’s four-action architecture</w:t>
            </w:r>
          </w:p>
        </w:tc>
      </w:tr>
      <w:tr>
        <w:tc>
          <w:tcPr/>
          <w:p>
            <w:pPr>
              <w:pStyle w:val="Compact"/>
              <w:jc w:val="left"/>
            </w:pPr>
            <w:r>
              <w:t xml:space="preserve">Consequence-dependent control</w:t>
            </w:r>
          </w:p>
        </w:tc>
        <w:tc>
          <w:tcPr/>
          <w:p>
            <w:pPr>
              <w:pStyle w:val="Compact"/>
              <w:jc w:val="left"/>
            </w:pPr>
            <w:r>
              <w:t xml:space="preserve">H.-H. Chen (2026); NEXUS; SafeAgent; AgentTrust</w:t>
            </w:r>
          </w:p>
        </w:tc>
        <w:tc>
          <w:tcPr/>
          <w:p>
            <w:pPr>
              <w:pStyle w:val="Compact"/>
              <w:jc w:val="left"/>
            </w:pPr>
            <w:r>
              <w:t xml:space="preserve">Adopted as declared consequence tiers, not claimed</w:t>
            </w:r>
          </w:p>
        </w:tc>
      </w:tr>
      <w:tr>
        <w:tc>
          <w:tcPr/>
          <w:p>
            <w:pPr>
              <w:pStyle w:val="Compact"/>
              <w:jc w:val="left"/>
            </w:pPr>
            <w:r>
              <w:t xml:space="preserve">Graduated responses including human review</w:t>
            </w:r>
          </w:p>
        </w:tc>
        <w:tc>
          <w:tcPr/>
          <w:p>
            <w:pPr>
              <w:pStyle w:val="Compact"/>
              <w:jc w:val="left"/>
            </w:pPr>
            <w:r>
              <w:t xml:space="preserve">AgentTrust; NEXUS; RTBAS; LATTICE; SafeAgent; Jackson; MI9</w:t>
            </w:r>
          </w:p>
        </w:tc>
        <w:tc>
          <w:tcPr/>
          <w:p>
            <w:pPr>
              <w:pStyle w:val="Compact"/>
              <w:jc w:val="left"/>
            </w:pPr>
            <w:r>
              <w:t xml:space="preserve">Adopted, not claimed</w:t>
            </w:r>
          </w:p>
        </w:tc>
      </w:tr>
      <w:tr>
        <w:tc>
          <w:tcPr/>
          <w:p>
            <w:pPr>
              <w:pStyle w:val="Compact"/>
              <w:jc w:val="left"/>
            </w:pPr>
            <w:r>
              <w:t xml:space="preserve">Deterministic mitigation; reversible and staged effects</w:t>
            </w:r>
          </w:p>
        </w:tc>
        <w:tc>
          <w:tcPr/>
          <w:p>
            <w:pPr>
              <w:pStyle w:val="Compact"/>
              <w:jc w:val="left"/>
            </w:pPr>
            <w:r>
              <w:t xml:space="preserve">Progent; AgentSpec; Cordon; GoEX</w:t>
            </w:r>
          </w:p>
        </w:tc>
        <w:tc>
          <w:tcPr/>
          <w:p>
            <w:pPr>
              <w:pStyle w:val="Compact"/>
              <w:jc w:val="left"/>
            </w:pPr>
            <w:r>
              <w:t xml:space="preserve">Adopted, not claimed</w:t>
            </w:r>
          </w:p>
        </w:tc>
      </w:tr>
      <w:tr>
        <w:tc>
          <w:tcPr/>
          <w:p>
            <w:pPr>
              <w:pStyle w:val="Compact"/>
              <w:jc w:val="left"/>
            </w:pPr>
            <w:r>
              <w:t xml:space="preserve">Sequential change detection (CUSUM)</w:t>
            </w:r>
          </w:p>
        </w:tc>
        <w:tc>
          <w:tcPr/>
          <w:p>
            <w:pPr>
              <w:pStyle w:val="Compact"/>
              <w:jc w:val="left"/>
            </w:pPr>
            <w:r>
              <w:t xml:space="preserve">Page (1954); Basseville &amp; Nikiforov (1993); Lorden (1971)</w:t>
            </w:r>
          </w:p>
        </w:tc>
        <w:tc>
          <w:tcPr/>
          <w:p>
            <w:pPr>
              <w:pStyle w:val="Compact"/>
              <w:jc w:val="left"/>
            </w:pPr>
            <w:r>
              <w:t xml:space="preserve">Optional, offline, observe-only analysis outside the verdict path; not claimed</w:t>
            </w:r>
          </w:p>
        </w:tc>
      </w:tr>
      <w:tr>
        <w:tc>
          <w:tcPr/>
          <w:p>
            <w:pPr>
              <w:pStyle w:val="Compact"/>
              <w:jc w:val="left"/>
            </w:pPr>
            <w:r>
              <w:t xml:space="preserve">Additive attribution for audit</w:t>
            </w:r>
          </w:p>
        </w:tc>
        <w:tc>
          <w:tcPr/>
          <w:p>
            <w:pPr>
              <w:pStyle w:val="Compact"/>
              <w:jc w:val="left"/>
            </w:pPr>
            <w:r>
              <w:t xml:space="preserve">Lundberg &amp; Lee (2017); audit traces in NEXUS, AgentTrust, PRISM, LATTICE</w:t>
            </w:r>
          </w:p>
        </w:tc>
        <w:tc>
          <w:tcPr/>
          <w:p>
            <w:pPr>
              <w:pStyle w:val="Compact"/>
              <w:jc w:val="left"/>
            </w:pPr>
            <w:r>
              <w:t xml:space="preserve">Audit record only; never used for the verdict; not claimed</w:t>
            </w:r>
          </w:p>
        </w:tc>
      </w:tr>
      <w:tr>
        <w:tc>
          <w:tcPr/>
          <w:p>
            <w:pPr>
              <w:pStyle w:val="Compact"/>
              <w:jc w:val="left"/>
            </w:pPr>
            <w:r>
              <w:rPr>
                <w:bCs/>
                <w:b/>
              </w:rPr>
              <w:t xml:space="preserve">Combination of provenance evidence, a calibrated per-step probability, tier-indexed expected-loss verdicts and deterministic mitigation at the action boundary, on an open executable banking benchmark</w:t>
            </w:r>
          </w:p>
        </w:tc>
        <w:tc>
          <w:tcPr/>
          <w:p>
            <w:pPr>
              <w:pStyle w:val="Compact"/>
              <w:jc w:val="left"/>
            </w:pPr>
            <w:r>
              <w:t xml:space="preserve">Not reported in the examined records (record-level; weak evidence of absence)</w:t>
            </w:r>
          </w:p>
        </w:tc>
        <w:tc>
          <w:tcPr/>
          <w:p>
            <w:pPr>
              <w:pStyle w:val="Compact"/>
              <w:jc w:val="left"/>
            </w:pPr>
            <w:r>
              <w:rPr>
                <w:bCs/>
                <w:b/>
              </w:rPr>
              <w:t xml:space="preserve">Proposed by this thesis (integrative design)</w:t>
            </w:r>
          </w:p>
        </w:tc>
      </w:tr>
      <w:tr>
        <w:tc>
          <w:tcPr/>
          <w:p>
            <w:pPr>
              <w:pStyle w:val="Compact"/>
              <w:jc w:val="left"/>
            </w:pPr>
            <w:r>
              <w:rPr>
                <w:bCs/>
                <w:b/>
              </w:rPr>
              <w:t xml:space="preserve">Evaluation that separates attack success, benign utility, intervention behavior, calibration and latency, against a consequence-independent baseline with the same estimator</w:t>
            </w:r>
          </w:p>
        </w:tc>
        <w:tc>
          <w:tcPr/>
          <w:p>
            <w:pPr>
              <w:pStyle w:val="Compact"/>
              <w:jc w:val="left"/>
            </w:pPr>
            <w:r>
              <w:t xml:space="preserve">Not reported in the examined records</w:t>
            </w:r>
          </w:p>
        </w:tc>
        <w:tc>
          <w:tcPr/>
          <w:p>
            <w:pPr>
              <w:pStyle w:val="Compact"/>
              <w:jc w:val="left"/>
            </w:pPr>
            <w:r>
              <w:rPr>
                <w:bCs/>
                <w:b/>
              </w:rPr>
              <w:t xml:space="preserve">Proposed by this thesis (empirical)</w:t>
            </w:r>
          </w:p>
        </w:tc>
      </w:tr>
    </w:tbl>
    <w:p>
      <w:pPr>
        <w:pStyle w:val="BodyText"/>
      </w:pPr>
      <w:r>
        <w:rPr>
          <w:bCs/>
          <w:b/>
        </w:rPr>
        <w:t xml:space="preserve">Relation to AgentTrust and NEXUS.</w:t>
      </w:r>
      <w:r>
        <w:t xml:space="preserve"> </w:t>
      </w:r>
      <w:r>
        <w:t xml:space="preserve">What REM cannot claim against AgentTrust and NEXUS, and the narrower differences that remain, are set out in Sections 2.9.2 and 2.9.3 and are not repeated here. Several of the properties on which those differences rest are unverified (level U).</w:t>
      </w:r>
    </w:p>
    <w:p>
      <w:pPr>
        <w:pStyle w:val="BodyText"/>
      </w:pPr>
      <w:r>
        <w:rPr>
          <w:bCs/>
          <w:b/>
        </w:rPr>
        <w:t xml:space="preserve">Relation to other close studies.</w:t>
      </w:r>
      <w:r>
        <w:t xml:space="preserve"> </w:t>
      </w:r>
      <w:r>
        <w:t xml:space="preserve">REM does not claim:</w:t>
      </w:r>
    </w:p>
    <w:p>
      <w:pPr>
        <w:numPr>
          <w:ilvl w:val="0"/>
          <w:numId w:val="1102"/>
        </w:numPr>
        <w:pStyle w:val="Compact"/>
      </w:pPr>
      <w:r>
        <w:t xml:space="preserve">to be the first financial runtime protection (FinHarness);</w:t>
      </w:r>
    </w:p>
    <w:p>
      <w:pPr>
        <w:numPr>
          <w:ilvl w:val="0"/>
          <w:numId w:val="1102"/>
        </w:numPr>
        <w:pStyle w:val="Compact"/>
      </w:pPr>
      <w:r>
        <w:t xml:space="preserve">a risk-score-to-graduated-verdict pipeline (Jackson; SafeAgent);</w:t>
      </w:r>
    </w:p>
    <w:p>
      <w:pPr>
        <w:numPr>
          <w:ilvl w:val="0"/>
          <w:numId w:val="1102"/>
        </w:numPr>
        <w:pStyle w:val="Compact"/>
      </w:pPr>
      <w:r>
        <w:t xml:space="preserve">deterministic consequence pricing (H.-H. Chen);</w:t>
      </w:r>
    </w:p>
    <w:p>
      <w:pPr>
        <w:numPr>
          <w:ilvl w:val="0"/>
          <w:numId w:val="1102"/>
        </w:numPr>
        <w:pStyle w:val="Compact"/>
      </w:pPr>
      <w:r>
        <w:t xml:space="preserve">provenance analysis (ProvenanceGuard; the MCP policy-enforcement point);</w:t>
      </w:r>
    </w:p>
    <w:p>
      <w:pPr>
        <w:numPr>
          <w:ilvl w:val="0"/>
          <w:numId w:val="1102"/>
        </w:numPr>
        <w:pStyle w:val="Compact"/>
      </w:pPr>
      <w:r>
        <w:t xml:space="preserve">that calibration improves control (C. Zhang et al.; LATTICE).</w:t>
      </w:r>
    </w:p>
    <w:bookmarkEnd w:id="91"/>
    <w:bookmarkStart w:id="92" w:name="limitations-of-this-review"/>
    <w:p>
      <w:pPr>
        <w:pStyle w:val="Heading3"/>
      </w:pPr>
      <w:r>
        <w:t xml:space="preserve">2.13.4 Limitations of this review</w:t>
      </w:r>
    </w:p>
    <w:p>
      <w:pPr>
        <w:pStyle w:val="FirstParagraph"/>
      </w:pPr>
      <w:r>
        <w:t xml:space="preserve">The review is systematic in procedure but</w:t>
      </w:r>
      <w:r>
        <w:t xml:space="preserve"> </w:t>
      </w:r>
      <w:r>
        <w:rPr>
          <w:bCs/>
          <w:b/>
        </w:rPr>
        <w:t xml:space="preserve">not exhaustive</w:t>
      </w:r>
      <w:r>
        <w:t xml:space="preserve">, and its conclusions are bounded as follows.</w:t>
      </w:r>
    </w:p>
    <w:p>
      <w:pPr>
        <w:numPr>
          <w:ilvl w:val="0"/>
          <w:numId w:val="1103"/>
        </w:numPr>
        <w:pStyle w:val="Compact"/>
      </w:pPr>
      <w:r>
        <w:rPr>
          <w:bCs/>
          <w:b/>
        </w:rPr>
        <w:t xml:space="preserve">Database accessibility.</w:t>
      </w:r>
      <w:r>
        <w:t xml:space="preserve"> </w:t>
      </w:r>
      <w:r>
        <w:t xml:space="preserve">Only OpenAlex was searched. IEEE Xplore, the ACM DL, Scopus and Web of Science, ScienceDirect, SpringerLink, the ACL Anthology, NeurIPS/PMLR, ICLR/OpenReview, USENIX and arXiv could not be reached (DATABASE ACCESS UNAVAILABLE). Elicit access was also unavailable. Their content was reached only through OpenAlex’s index.</w:t>
      </w:r>
    </w:p>
    <w:p>
      <w:pPr>
        <w:numPr>
          <w:ilvl w:val="0"/>
          <w:numId w:val="1103"/>
        </w:numPr>
        <w:pStyle w:val="Compact"/>
      </w:pPr>
      <w:r>
        <w:rPr>
          <w:bCs/>
          <w:b/>
        </w:rPr>
        <w:t xml:space="preserve">Index coverage, ranking and retrieval cap.</w:t>
      </w:r>
      <w:r>
        <w:t xml:space="preserve"> </w:t>
      </w:r>
      <w:r>
        <w:t xml:space="preserve">OpenAlex’s lexical relevance ranking surfaced general surveys ahead of specific recent preprints. Only the top 24–25 records per query page were screened, although index estimates ran to thousands. The database search retrieved only 3 of the 13 named prior-art studies, which shows that relevant studies can be missed.</w:t>
      </w:r>
    </w:p>
    <w:p>
      <w:pPr>
        <w:numPr>
          <w:ilvl w:val="0"/>
          <w:numId w:val="1103"/>
        </w:numPr>
        <w:pStyle w:val="Compact"/>
      </w:pPr>
      <w:r>
        <w:rPr>
          <w:bCs/>
          <w:b/>
        </w:rPr>
        <w:t xml:space="preserve">Non-independent second stream.</w:t>
      </w:r>
      <w:r>
        <w:t xml:space="preserve"> </w:t>
      </w:r>
      <w:r>
        <w:t xml:space="preserve">Thirty-one included studies came from the reference list of the previous chapter, which reflects the author’s prior reading. This introduces selection bias, which the protocol’s requirement to treat named prior art identically mitigates but does not remove.</w:t>
      </w:r>
    </w:p>
    <w:p>
      <w:pPr>
        <w:numPr>
          <w:ilvl w:val="0"/>
          <w:numId w:val="1103"/>
        </w:numPr>
        <w:pStyle w:val="Compact"/>
      </w:pPr>
      <w:r>
        <w:rPr>
          <w:bCs/>
          <w:b/>
        </w:rPr>
        <w:t xml:space="preserve">No full texts.</w:t>
      </w:r>
      <w:r>
        <w:t xml:space="preserve"> </w:t>
      </w:r>
      <w:r>
        <w:t xml:space="preserve">Eligibility, extraction and appraisal were performed on records; no full-text screening was performed and no claim is at level F. Nine included studies are PARTLY UNVERIFIED. Appraisal items that depend on full text (reproducibility, comparators, limitations) are mostly Not Verified. A supplementary record check on 28 October 2026 re-examined the closest studies (NEXUS, AgentTrust, ProvenanceGuard, FinHarness, FinVault, SafeAgent, C. Zhang et al., H.-H. Chen): it found a peer-reviewed version of ProvenanceGuard (ASE 2026), a changed title for C. Zhang et al., and several details of NEXUS and AgentTrust that are not supported by their current abstracts, which are now marked level U. Full texts remained unreachable.</w:t>
      </w:r>
    </w:p>
    <w:p>
      <w:pPr>
        <w:numPr>
          <w:ilvl w:val="0"/>
          <w:numId w:val="1103"/>
        </w:numPr>
        <w:pStyle w:val="Compact"/>
      </w:pPr>
      <w:r>
        <w:rPr>
          <w:bCs/>
          <w:b/>
        </w:rPr>
        <w:t xml:space="preserve">Single reviewer.</w:t>
      </w:r>
      <w:r>
        <w:t xml:space="preserve"> </w:t>
      </w:r>
      <w:r>
        <w:t xml:space="preserve">Screening, extraction and appraisal were each done by one person, with no second screener and no agreement statistic. The appraisal checklist is transparent but is not a validated risk-of-bias instrument.</w:t>
      </w:r>
    </w:p>
    <w:p>
      <w:pPr>
        <w:numPr>
          <w:ilvl w:val="0"/>
          <w:numId w:val="1103"/>
        </w:numPr>
        <w:pStyle w:val="Compact"/>
      </w:pPr>
      <w:r>
        <w:rPr>
          <w:bCs/>
          <w:b/>
        </w:rPr>
        <w:t xml:space="preserve">Rapidly changing preprint literature.</w:t>
      </w:r>
      <w:r>
        <w:t xml:space="preserve"> </w:t>
      </w:r>
      <w:r>
        <w:t xml:space="preserve">35 of the 71 included studies are preprints or working papers, and the field produces new preprints monthly. One source (FinVault) was recorded as withdrawn by its authors for non-scientific reasons. Preprint results may change or be withdrawn.</w:t>
      </w:r>
    </w:p>
    <w:p>
      <w:pPr>
        <w:numPr>
          <w:ilvl w:val="0"/>
          <w:numId w:val="1103"/>
        </w:numPr>
        <w:pStyle w:val="Compact"/>
      </w:pPr>
      <w:r>
        <w:rPr>
          <w:bCs/>
          <w:b/>
        </w:rPr>
        <w:t xml:space="preserve">Publication bias.</w:t>
      </w:r>
      <w:r>
        <w:t xml:space="preserve"> </w:t>
      </w:r>
      <w:r>
        <w:t xml:space="preserve">Defenses are usually reported on the authors’ own benchmarks with favorable configurations. Negative results appear mainly in attack papers.</w:t>
      </w:r>
    </w:p>
    <w:p>
      <w:pPr>
        <w:numPr>
          <w:ilvl w:val="0"/>
          <w:numId w:val="1103"/>
        </w:numPr>
        <w:pStyle w:val="Compact"/>
      </w:pPr>
      <w:r>
        <w:rPr>
          <w:bCs/>
          <w:b/>
        </w:rPr>
        <w:t xml:space="preserve">Heterogeneity and no pooling.</w:t>
      </w:r>
      <w:r>
        <w:t xml:space="preserve"> </w:t>
      </w:r>
      <w:r>
        <w:t xml:space="preserve">Architectures, threats, benchmarks and metrics differ too much for meta-analysis. The synthesis is qualitative, and numeric comparisons across studies are avoided.</w:t>
      </w:r>
    </w:p>
    <w:p>
      <w:pPr>
        <w:numPr>
          <w:ilvl w:val="0"/>
          <w:numId w:val="1103"/>
        </w:numPr>
        <w:pStyle w:val="Compact"/>
      </w:pPr>
      <w:r>
        <w:rPr>
          <w:bCs/>
          <w:b/>
        </w:rPr>
        <w:t xml:space="preserve">Metadata errors in the index.</w:t>
      </w:r>
      <w:r>
        <w:t xml:space="preserve"> </w:t>
      </w:r>
      <w:r>
        <w:t xml:space="preserve">One record was corrupted (AgentDojo’s DOI attached to another abstract) and one venue year was inconsistent (PromptShield). Both were detected and recorded, but others may have gone unnoticed.</w:t>
      </w:r>
    </w:p>
    <w:p>
      <w:pPr>
        <w:pStyle w:val="FirstParagraph"/>
      </w:pPr>
      <w:r>
        <w:rPr>
          <w:bCs/>
          <w:b/>
        </w:rPr>
        <w:t xml:space="preserve">Before submission.</w:t>
      </w:r>
      <w:r>
        <w:t xml:space="preserve"> </w:t>
      </w:r>
      <w:r>
        <w:t xml:space="preserve">The protocol’s Boolean blocks should be run directly in at least IEEE Xplore, the ACM DL, Scopus or Web of Science, and arXiv. Full texts of the included studies should be appraised, and the PRISMA flow and gap assessment updated.</w:t>
      </w:r>
    </w:p>
    <w:bookmarkEnd w:id="92"/>
    <w:bookmarkStart w:id="93" w:name="prior-art-risks-to-monitor"/>
    <w:p>
      <w:pPr>
        <w:pStyle w:val="Heading3"/>
      </w:pPr>
      <w:r>
        <w:t xml:space="preserve">2.13.5 Prior-art risks to monitor</w:t>
      </w:r>
    </w:p>
    <w:p>
      <w:pPr>
        <w:numPr>
          <w:ilvl w:val="0"/>
          <w:numId w:val="1104"/>
        </w:numPr>
        <w:pStyle w:val="Compact"/>
      </w:pPr>
      <w:r>
        <w:rPr>
          <w:bCs/>
          <w:b/>
        </w:rPr>
        <w:t xml:space="preserve">NEXUS.</w:t>
      </w:r>
      <w:r>
        <w:t xml:space="preserve"> </w:t>
      </w:r>
      <w:r>
        <w:t xml:space="preserve">If a later version evaluates per tool call on an executable benchmark, or makes intervention losses depend on each action’s consequence, Gap A largely closes.</w:t>
      </w:r>
    </w:p>
    <w:p>
      <w:pPr>
        <w:numPr>
          <w:ilvl w:val="0"/>
          <w:numId w:val="1104"/>
        </w:numPr>
        <w:pStyle w:val="Compact"/>
      </w:pPr>
      <w:r>
        <w:rPr>
          <w:bCs/>
          <w:b/>
        </w:rPr>
        <w:t xml:space="preserve">AgentTrust.</w:t>
      </w:r>
      <w:r>
        <w:t xml:space="preserve"> </w:t>
      </w:r>
      <w:r>
        <w:t xml:space="preserve">If a later version reports calibrated probabilities or consequence-weighted decisions, Gap A narrows. AgentTrust shares its name with another arXiv preprint (2606.08539) and must not be confused with it.</w:t>
      </w:r>
    </w:p>
    <w:p>
      <w:pPr>
        <w:numPr>
          <w:ilvl w:val="0"/>
          <w:numId w:val="1104"/>
        </w:numPr>
        <w:pStyle w:val="Compact"/>
      </w:pPr>
      <w:r>
        <w:rPr>
          <w:bCs/>
          <w:b/>
        </w:rPr>
        <w:t xml:space="preserve">MCP policy-enforcement point and LATTICE.</w:t>
      </w:r>
      <w:r>
        <w:t xml:space="preserve"> </w:t>
      </w:r>
      <w:r>
        <w:t xml:space="preserve">Both are peer-reviewed, HIGH EVIDENCE studies of action-boundary enforcement with ablation or baseline analysis. A probabilistic extension of either would narrow Gaps A, C and E.</w:t>
      </w:r>
    </w:p>
    <w:p>
      <w:pPr>
        <w:numPr>
          <w:ilvl w:val="0"/>
          <w:numId w:val="1104"/>
        </w:numPr>
        <w:pStyle w:val="Compact"/>
      </w:pPr>
      <w:r>
        <w:rPr>
          <w:bCs/>
          <w:b/>
        </w:rPr>
        <w:t xml:space="preserve">FinHarness.</w:t>
      </w:r>
      <w:r>
        <w:t xml:space="preserve"> </w:t>
      </w:r>
      <w:r>
        <w:t xml:space="preserve">A re-evaluation on an open executable benchmark with a probabilistic decision layer would narrow Gap D.</w:t>
      </w:r>
    </w:p>
    <w:p>
      <w:pPr>
        <w:numPr>
          <w:ilvl w:val="0"/>
          <w:numId w:val="1104"/>
        </w:numPr>
        <w:pStyle w:val="Compact"/>
      </w:pPr>
      <w:r>
        <w:rPr>
          <w:bCs/>
          <w:b/>
        </w:rPr>
        <w:t xml:space="preserve">Jackson (2025).</w:t>
      </w:r>
      <w:r>
        <w:t xml:space="preserve"> </w:t>
      </w:r>
      <w:r>
        <w:t xml:space="preserve">The full text was not accessed. If it documents calibrated, consequence-weighted selection with evaluation, Gaps A and E narrow.</w:t>
      </w:r>
    </w:p>
    <w:p>
      <w:pPr>
        <w:numPr>
          <w:ilvl w:val="0"/>
          <w:numId w:val="1104"/>
        </w:numPr>
        <w:pStyle w:val="Compact"/>
      </w:pPr>
      <w:r>
        <w:rPr>
          <w:bCs/>
          <w:b/>
        </w:rPr>
        <w:t xml:space="preserve">Unsearched databases.</w:t>
      </w:r>
      <w:r>
        <w:t xml:space="preserve"> </w:t>
      </w:r>
      <w:r>
        <w:t xml:space="preserve">Studies in the libraries that could not be searched may already report the combination stated in Section 2.13.2.</w:t>
      </w:r>
    </w:p>
    <w:p>
      <w:r>
        <w:pict>
          <v:rect style="width:0;height:1.5pt" o:hralign="center" o:hrstd="t" o:hr="t"/>
        </w:pict>
      </w:r>
    </w:p>
    <w:bookmarkEnd w:id="93"/>
    <w:bookmarkEnd w:id="94"/>
    <w:bookmarkStart w:id="95" w:name="chapter-summary"/>
    <w:p>
      <w:pPr>
        <w:pStyle w:val="Heading2"/>
      </w:pPr>
      <w:r>
        <w:t xml:space="preserve">2.14 Chapter Summary</w:t>
      </w:r>
    </w:p>
    <w:p>
      <w:pPr>
        <w:pStyle w:val="FirstParagraph"/>
      </w:pPr>
      <w:r>
        <w:t xml:space="preserve">This chapter reported a record-level systematic review, reported following PRISMA 2020 and PRISMA-S, of runtime security for tool-using AI agents, with attention to financial execution. Full texts were not retrieved, so its findings rest on records.</w:t>
      </w:r>
    </w:p>
    <w:p>
      <w:pPr>
        <w:pStyle w:val="BodyText"/>
      </w:pPr>
      <w:r>
        <w:rPr>
          <w:bCs/>
          <w:b/>
        </w:rPr>
        <w:t xml:space="preserve">Selection.</w:t>
      </w:r>
      <w:r>
        <w:t xml:space="preserve"> </w:t>
      </w:r>
      <w:r>
        <w:t xml:space="preserve">The search of OpenAlex on 25 September 2026 identified 320 records. After deduplication, 219 were screened, and 45 were assessed for eligibility at record level. Forty database studies were included. Another 31 came from the verified reference list of the previous chapter, giving 71 included studies. Of these, 10 are HIGH, 36 MODERATE and 25 LIMITED record-visible evidence.</w:t>
      </w:r>
    </w:p>
    <w:p>
      <w:pPr>
        <w:pStyle w:val="BodyText"/>
      </w:pPr>
      <w:r>
        <w:rPr>
          <w:bCs/>
          <w:b/>
        </w:rPr>
        <w:t xml:space="preserve">Themes.</w:t>
      </w:r>
      <w:r>
        <w:t xml:space="preserve"> </w:t>
      </w:r>
      <w:r>
        <w:t xml:space="preserve">The synthesis established the following:</w:t>
      </w:r>
    </w:p>
    <w:p>
      <w:pPr>
        <w:numPr>
          <w:ilvl w:val="0"/>
          <w:numId w:val="1105"/>
        </w:numPr>
        <w:pStyle w:val="Compact"/>
      </w:pPr>
      <w:r>
        <w:rPr>
          <w:bCs/>
          <w:b/>
        </w:rPr>
        <w:t xml:space="preserve">Threats.</w:t>
      </w:r>
      <w:r>
        <w:t xml:space="preserve"> </w:t>
      </w:r>
      <w:r>
        <w:t xml:space="preserve">Indirect prompt injection through the observation channel is the best-evidenced threat to tool-using agents, and it is adaptive. Its harm materializes at the proposed tool call.</w:t>
      </w:r>
    </w:p>
    <w:p>
      <w:pPr>
        <w:numPr>
          <w:ilvl w:val="0"/>
          <w:numId w:val="1105"/>
        </w:numPr>
        <w:pStyle w:val="Compact"/>
      </w:pPr>
      <w:r>
        <w:rPr>
          <w:bCs/>
          <w:b/>
        </w:rPr>
        <w:t xml:space="preserve">Defenses.</w:t>
      </w:r>
      <w:r>
        <w:t xml:space="preserve"> </w:t>
      </w:r>
      <w:r>
        <w:t xml:space="preserve">Runtime interception, deterministic enforcement, information-flow architectures, learned guardrails and provenance checks are all established. Adaptive attacks have repeatedly broken defenses, including architectural ones.</w:t>
      </w:r>
    </w:p>
    <w:p>
      <w:pPr>
        <w:numPr>
          <w:ilvl w:val="0"/>
          <w:numId w:val="1105"/>
        </w:numPr>
        <w:pStyle w:val="Compact"/>
      </w:pPr>
      <w:r>
        <w:rPr>
          <w:bCs/>
          <w:b/>
        </w:rPr>
        <w:t xml:space="preserve">Behavioral and provenance evidence.</w:t>
      </w:r>
      <w:r>
        <w:t xml:space="preserve"> </w:t>
      </w:r>
      <w:r>
        <w:t xml:space="preserve">Many monitors observe trajectories. Evidence on their contribution is sparse and conflicting: a null ablation of a session tracker, and a large effect of cross-step information-flow labels.</w:t>
      </w:r>
    </w:p>
    <w:p>
      <w:pPr>
        <w:numPr>
          <w:ilvl w:val="0"/>
          <w:numId w:val="1105"/>
        </w:numPr>
        <w:pStyle w:val="Compact"/>
      </w:pPr>
      <w:r>
        <w:rPr>
          <w:bCs/>
          <w:b/>
        </w:rPr>
        <w:t xml:space="preserve">Algorithmic foundations.</w:t>
      </w:r>
      <w:r>
        <w:t xml:space="preserve"> </w:t>
      </w:r>
      <w:r>
        <w:t xml:space="preserve">Logistic scoring, Platt calibration, expected-cost decisions with a reject option, and additive attribution are established. One agent-safety system (NEXUS) combines calibration with costs at the plan level. Calibration or a confidence threshold alone did not secure good control in two independent studies. CUSUM is reviewed only as an optional, observe-only analysis.</w:t>
      </w:r>
    </w:p>
    <w:p>
      <w:pPr>
        <w:numPr>
          <w:ilvl w:val="0"/>
          <w:numId w:val="1105"/>
        </w:numPr>
        <w:pStyle w:val="Compact"/>
      </w:pPr>
      <w:r>
        <w:rPr>
          <w:bCs/>
          <w:b/>
        </w:rPr>
        <w:t xml:space="preserve">Decision and mitigation.</w:t>
      </w:r>
      <w:r>
        <w:t xml:space="preserve"> </w:t>
      </w:r>
      <w:r>
        <w:t xml:space="preserve">Graduated responses with human review are standard. How to combine a probability of adversarial induction with a declared consequence remains open. Intervention rates are rarely reported.</w:t>
      </w:r>
    </w:p>
    <w:p>
      <w:pPr>
        <w:numPr>
          <w:ilvl w:val="0"/>
          <w:numId w:val="1105"/>
        </w:numPr>
        <w:pStyle w:val="Compact"/>
      </w:pPr>
      <w:r>
        <w:rPr>
          <w:bCs/>
          <w:b/>
        </w:rPr>
        <w:t xml:space="preserve">Financial agents.</w:t>
      </w:r>
      <w:r>
        <w:t xml:space="preserve"> </w:t>
      </w:r>
      <w:r>
        <w:t xml:space="preserve">All financial-context evidence is LIMITED, and the only quantitative financial runtime results cannot be confirmed against a maintained benchmark.</w:t>
      </w:r>
    </w:p>
    <w:p>
      <w:pPr>
        <w:pStyle w:val="FirstParagraph"/>
      </w:pPr>
      <w:r>
        <w:rPr>
          <w:bCs/>
          <w:b/>
        </w:rPr>
        <w:t xml:space="preserve">The gap.</w:t>
      </w:r>
      <w:r>
        <w:t xml:space="preserve"> </w:t>
      </w:r>
      <w:r>
        <w:t xml:space="preserve">The research gap supported by the examined records is</w:t>
      </w:r>
      <w:r>
        <w:t xml:space="preserve"> </w:t>
      </w:r>
      <w:r>
        <w:rPr>
          <w:bCs/>
          <w:b/>
        </w:rPr>
        <w:t xml:space="preserve">empirical</w:t>
      </w:r>
      <w:r>
        <w:t xml:space="preserve">: it concerns the evaluation, on an open, executable banking benchmark, of a runtime layer that combines:</w:t>
      </w:r>
    </w:p>
    <w:p>
      <w:pPr>
        <w:numPr>
          <w:ilvl w:val="0"/>
          <w:numId w:val="1106"/>
        </w:numPr>
        <w:pStyle w:val="Compact"/>
      </w:pPr>
      <w:r>
        <w:t xml:space="preserve">provenance-based action evidence;</w:t>
      </w:r>
    </w:p>
    <w:p>
      <w:pPr>
        <w:numPr>
          <w:ilvl w:val="0"/>
          <w:numId w:val="1106"/>
        </w:numPr>
        <w:pStyle w:val="Compact"/>
      </w:pPr>
      <w:r>
        <w:t xml:space="preserve">a calibrated per-step probability;</w:t>
      </w:r>
    </w:p>
    <w:p>
      <w:pPr>
        <w:numPr>
          <w:ilvl w:val="0"/>
          <w:numId w:val="1106"/>
        </w:numPr>
        <w:pStyle w:val="Compact"/>
      </w:pPr>
      <w:r>
        <w:t xml:space="preserve">consequence-tiered expected-loss decisions;</w:t>
      </w:r>
    </w:p>
    <w:p>
      <w:pPr>
        <w:numPr>
          <w:ilvl w:val="0"/>
          <w:numId w:val="1106"/>
        </w:numPr>
        <w:pStyle w:val="Compact"/>
      </w:pPr>
      <w:r>
        <w:t xml:space="preserve">deterministic mitigation.</w:t>
      </w:r>
    </w:p>
    <w:p>
      <w:pPr>
        <w:pStyle w:val="FirstParagraph"/>
      </w:pPr>
      <w:r>
        <w:t xml:space="preserve">The evaluation must measure attack success, benign utility, utility under attack, intervention behavior and latency separately, and report calibration separately from control, against a consequence-independent baseline that uses the same estimator. Every mechanism in this combination is established. Only the combination at the action boundary and the evaluation design are proposed by this thesis.</w:t>
      </w:r>
    </w:p>
    <w:p>
      <w:pPr>
        <w:pStyle w:val="BodyText"/>
      </w:pPr>
      <w:r>
        <w:t xml:space="preserve">Chapter 3 specifies the REM methodology through which the gap is addressed.</w:t>
      </w:r>
    </w:p>
    <w:p>
      <w:r>
        <w:pict>
          <v:rect style="width:0;height:1.5pt" o:hralign="center" o:hrstd="t" o:hr="t"/>
        </w:pict>
      </w:r>
    </w:p>
    <w:p>
      <w:r>
        <w:pict>
          <v:rect style="width:0;height:1.5pt" o:hralign="center" o:hrstd="t" o:hr="t"/>
        </w:pict>
      </w:r>
    </w:p>
    <w:bookmarkEnd w:id="95"/>
    <w:bookmarkStart w:id="96" w:name="Xe0abea851520173d3ac46f23364260acd45bd6c"/>
    <w:p>
      <w:pPr>
        <w:pStyle w:val="Heading2"/>
      </w:pPr>
      <w:r>
        <w:t xml:space="preserve">Appendix 2A. Comparative Evidence Matrix of Defense and Design Studies</w:t>
      </w:r>
    </w:p>
    <w:p>
      <w:pPr>
        <w:pStyle w:val="FirstParagraph"/>
      </w:pPr>
      <w:r>
        <w:t xml:space="preserve">Coding as in Section 2.11: Yes = reported in the verified record; NR = Not Reported (not evidence of absence); NV = Not Verified; NA = Not Applicable. Evidence levels refer to record-visible evidence (Section 2.2.6).</w:t>
      </w:r>
    </w:p>
    <w:p>
      <w:pPr>
        <w:pStyle w:val="BodyText"/>
      </w:pPr>
      <w:r>
        <w:rPr>
          <w:bCs/>
          <w:b/>
        </w:rPr>
        <w:t xml:space="preserve">Table 2.8. Comparative evidence for included defense and design studies (n = 42)</w:t>
      </w:r>
    </w:p>
    <w:tbl>
      <w:tblPr>
        <w:tblStyle w:val="Table"/>
        <w:tblW w:type="pct" w:w="5000"/>
        <w:tblLook w:firstRow="1" w:lastRow="0" w:firstColumn="0" w:lastColumn="0" w:noHBand="0" w:noVBand="0" w:val="0020"/>
        <w:jc w:val="start"/>
      </w:tblPr>
      <w:tblGrid>
        <w:gridCol w:w="609"/>
        <w:gridCol w:w="609"/>
        <w:gridCol w:w="609"/>
        <w:gridCol w:w="609"/>
        <w:gridCol w:w="609"/>
        <w:gridCol w:w="609"/>
        <w:gridCol w:w="609"/>
        <w:gridCol w:w="609"/>
        <w:gridCol w:w="609"/>
        <w:gridCol w:w="609"/>
        <w:gridCol w:w="609"/>
        <w:gridCol w:w="609"/>
        <w:gridCol w:w="609"/>
      </w:tblGrid>
      <w:tr>
        <w:trPr>
          <w:tblHeader w:val="true"/>
        </w:trPr>
        <w:tc>
          <w:tcPr/>
          <w:p>
            <w:pPr>
              <w:pStyle w:val="Compact"/>
              <w:jc w:val="left"/>
            </w:pPr>
            <w:r>
              <w:t xml:space="preserve">Study</w:t>
            </w:r>
          </w:p>
        </w:tc>
        <w:tc>
          <w:tcPr/>
          <w:p>
            <w:pPr>
              <w:pStyle w:val="Compact"/>
              <w:jc w:val="left"/>
            </w:pPr>
            <w:r>
              <w:t xml:space="preserve">Threat</w:t>
            </w:r>
          </w:p>
        </w:tc>
        <w:tc>
          <w:tcPr/>
          <w:p>
            <w:pPr>
              <w:pStyle w:val="Compact"/>
              <w:jc w:val="left"/>
            </w:pPr>
            <w:r>
              <w:t xml:space="preserve">Entry Point</w:t>
            </w:r>
          </w:p>
        </w:tc>
        <w:tc>
          <w:tcPr/>
          <w:p>
            <w:pPr>
              <w:pStyle w:val="Compact"/>
              <w:jc w:val="left"/>
            </w:pPr>
            <w:r>
              <w:t xml:space="preserve">Observation Unit</w:t>
            </w:r>
          </w:p>
        </w:tc>
        <w:tc>
          <w:tcPr/>
          <w:p>
            <w:pPr>
              <w:pStyle w:val="Compact"/>
              <w:jc w:val="left"/>
            </w:pPr>
            <w:r>
              <w:t xml:space="preserve">Runtime</w:t>
            </w:r>
          </w:p>
        </w:tc>
        <w:tc>
          <w:tcPr/>
          <w:p>
            <w:pPr>
              <w:pStyle w:val="Compact"/>
              <w:jc w:val="left"/>
            </w:pPr>
            <w:r>
              <w:t xml:space="preserve">Behavior</w:t>
            </w:r>
          </w:p>
        </w:tc>
        <w:tc>
          <w:tcPr/>
          <w:p>
            <w:pPr>
              <w:pStyle w:val="Compact"/>
              <w:jc w:val="left"/>
            </w:pPr>
            <w:r>
              <w:t xml:space="preserve">Tool/Action</w:t>
            </w:r>
          </w:p>
        </w:tc>
        <w:tc>
          <w:tcPr/>
          <w:p>
            <w:pPr>
              <w:pStyle w:val="Compact"/>
              <w:jc w:val="left"/>
            </w:pPr>
            <w:r>
              <w:t xml:space="preserve">Multi-Step</w:t>
            </w:r>
          </w:p>
        </w:tc>
        <w:tc>
          <w:tcPr/>
          <w:p>
            <w:pPr>
              <w:pStyle w:val="Compact"/>
              <w:jc w:val="left"/>
            </w:pPr>
            <w:r>
              <w:t xml:space="preserve">Provenance</w:t>
            </w:r>
          </w:p>
        </w:tc>
        <w:tc>
          <w:tcPr/>
          <w:p>
            <w:pPr>
              <w:pStyle w:val="Compact"/>
              <w:jc w:val="left"/>
            </w:pPr>
            <w:r>
              <w:t xml:space="preserve">Decision</w:t>
            </w:r>
          </w:p>
        </w:tc>
        <w:tc>
          <w:tcPr/>
          <w:p>
            <w:pPr>
              <w:pStyle w:val="Compact"/>
              <w:jc w:val="left"/>
            </w:pPr>
            <w:r>
              <w:t xml:space="preserve">Mitigation</w:t>
            </w:r>
          </w:p>
        </w:tc>
        <w:tc>
          <w:tcPr/>
          <w:p>
            <w:pPr>
              <w:pStyle w:val="Compact"/>
              <w:jc w:val="left"/>
            </w:pPr>
            <w:r>
              <w:t xml:space="preserve">Financial Context</w:t>
            </w:r>
          </w:p>
        </w:tc>
        <w:tc>
          <w:tcPr/>
          <w:p>
            <w:pPr>
              <w:pStyle w:val="Compact"/>
              <w:jc w:val="left"/>
            </w:pPr>
            <w:r>
              <w:t xml:space="preserve">Evidence Level</w:t>
            </w:r>
          </w:p>
        </w:tc>
      </w:tr>
      <w:tr>
        <w:tc>
          <w:tcPr/>
          <w:p>
            <w:pPr>
              <w:pStyle w:val="Compact"/>
              <w:jc w:val="left"/>
            </w:pPr>
            <w:r>
              <w:t xml:space="preserve">C. L. Wang et al. (2025) [P59]</w:t>
            </w:r>
          </w:p>
        </w:tc>
        <w:tc>
          <w:tcPr/>
          <w:p>
            <w:pPr>
              <w:pStyle w:val="Compact"/>
              <w:jc w:val="left"/>
            </w:pPr>
            <w:r>
              <w:t xml:space="preserve">Emergent/unsafe agent behaviour (governance)</w:t>
            </w:r>
          </w:p>
        </w:tc>
        <w:tc>
          <w:tcPr/>
          <w:p>
            <w:pPr>
              <w:pStyle w:val="Compact"/>
              <w:jc w:val="left"/>
            </w:pPr>
            <w:r>
              <w:t xml:space="preserve">NA</w:t>
            </w:r>
          </w:p>
        </w:tc>
        <w:tc>
          <w:tcPr/>
          <w:p>
            <w:pPr>
              <w:pStyle w:val="Compact"/>
              <w:jc w:val="left"/>
            </w:pPr>
            <w:r>
              <w:t xml:space="preserve">Agent state and actions over time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 (graduated containment)</w:t>
            </w:r>
          </w:p>
        </w:tc>
        <w:tc>
          <w:tcPr/>
          <w:p>
            <w:pPr>
              <w:pStyle w:val="Compact"/>
              <w:jc w:val="left"/>
            </w:pPr>
            <w:r>
              <w:t xml:space="preserve">NV</w:t>
            </w:r>
          </w:p>
        </w:tc>
        <w:tc>
          <w:tcPr/>
          <w:p>
            <w:pPr>
              <w:pStyle w:val="Compact"/>
              <w:jc w:val="left"/>
            </w:pPr>
            <w:r>
              <w:t xml:space="preserve">MOD</w:t>
            </w:r>
          </w:p>
        </w:tc>
      </w:tr>
      <w:tr>
        <w:tc>
          <w:tcPr/>
          <w:p>
            <w:pPr>
              <w:pStyle w:val="Compact"/>
              <w:jc w:val="left"/>
            </w:pPr>
            <w:r>
              <w:t xml:space="preserve">C. Yang (2026) [P64]</w:t>
            </w:r>
          </w:p>
        </w:tc>
        <w:tc>
          <w:tcPr/>
          <w:p>
            <w:pPr>
              <w:pStyle w:val="Compact"/>
              <w:jc w:val="left"/>
            </w:pPr>
            <w:r>
              <w:t xml:space="preserve">Unsafe tool-use side effects</w:t>
            </w:r>
          </w:p>
        </w:tc>
        <w:tc>
          <w:tcPr/>
          <w:p>
            <w:pPr>
              <w:pStyle w:val="Compact"/>
              <w:jc w:val="left"/>
            </w:pPr>
            <w:r>
              <w:t xml:space="preserve">Proposed tool call</w:t>
            </w:r>
          </w:p>
        </w:tc>
        <w:tc>
          <w:tcPr/>
          <w:p>
            <w:pPr>
              <w:pStyle w:val="Compact"/>
              <w:jc w:val="left"/>
            </w:pPr>
            <w:r>
              <w:t xml:space="preserve">Each proposed tool call (plus session chains)</w:t>
            </w:r>
          </w:p>
        </w:tc>
        <w:tc>
          <w:tcPr/>
          <w:p>
            <w:pPr>
              <w:pStyle w:val="Compact"/>
              <w:jc w:val="left"/>
            </w:pPr>
            <w:r>
              <w:t xml:space="preserve">Yes</w:t>
            </w:r>
          </w:p>
        </w:tc>
        <w:tc>
          <w:tcPr/>
          <w:p>
            <w:pPr>
              <w:pStyle w:val="Compact"/>
              <w:jc w:val="left"/>
            </w:pPr>
            <w:r>
              <w:t xml:space="preserve">Yes (seven chain detectors)</w:t>
            </w:r>
          </w:p>
        </w:tc>
        <w:tc>
          <w:tcPr/>
          <w:p>
            <w:pPr>
              <w:pStyle w:val="Compact"/>
              <w:jc w:val="left"/>
            </w:pPr>
            <w:r>
              <w:t xml:space="preserve">Yes</w:t>
            </w:r>
          </w:p>
        </w:tc>
        <w:tc>
          <w:tcPr/>
          <w:p>
            <w:pPr>
              <w:pStyle w:val="Compact"/>
              <w:jc w:val="left"/>
            </w:pPr>
            <w:r>
              <w:t xml:space="preserve">Yes (session tracker; no measurable effect in ablation)</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 (allow/warn/block/review; safer alternatives)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Calboreanu (2026) [P40]</w:t>
            </w:r>
          </w:p>
        </w:tc>
        <w:tc>
          <w:tcPr/>
          <w:p>
            <w:pPr>
              <w:pStyle w:val="Compact"/>
              <w:jc w:val="left"/>
            </w:pPr>
            <w:r>
              <w:t xml:space="preserve">Unauthorised actions</w:t>
            </w:r>
          </w:p>
        </w:tc>
        <w:tc>
          <w:tcPr/>
          <w:p>
            <w:pPr>
              <w:pStyle w:val="Compact"/>
              <w:jc w:val="left"/>
            </w:pPr>
            <w:r>
              <w:t xml:space="preserve">NA</w:t>
            </w:r>
          </w:p>
        </w:tc>
        <w:tc>
          <w:tcPr/>
          <w:p>
            <w:pPr>
              <w:pStyle w:val="Compact"/>
              <w:jc w:val="left"/>
            </w:pPr>
            <w:r>
              <w:t xml:space="preserve">Proposed action at gated execution path</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HIGH</w:t>
            </w:r>
          </w:p>
        </w:tc>
      </w:tr>
      <w:tr>
        <w:tc>
          <w:tcPr/>
          <w:p>
            <w:pPr>
              <w:pStyle w:val="Compact"/>
              <w:jc w:val="left"/>
            </w:pPr>
            <w:r>
              <w:t xml:space="preserve">Castro-Maldonado et al. (2026) [P32]</w:t>
            </w:r>
          </w:p>
        </w:tc>
        <w:tc>
          <w:tcPr/>
          <w:p>
            <w:pPr>
              <w:pStyle w:val="Compact"/>
              <w:jc w:val="left"/>
            </w:pPr>
            <w:r>
              <w:t xml:space="preserve">Customer-data protection / security (threat model not specified in abstract)</w:t>
            </w:r>
          </w:p>
        </w:tc>
        <w:tc>
          <w:tcPr/>
          <w:p>
            <w:pPr>
              <w:pStyle w:val="Compact"/>
              <w:jc w:val="left"/>
            </w:pPr>
            <w:r>
              <w:t xml:space="preserve">User queries and retrieved content</w:t>
            </w:r>
          </w:p>
        </w:tc>
        <w:tc>
          <w:tcPr/>
          <w:p>
            <w:pPr>
              <w:pStyle w:val="Compact"/>
              <w:jc w:val="left"/>
            </w:pPr>
            <w:r>
              <w:t xml:space="preserve">Query/response</w:t>
            </w:r>
          </w:p>
        </w:tc>
        <w:tc>
          <w:tcPr/>
          <w:p>
            <w:pPr>
              <w:pStyle w:val="Compact"/>
              <w:jc w:val="left"/>
            </w:pPr>
            <w:r>
              <w:t xml:space="preserve">Yes</w:t>
            </w:r>
          </w:p>
        </w:tc>
        <w:tc>
          <w:tcPr/>
          <w:p>
            <w:pPr>
              <w:pStyle w:val="Compact"/>
              <w:jc w:val="left"/>
            </w:pPr>
            <w:r>
              <w:t xml:space="preserve">NR</w:t>
            </w:r>
          </w:p>
        </w:tc>
        <w:tc>
          <w:tcPr/>
          <w:p>
            <w:pPr>
              <w:pStyle w:val="Compact"/>
              <w:jc w:val="left"/>
            </w:pPr>
            <w:r>
              <w:t xml:space="preserve">NV</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w:t>
            </w:r>
          </w:p>
        </w:tc>
        <w:tc>
          <w:tcPr/>
          <w:p>
            <w:pPr>
              <w:pStyle w:val="Compact"/>
              <w:jc w:val="left"/>
            </w:pPr>
            <w:r>
              <w:t xml:space="preserve">NV</w:t>
            </w:r>
          </w:p>
        </w:tc>
        <w:tc>
          <w:tcPr/>
          <w:p>
            <w:pPr>
              <w:pStyle w:val="Compact"/>
              <w:jc w:val="left"/>
            </w:pPr>
            <w:r>
              <w:t xml:space="preserve">Yes</w:t>
            </w:r>
          </w:p>
        </w:tc>
        <w:tc>
          <w:tcPr/>
          <w:p>
            <w:pPr>
              <w:pStyle w:val="Compact"/>
              <w:jc w:val="left"/>
            </w:pPr>
            <w:r>
              <w:t xml:space="preserve">LIM</w:t>
            </w:r>
          </w:p>
        </w:tc>
      </w:tr>
      <w:tr>
        <w:tc>
          <w:tcPr/>
          <w:p>
            <w:pPr>
              <w:pStyle w:val="Compact"/>
              <w:jc w:val="left"/>
            </w:pPr>
            <w:r>
              <w:t xml:space="preserve">Chennabasappa et al. (2025) [P16]</w:t>
            </w:r>
          </w:p>
        </w:tc>
        <w:tc>
          <w:tcPr/>
          <w:p>
            <w:pPr>
              <w:pStyle w:val="Compact"/>
              <w:jc w:val="left"/>
            </w:pPr>
            <w:r>
              <w:t xml:space="preserve">Prompt injection; jailbreak; agent misalignment; insecure code</w:t>
            </w:r>
          </w:p>
        </w:tc>
        <w:tc>
          <w:tcPr/>
          <w:p>
            <w:pPr>
              <w:pStyle w:val="Compact"/>
              <w:jc w:val="left"/>
            </w:pPr>
            <w:r>
              <w:t xml:space="preserve">Untrusted inputs; agent reasoning; generated code</w:t>
            </w:r>
          </w:p>
        </w:tc>
        <w:tc>
          <w:tcPr/>
          <w:p>
            <w:pPr>
              <w:pStyle w:val="Compact"/>
              <w:jc w:val="left"/>
            </w:pPr>
            <w:r>
              <w:t xml:space="preserve">Inputs and chain-of-thought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NV</w:t>
            </w:r>
          </w:p>
        </w:tc>
        <w:tc>
          <w:tcPr/>
          <w:p>
            <w:pPr>
              <w:pStyle w:val="Compact"/>
              <w:jc w:val="left"/>
            </w:pPr>
            <w:r>
              <w:t xml:space="preserve">NV</w:t>
            </w:r>
          </w:p>
        </w:tc>
        <w:tc>
          <w:tcPr/>
          <w:p>
            <w:pPr>
              <w:pStyle w:val="Compact"/>
              <w:jc w:val="left"/>
            </w:pPr>
            <w:r>
              <w:t xml:space="preserve">NR</w:t>
            </w:r>
          </w:p>
        </w:tc>
        <w:tc>
          <w:tcPr/>
          <w:p>
            <w:pPr>
              <w:pStyle w:val="Compact"/>
              <w:jc w:val="left"/>
            </w:pPr>
            <w:r>
              <w:t xml:space="preserve">Yes</w:t>
            </w:r>
          </w:p>
        </w:tc>
        <w:tc>
          <w:tcPr/>
          <w:p>
            <w:pPr>
              <w:pStyle w:val="Compact"/>
              <w:jc w:val="left"/>
            </w:pPr>
            <w:r>
              <w:t xml:space="preserve">NV</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Debenedetti et al. (2025) [P52]</w:t>
            </w:r>
          </w:p>
        </w:tc>
        <w:tc>
          <w:tcPr/>
          <w:p>
            <w:pPr>
              <w:pStyle w:val="Compact"/>
              <w:jc w:val="left"/>
            </w:pPr>
            <w:r>
              <w:t xml:space="preserve">Prompt injection; data exfiltration</w:t>
            </w:r>
          </w:p>
        </w:tc>
        <w:tc>
          <w:tcPr/>
          <w:p>
            <w:pPr>
              <w:pStyle w:val="Compact"/>
              <w:jc w:val="left"/>
            </w:pPr>
            <w:r>
              <w:t xml:space="preserve">Untrusted data</w:t>
            </w:r>
          </w:p>
        </w:tc>
        <w:tc>
          <w:tcPr/>
          <w:p>
            <w:pPr>
              <w:pStyle w:val="Compact"/>
              <w:jc w:val="left"/>
            </w:pPr>
            <w:r>
              <w:t xml:space="preserve">Program control and data flow</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 (data flow across steps)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E. Li et al. (2026) [P12]</w:t>
            </w:r>
          </w:p>
        </w:tc>
        <w:tc>
          <w:tcPr/>
          <w:p>
            <w:pPr>
              <w:pStyle w:val="Compact"/>
              <w:jc w:val="left"/>
            </w:pPr>
            <w:r>
              <w:t xml:space="preserve">Malicious apps; indirect prompt injection; planning/execution integrity and availability</w:t>
            </w:r>
          </w:p>
        </w:tc>
        <w:tc>
          <w:tcPr/>
          <w:p>
            <w:pPr>
              <w:pStyle w:val="Compact"/>
              <w:jc w:val="left"/>
            </w:pPr>
            <w:r>
              <w:t xml:space="preserve">Third-party apps and their outputs</w:t>
            </w:r>
          </w:p>
        </w:tc>
        <w:tc>
          <w:tcPr/>
          <w:p>
            <w:pPr>
              <w:pStyle w:val="Compact"/>
              <w:jc w:val="left"/>
            </w:pPr>
            <w:r>
              <w:t xml:space="preserve">Abstract plan, concrete plan and execution</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F. Jia et al. (2025) [P01]</w:t>
            </w:r>
          </w:p>
        </w:tc>
        <w:tc>
          <w:tcPr/>
          <w:p>
            <w:pPr>
              <w:pStyle w:val="Compact"/>
              <w:jc w:val="left"/>
            </w:pPr>
            <w:r>
              <w:t xml:space="preserve">Indirect prompt injection</w:t>
            </w:r>
          </w:p>
        </w:tc>
        <w:tc>
          <w:tcPr/>
          <w:p>
            <w:pPr>
              <w:pStyle w:val="Compact"/>
              <w:jc w:val="left"/>
            </w:pPr>
            <w:r>
              <w:t xml:space="preserve">External data returned by tools</w:t>
            </w:r>
          </w:p>
        </w:tc>
        <w:tc>
          <w:tcPr/>
          <w:p>
            <w:pPr>
              <w:pStyle w:val="Compact"/>
              <w:jc w:val="left"/>
            </w:pPr>
            <w:r>
              <w:t xml:space="preserve">Each instruction and tool call</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NV</w:t>
            </w:r>
          </w:p>
        </w:tc>
        <w:tc>
          <w:tcPr/>
          <w:p>
            <w:pPr>
              <w:pStyle w:val="Compact"/>
              <w:jc w:val="left"/>
            </w:pPr>
            <w:r>
              <w:t xml:space="preserve">NR</w:t>
            </w:r>
          </w:p>
        </w:tc>
        <w:tc>
          <w:tcPr/>
          <w:p>
            <w:pPr>
              <w:pStyle w:val="Compact"/>
              <w:jc w:val="left"/>
            </w:pPr>
            <w:r>
              <w:t xml:space="preserve">Yes</w:t>
            </w:r>
          </w:p>
        </w:tc>
        <w:tc>
          <w:tcPr/>
          <w:p>
            <w:pPr>
              <w:pStyle w:val="Compact"/>
              <w:jc w:val="left"/>
            </w:pPr>
            <w:r>
              <w:t xml:space="preserve">NV</w:t>
            </w:r>
          </w:p>
        </w:tc>
        <w:tc>
          <w:tcPr/>
          <w:p>
            <w:pPr>
              <w:pStyle w:val="Compact"/>
              <w:jc w:val="left"/>
            </w:pPr>
            <w:r>
              <w:t xml:space="preserve">NR</w:t>
            </w:r>
          </w:p>
        </w:tc>
        <w:tc>
          <w:tcPr/>
          <w:p>
            <w:pPr>
              <w:pStyle w:val="Compact"/>
              <w:jc w:val="left"/>
            </w:pPr>
            <w:r>
              <w:t xml:space="preserve">HIGH</w:t>
            </w:r>
          </w:p>
        </w:tc>
      </w:tr>
      <w:tr>
        <w:tc>
          <w:tcPr/>
          <w:p>
            <w:pPr>
              <w:pStyle w:val="Compact"/>
              <w:jc w:val="left"/>
            </w:pPr>
            <w:r>
              <w:t xml:space="preserve">F. Li (2026) [P60]</w:t>
            </w:r>
          </w:p>
        </w:tc>
        <w:tc>
          <w:tcPr/>
          <w:p>
            <w:pPr>
              <w:pStyle w:val="Compact"/>
              <w:jc w:val="left"/>
            </w:pPr>
            <w:r>
              <w:t xml:space="preserve">IPI, unsafe tools, credential leakage, tampering</w:t>
            </w:r>
          </w:p>
        </w:tc>
        <w:tc>
          <w:tcPr/>
          <w:p>
            <w:pPr>
              <w:pStyle w:val="Compact"/>
              <w:jc w:val="left"/>
            </w:pPr>
            <w:r>
              <w:t xml:space="preserve">Tool inputs/outputs; files; credentials</w:t>
            </w:r>
          </w:p>
        </w:tc>
        <w:tc>
          <w:tcPr/>
          <w:p>
            <w:pPr>
              <w:pStyle w:val="Compact"/>
              <w:jc w:val="left"/>
            </w:pPr>
            <w:r>
              <w:t xml:space="preserve">Lifecycle hook events within a session</w:t>
            </w:r>
          </w:p>
        </w:tc>
        <w:tc>
          <w:tcPr/>
          <w:p>
            <w:pPr>
              <w:pStyle w:val="Compact"/>
              <w:jc w:val="left"/>
            </w:pPr>
            <w:r>
              <w:t xml:space="preserve">Yes</w:t>
            </w:r>
          </w:p>
        </w:tc>
        <w:tc>
          <w:tcPr/>
          <w:p>
            <w:pPr>
              <w:pStyle w:val="Compact"/>
              <w:jc w:val="left"/>
            </w:pPr>
            <w:r>
              <w:t xml:space="preserve">Yes (session risk accumulation)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F. Wu, Cecchetti, &amp; Xiao (2024) [P08]</w:t>
            </w:r>
          </w:p>
        </w:tc>
        <w:tc>
          <w:tcPr/>
          <w:p>
            <w:pPr>
              <w:pStyle w:val="Compact"/>
              <w:jc w:val="left"/>
            </w:pPr>
            <w:r>
              <w:t xml:space="preserve">Indirect prompt injection</w:t>
            </w:r>
          </w:p>
        </w:tc>
        <w:tc>
          <w:tcPr/>
          <w:p>
            <w:pPr>
              <w:pStyle w:val="Compact"/>
              <w:jc w:val="left"/>
            </w:pPr>
            <w:r>
              <w:t xml:space="preserve">Any untrusted source feeding the planner</w:t>
            </w:r>
          </w:p>
        </w:tc>
        <w:tc>
          <w:tcPr/>
          <w:p>
            <w:pPr>
              <w:pStyle w:val="Compact"/>
              <w:jc w:val="left"/>
            </w:pPr>
            <w:r>
              <w:t xml:space="preserve">Planning inputs and structured plans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H. Jia et al. (2026) [P71]</w:t>
            </w:r>
          </w:p>
        </w:tc>
        <w:tc>
          <w:tcPr/>
          <w:p>
            <w:pPr>
              <w:pStyle w:val="Compact"/>
              <w:jc w:val="left"/>
            </w:pPr>
            <w:r>
              <w:t xml:space="preserve">Prompt-induced unauthorised financial actions</w:t>
            </w:r>
          </w:p>
        </w:tc>
        <w:tc>
          <w:tcPr/>
          <w:p>
            <w:pPr>
              <w:pStyle w:val="Compact"/>
              <w:jc w:val="left"/>
            </w:pPr>
            <w:r>
              <w:t xml:space="preserve">User queries; tool calls</w:t>
            </w:r>
          </w:p>
        </w:tc>
        <w:tc>
          <w:tcPr/>
          <w:p>
            <w:pPr>
              <w:pStyle w:val="Compact"/>
              <w:jc w:val="left"/>
            </w:pPr>
            <w:r>
              <w:t xml:space="preserve">Query and tool call with cross-turn state</w:t>
            </w:r>
          </w:p>
        </w:tc>
        <w:tc>
          <w:tcPr/>
          <w:p>
            <w:pPr>
              <w:pStyle w:val="Compact"/>
              <w:jc w:val="left"/>
            </w:pPr>
            <w:r>
              <w:t xml:space="preserve">Yes</w:t>
            </w:r>
          </w:p>
        </w:tc>
        <w:tc>
          <w:tcPr/>
          <w:p>
            <w:pPr>
              <w:pStyle w:val="Compact"/>
              <w:jc w:val="left"/>
            </w:pPr>
            <w:r>
              <w:t xml:space="preserve">Yes (partial: cross-turn drift, accumulated risk)</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 (block/approve; escalation to advanced judge)</w:t>
            </w:r>
          </w:p>
        </w:tc>
        <w:tc>
          <w:tcPr/>
          <w:p>
            <w:pPr>
              <w:pStyle w:val="Compact"/>
              <w:jc w:val="left"/>
            </w:pPr>
            <w:r>
              <w:t xml:space="preserve">Yes</w:t>
            </w:r>
          </w:p>
        </w:tc>
        <w:tc>
          <w:tcPr/>
          <w:p>
            <w:pPr>
              <w:pStyle w:val="Compact"/>
              <w:jc w:val="left"/>
            </w:pPr>
            <w:r>
              <w:t xml:space="preserve">LIM</w:t>
            </w:r>
          </w:p>
        </w:tc>
      </w:tr>
      <w:tr>
        <w:tc>
          <w:tcPr/>
          <w:p>
            <w:pPr>
              <w:pStyle w:val="Compact"/>
              <w:jc w:val="left"/>
            </w:pPr>
            <w:r>
              <w:t xml:space="preserve">H. Li et al. (2025) [P38]</w:t>
            </w:r>
          </w:p>
        </w:tc>
        <w:tc>
          <w:tcPr/>
          <w:p>
            <w:pPr>
              <w:pStyle w:val="Compact"/>
              <w:jc w:val="left"/>
            </w:pPr>
            <w:r>
              <w:t xml:space="preserve">Prompt injection via external tools</w:t>
            </w:r>
          </w:p>
        </w:tc>
        <w:tc>
          <w:tcPr/>
          <w:p>
            <w:pPr>
              <w:pStyle w:val="Compact"/>
              <w:jc w:val="left"/>
            </w:pPr>
            <w:r>
              <w:t xml:space="preserve">Tool outputs; memory stream</w:t>
            </w:r>
          </w:p>
        </w:tc>
        <w:tc>
          <w:tcPr/>
          <w:p>
            <w:pPr>
              <w:pStyle w:val="Compact"/>
              <w:jc w:val="left"/>
            </w:pPr>
            <w:r>
              <w:t xml:space="preserve">Function trajectory vs. planned trajectory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H. Liu et al. (2026) [P63]</w:t>
            </w:r>
          </w:p>
        </w:tc>
        <w:tc>
          <w:tcPr/>
          <w:p>
            <w:pPr>
              <w:pStyle w:val="Compact"/>
              <w:jc w:val="left"/>
            </w:pPr>
            <w:r>
              <w:t xml:space="preserve">Prompt injection propagating through workflows</w:t>
            </w:r>
          </w:p>
        </w:tc>
        <w:tc>
          <w:tcPr/>
          <w:p>
            <w:pPr>
              <w:pStyle w:val="Compact"/>
              <w:jc w:val="left"/>
            </w:pPr>
            <w:r>
              <w:t xml:space="preserve">Inputs and intermediate context</w:t>
            </w:r>
          </w:p>
        </w:tc>
        <w:tc>
          <w:tcPr/>
          <w:p>
            <w:pPr>
              <w:pStyle w:val="Compact"/>
              <w:jc w:val="left"/>
            </w:pPr>
            <w:r>
              <w:t xml:space="preserve">Stateful workflow</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H. Wang et al. (2025) [P61]</w:t>
            </w:r>
          </w:p>
        </w:tc>
        <w:tc>
          <w:tcPr/>
          <w:p>
            <w:pPr>
              <w:pStyle w:val="Compact"/>
              <w:jc w:val="left"/>
            </w:pPr>
            <w:r>
              <w:t xml:space="preserve">Safety-specification violations</w:t>
            </w:r>
          </w:p>
        </w:tc>
        <w:tc>
          <w:tcPr/>
          <w:p>
            <w:pPr>
              <w:pStyle w:val="Compact"/>
              <w:jc w:val="left"/>
            </w:pPr>
            <w:r>
              <w:t xml:space="preserve">NA</w:t>
            </w:r>
          </w:p>
        </w:tc>
        <w:tc>
          <w:tcPr/>
          <w:p>
            <w:pPr>
              <w:pStyle w:val="Compact"/>
              <w:jc w:val="left"/>
            </w:pPr>
            <w:r>
              <w:t xml:space="preserve">Abstract state sequence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 (non-financial)</w:t>
            </w:r>
          </w:p>
        </w:tc>
        <w:tc>
          <w:tcPr/>
          <w:p>
            <w:pPr>
              <w:pStyle w:val="Compact"/>
              <w:jc w:val="left"/>
            </w:pPr>
            <w:r>
              <w:t xml:space="preserve">MOD</w:t>
            </w:r>
          </w:p>
        </w:tc>
      </w:tr>
      <w:tr>
        <w:tc>
          <w:tcPr/>
          <w:p>
            <w:pPr>
              <w:pStyle w:val="Compact"/>
              <w:jc w:val="left"/>
            </w:pPr>
            <w:r>
              <w:t xml:space="preserve">H. Wang, Poskitt, &amp; Sun (2026) [P50]</w:t>
            </w:r>
          </w:p>
        </w:tc>
        <w:tc>
          <w:tcPr/>
          <w:p>
            <w:pPr>
              <w:pStyle w:val="Compact"/>
              <w:jc w:val="left"/>
            </w:pPr>
            <w:r>
              <w:t xml:space="preserve">Unsafe actions</w:t>
            </w:r>
          </w:p>
        </w:tc>
        <w:tc>
          <w:tcPr/>
          <w:p>
            <w:pPr>
              <w:pStyle w:val="Compact"/>
              <w:jc w:val="left"/>
            </w:pPr>
            <w:r>
              <w:t xml:space="preserve">NA</w:t>
            </w:r>
          </w:p>
        </w:tc>
        <w:tc>
          <w:tcPr/>
          <w:p>
            <w:pPr>
              <w:pStyle w:val="Compact"/>
              <w:jc w:val="left"/>
            </w:pPr>
            <w:r>
              <w:t xml:space="preserve">Triggered action vs. rule predicate</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NV</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H.-H. Chen (2026) [P67]</w:t>
            </w:r>
          </w:p>
        </w:tc>
        <w:tc>
          <w:tcPr/>
          <w:p>
            <w:pPr>
              <w:pStyle w:val="Compact"/>
              <w:jc w:val="left"/>
            </w:pPr>
            <w:r>
              <w:t xml:space="preserve">Consequences of side-effecting actions</w:t>
            </w:r>
          </w:p>
        </w:tc>
        <w:tc>
          <w:tcPr/>
          <w:p>
            <w:pPr>
              <w:pStyle w:val="Compact"/>
              <w:jc w:val="left"/>
            </w:pPr>
            <w:r>
              <w:t xml:space="preserve">NA</w:t>
            </w:r>
          </w:p>
        </w:tc>
        <w:tc>
          <w:tcPr/>
          <w:p>
            <w:pPr>
              <w:pStyle w:val="Compact"/>
              <w:jc w:val="left"/>
            </w:pPr>
            <w:r>
              <w:t xml:space="preserve">Each priced action</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 (consequence pricing vs. reserve)</w:t>
            </w:r>
          </w:p>
        </w:tc>
        <w:tc>
          <w:tcPr/>
          <w:p>
            <w:pPr>
              <w:pStyle w:val="Compact"/>
              <w:jc w:val="left"/>
            </w:pPr>
            <w:r>
              <w:t xml:space="preserve">Yes (gating)</w:t>
            </w:r>
          </w:p>
        </w:tc>
        <w:tc>
          <w:tcPr/>
          <w:p>
            <w:pPr>
              <w:pStyle w:val="Compact"/>
              <w:jc w:val="left"/>
            </w:pPr>
            <w:r>
              <w:t xml:space="preserve">Yes (partial: payments, refunds as examples)</w:t>
            </w:r>
          </w:p>
        </w:tc>
        <w:tc>
          <w:tcPr/>
          <w:p>
            <w:pPr>
              <w:pStyle w:val="Compact"/>
              <w:jc w:val="left"/>
            </w:pPr>
            <w:r>
              <w:t xml:space="preserve">LIM</w:t>
            </w:r>
          </w:p>
        </w:tc>
      </w:tr>
      <w:tr>
        <w:tc>
          <w:tcPr/>
          <w:p>
            <w:pPr>
              <w:pStyle w:val="Compact"/>
              <w:jc w:val="left"/>
            </w:pPr>
            <w:r>
              <w:t xml:space="preserve">Hines et al. (2024) [P47]</w:t>
            </w:r>
          </w:p>
        </w:tc>
        <w:tc>
          <w:tcPr/>
          <w:p>
            <w:pPr>
              <w:pStyle w:val="Compact"/>
              <w:jc w:val="left"/>
            </w:pPr>
            <w:r>
              <w:t xml:space="preserve">Indirect prompt injection</w:t>
            </w:r>
          </w:p>
        </w:tc>
        <w:tc>
          <w:tcPr/>
          <w:p>
            <w:pPr>
              <w:pStyle w:val="Compact"/>
              <w:jc w:val="left"/>
            </w:pPr>
            <w:r>
              <w:t xml:space="preserve">Untrusted documents</w:t>
            </w:r>
          </w:p>
        </w:tc>
        <w:tc>
          <w:tcPr/>
          <w:p>
            <w:pPr>
              <w:pStyle w:val="Compact"/>
              <w:jc w:val="left"/>
            </w:pPr>
            <w:r>
              <w:t xml:space="preserve">Input text</w:t>
            </w:r>
          </w:p>
        </w:tc>
        <w:tc>
          <w:tcPr/>
          <w:p>
            <w:pPr>
              <w:pStyle w:val="Compact"/>
              <w:jc w:val="left"/>
            </w:pPr>
            <w:r>
              <w:t xml:space="preserve">Yes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Yes</w:t>
            </w:r>
          </w:p>
        </w:tc>
        <w:tc>
          <w:tcPr/>
          <w:p>
            <w:pPr>
              <w:pStyle w:val="Compact"/>
              <w:jc w:val="left"/>
            </w:pPr>
            <w:r>
              <w:t xml:space="preserve">NA</w:t>
            </w:r>
          </w:p>
        </w:tc>
        <w:tc>
          <w:tcPr/>
          <w:p>
            <w:pPr>
              <w:pStyle w:val="Compact"/>
              <w:jc w:val="left"/>
            </w:pPr>
            <w:r>
              <w:t xml:space="preserve">NA</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Hossain et al. (2026) [P65]</w:t>
            </w:r>
          </w:p>
        </w:tc>
        <w:tc>
          <w:tcPr/>
          <w:p>
            <w:pPr>
              <w:pStyle w:val="Compact"/>
              <w:jc w:val="left"/>
            </w:pPr>
            <w:r>
              <w:t xml:space="preserve">Unsafe plans</w:t>
            </w:r>
          </w:p>
        </w:tc>
        <w:tc>
          <w:tcPr/>
          <w:p>
            <w:pPr>
              <w:pStyle w:val="Compact"/>
              <w:jc w:val="left"/>
            </w:pPr>
            <w:r>
              <w:t xml:space="preserve">Proposed plan and arguments</w:t>
            </w:r>
          </w:p>
        </w:tc>
        <w:tc>
          <w:tcPr/>
          <w:p>
            <w:pPr>
              <w:pStyle w:val="Compact"/>
              <w:jc w:val="left"/>
            </w:pPr>
            <w:r>
              <w:t xml:space="preserve">Plan (with cross-turn session state)</w:t>
            </w:r>
          </w:p>
        </w:tc>
        <w:tc>
          <w:tcPr/>
          <w:p>
            <w:pPr>
              <w:pStyle w:val="Compact"/>
              <w:jc w:val="left"/>
            </w:pPr>
            <w:r>
              <w:t xml:space="preserve">Yes</w:t>
            </w:r>
          </w:p>
        </w:tc>
        <w:tc>
          <w:tcPr/>
          <w:p>
            <w:pPr>
              <w:pStyle w:val="Compact"/>
              <w:jc w:val="left"/>
            </w:pPr>
            <w:r>
              <w:t xml:space="preserve">Yes (partial: session manager)</w:t>
            </w:r>
          </w:p>
        </w:tc>
        <w:tc>
          <w:tcPr/>
          <w:p>
            <w:pPr>
              <w:pStyle w:val="Compact"/>
              <w:jc w:val="left"/>
            </w:pPr>
            <w:r>
              <w:t xml:space="preserve">Yes (argument-level)</w:t>
            </w:r>
          </w:p>
        </w:tc>
        <w:tc>
          <w:tcPr/>
          <w:p>
            <w:pPr>
              <w:pStyle w:val="Compact"/>
              <w:jc w:val="left"/>
            </w:pPr>
            <w:r>
              <w:t xml:space="preserve">Yes (partial: plan-level)</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 (allow/block/confirm/revise)</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Hua et al. (2024) [P55]</w:t>
            </w:r>
          </w:p>
        </w:tc>
        <w:tc>
          <w:tcPr/>
          <w:p>
            <w:pPr>
              <w:pStyle w:val="Compact"/>
              <w:jc w:val="left"/>
            </w:pPr>
            <w:r>
              <w:t xml:space="preserve">Unsafe planning</w:t>
            </w:r>
          </w:p>
        </w:tc>
        <w:tc>
          <w:tcPr/>
          <w:p>
            <w:pPr>
              <w:pStyle w:val="Compact"/>
              <w:jc w:val="left"/>
            </w:pPr>
            <w:r>
              <w:t xml:space="preserve">NA</w:t>
            </w:r>
          </w:p>
        </w:tc>
        <w:tc>
          <w:tcPr/>
          <w:p>
            <w:pPr>
              <w:pStyle w:val="Compact"/>
              <w:jc w:val="left"/>
            </w:pPr>
            <w:r>
              <w:t xml:space="preserve">Plan</w:t>
            </w:r>
          </w:p>
        </w:tc>
        <w:tc>
          <w:tcPr/>
          <w:p>
            <w:pPr>
              <w:pStyle w:val="Compact"/>
              <w:jc w:val="left"/>
            </w:pPr>
            <w:r>
              <w:t xml:space="preserve">Yes (planning stage)</w:t>
            </w:r>
          </w:p>
        </w:tc>
        <w:tc>
          <w:tcPr/>
          <w:p>
            <w:pPr>
              <w:pStyle w:val="Compact"/>
              <w:jc w:val="left"/>
            </w:pPr>
            <w:r>
              <w:t xml:space="preserve">NR</w:t>
            </w:r>
          </w:p>
        </w:tc>
        <w:tc>
          <w:tcPr/>
          <w:p>
            <w:pPr>
              <w:pStyle w:val="Compact"/>
              <w:jc w:val="left"/>
            </w:pPr>
            <w:r>
              <w:t xml:space="preserve">Yes (plan-level)</w:t>
            </w:r>
          </w:p>
        </w:tc>
        <w:tc>
          <w:tcPr/>
          <w:p>
            <w:pPr>
              <w:pStyle w:val="Compact"/>
              <w:jc w:val="left"/>
            </w:pPr>
            <w:r>
              <w:t xml:space="preserve">Yes (plan-level)</w:t>
            </w:r>
          </w:p>
        </w:tc>
        <w:tc>
          <w:tcPr/>
          <w:p>
            <w:pPr>
              <w:pStyle w:val="Compact"/>
              <w:jc w:val="left"/>
            </w:pPr>
            <w:r>
              <w:t xml:space="preserve">NR</w:t>
            </w:r>
          </w:p>
        </w:tc>
        <w:tc>
          <w:tcPr/>
          <w:p>
            <w:pPr>
              <w:pStyle w:val="Compact"/>
              <w:jc w:val="left"/>
            </w:pPr>
            <w:r>
              <w:t xml:space="preserve">NV</w:t>
            </w:r>
          </w:p>
        </w:tc>
        <w:tc>
          <w:tcPr/>
          <w:p>
            <w:pPr>
              <w:pStyle w:val="Compact"/>
              <w:jc w:val="left"/>
            </w:pPr>
            <w:r>
              <w:t xml:space="preserve">Yes (plan revision)</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Jackson (2025) [P66]</w:t>
            </w:r>
          </w:p>
        </w:tc>
        <w:tc>
          <w:tcPr/>
          <w:p>
            <w:pPr>
              <w:pStyle w:val="Compact"/>
              <w:jc w:val="left"/>
            </w:pPr>
            <w:r>
              <w:t xml:space="preserve">Governance violations</w:t>
            </w:r>
          </w:p>
        </w:tc>
        <w:tc>
          <w:tcPr/>
          <w:p>
            <w:pPr>
              <w:pStyle w:val="Compact"/>
              <w:jc w:val="left"/>
            </w:pPr>
            <w:r>
              <w:t xml:space="preserve">NA</w:t>
            </w:r>
          </w:p>
        </w:tc>
        <w:tc>
          <w:tcPr/>
          <w:p>
            <w:pPr>
              <w:pStyle w:val="Compact"/>
              <w:jc w:val="left"/>
            </w:pPr>
            <w:r>
              <w:t xml:space="preserve">Governed action</w:t>
            </w:r>
          </w:p>
        </w:tc>
        <w:tc>
          <w:tcPr/>
          <w:p>
            <w:pPr>
              <w:pStyle w:val="Compact"/>
              <w:jc w:val="left"/>
            </w:pPr>
            <w:r>
              <w:t xml:space="preserve">Yes</w:t>
            </w:r>
          </w:p>
        </w:tc>
        <w:tc>
          <w:tcPr/>
          <w:p>
            <w:pPr>
              <w:pStyle w:val="Compact"/>
              <w:jc w:val="left"/>
            </w:pPr>
            <w:r>
              <w:t xml:space="preserve">NV</w:t>
            </w:r>
          </w:p>
        </w:tc>
        <w:tc>
          <w:tcPr/>
          <w:p>
            <w:pPr>
              <w:pStyle w:val="Compact"/>
              <w:jc w:val="left"/>
            </w:pPr>
            <w:r>
              <w:t xml:space="preserve">Yes</w:t>
            </w:r>
          </w:p>
        </w:tc>
        <w:tc>
          <w:tcPr/>
          <w:p>
            <w:pPr>
              <w:pStyle w:val="Compact"/>
              <w:jc w:val="left"/>
            </w:pPr>
            <w:r>
              <w:t xml:space="preserve">NV</w:t>
            </w:r>
          </w:p>
        </w:tc>
        <w:tc>
          <w:tcPr/>
          <w:p>
            <w:pPr>
              <w:pStyle w:val="Compact"/>
              <w:jc w:val="left"/>
            </w:pPr>
            <w:r>
              <w:t xml:space="preserve">NR</w:t>
            </w:r>
          </w:p>
        </w:tc>
        <w:tc>
          <w:tcPr/>
          <w:p>
            <w:pPr>
              <w:pStyle w:val="Compact"/>
              <w:jc w:val="left"/>
            </w:pPr>
            <w:r>
              <w:t xml:space="preserve">Yes (multi-dimensional risk score)</w:t>
            </w:r>
          </w:p>
        </w:tc>
        <w:tc>
          <w:tcPr/>
          <w:p>
            <w:pPr>
              <w:pStyle w:val="Compact"/>
              <w:jc w:val="left"/>
            </w:pPr>
            <w:r>
              <w:t xml:space="preserve">Yes (allow/deny/sanitize/escalate)</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Jacob et al. (2025) [P23]</w:t>
            </w:r>
          </w:p>
        </w:tc>
        <w:tc>
          <w:tcPr/>
          <w:p>
            <w:pPr>
              <w:pStyle w:val="Compact"/>
              <w:jc w:val="left"/>
            </w:pPr>
            <w:r>
              <w:t xml:space="preserve">Prompt injection</w:t>
            </w:r>
          </w:p>
        </w:tc>
        <w:tc>
          <w:tcPr/>
          <w:p>
            <w:pPr>
              <w:pStyle w:val="Compact"/>
              <w:jc w:val="left"/>
            </w:pPr>
            <w:r>
              <w:t xml:space="preserve">Conversational and application-structured inputs</w:t>
            </w:r>
          </w:p>
        </w:tc>
        <w:tc>
          <w:tcPr/>
          <w:p>
            <w:pPr>
              <w:pStyle w:val="Compact"/>
              <w:jc w:val="left"/>
            </w:pPr>
            <w:r>
              <w:t xml:space="preserve">Input text</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Jiang et al. (2025) [P56]</w:t>
            </w:r>
          </w:p>
        </w:tc>
        <w:tc>
          <w:tcPr/>
          <w:p>
            <w:pPr>
              <w:pStyle w:val="Compact"/>
              <w:jc w:val="left"/>
            </w:pPr>
            <w:r>
              <w:t xml:space="preserve">Unsafe intermediate thoughts</w:t>
            </w:r>
          </w:p>
        </w:tc>
        <w:tc>
          <w:tcPr/>
          <w:p>
            <w:pPr>
              <w:pStyle w:val="Compact"/>
              <w:jc w:val="left"/>
            </w:pPr>
            <w:r>
              <w:t xml:space="preserve">NA</w:t>
            </w:r>
          </w:p>
        </w:tc>
        <w:tc>
          <w:tcPr/>
          <w:p>
            <w:pPr>
              <w:pStyle w:val="Compact"/>
              <w:jc w:val="left"/>
            </w:pPr>
            <w:r>
              <w:t xml:space="preserve">Intermediate thought before action</w:t>
            </w:r>
          </w:p>
        </w:tc>
        <w:tc>
          <w:tcPr/>
          <w:p>
            <w:pPr>
              <w:pStyle w:val="Compact"/>
              <w:jc w:val="left"/>
            </w:pPr>
            <w:r>
              <w:t xml:space="preserve">Yes</w:t>
            </w:r>
          </w:p>
        </w:tc>
        <w:tc>
          <w:tcPr/>
          <w:p>
            <w:pPr>
              <w:pStyle w:val="Compact"/>
              <w:jc w:val="left"/>
            </w:pPr>
            <w:r>
              <w:t xml:space="preserve">Yes (thought-level)</w:t>
            </w:r>
          </w:p>
        </w:tc>
        <w:tc>
          <w:tcPr/>
          <w:p>
            <w:pPr>
              <w:pStyle w:val="Compact"/>
              <w:jc w:val="left"/>
            </w:pPr>
            <w:r>
              <w:t xml:space="preserve">NR</w:t>
            </w:r>
          </w:p>
        </w:tc>
        <w:tc>
          <w:tcPr/>
          <w:p>
            <w:pPr>
              <w:pStyle w:val="Compact"/>
              <w:jc w:val="left"/>
            </w:pPr>
            <w:r>
              <w:t xml:space="preserve">Yes (partial)</w:t>
            </w:r>
          </w:p>
        </w:tc>
        <w:tc>
          <w:tcPr/>
          <w:p>
            <w:pPr>
              <w:pStyle w:val="Compact"/>
              <w:jc w:val="left"/>
            </w:pPr>
            <w:r>
              <w:t xml:space="preserve">NR</w:t>
            </w:r>
          </w:p>
        </w:tc>
        <w:tc>
          <w:tcPr/>
          <w:p>
            <w:pPr>
              <w:pStyle w:val="Compact"/>
              <w:jc w:val="left"/>
            </w:pPr>
            <w:r>
              <w:t xml:space="preserve">NV</w:t>
            </w:r>
          </w:p>
        </w:tc>
        <w:tc>
          <w:tcPr/>
          <w:p>
            <w:pPr>
              <w:pStyle w:val="Compact"/>
              <w:jc w:val="left"/>
            </w:pPr>
            <w:r>
              <w:t xml:space="preserve">Yes (thought correction)</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J. Lin et al. (2026) [P11]</w:t>
            </w:r>
          </w:p>
        </w:tc>
        <w:tc>
          <w:tcPr/>
          <w:p>
            <w:pPr>
              <w:pStyle w:val="Compact"/>
              <w:jc w:val="left"/>
            </w:pPr>
            <w:r>
              <w:t xml:space="preserve">Tool-stream injection (manipulated tool metadata and runtime feedback)</w:t>
            </w:r>
          </w:p>
        </w:tc>
        <w:tc>
          <w:tcPr/>
          <w:p>
            <w:pPr>
              <w:pStyle w:val="Compact"/>
              <w:jc w:val="left"/>
            </w:pPr>
            <w:r>
              <w:t xml:space="preserve">Tool metadata and tool feedback</w:t>
            </w:r>
          </w:p>
        </w:tc>
        <w:tc>
          <w:tcPr/>
          <w:p>
            <w:pPr>
              <w:pStyle w:val="Compact"/>
              <w:jc w:val="left"/>
            </w:pPr>
            <w:r>
              <w:t xml:space="preserve">Speculative action before commit</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NV</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HIGH</w:t>
            </w:r>
          </w:p>
        </w:tc>
      </w:tr>
      <w:tr>
        <w:tc>
          <w:tcPr/>
          <w:p>
            <w:pPr>
              <w:pStyle w:val="Compact"/>
              <w:jc w:val="left"/>
            </w:pPr>
            <w:r>
              <w:t xml:space="preserve">W. Lin et al. (2026) [P62]</w:t>
            </w:r>
          </w:p>
        </w:tc>
        <w:tc>
          <w:tcPr/>
          <w:p>
            <w:pPr>
              <w:pStyle w:val="Compact"/>
              <w:jc w:val="left"/>
            </w:pPr>
            <w:r>
              <w:t xml:space="preserve">Long-horizon hazardous drift</w:t>
            </w:r>
          </w:p>
        </w:tc>
        <w:tc>
          <w:tcPr/>
          <w:p>
            <w:pPr>
              <w:pStyle w:val="Compact"/>
              <w:jc w:val="left"/>
            </w:pPr>
            <w:r>
              <w:t xml:space="preserve">NA</w:t>
            </w:r>
          </w:p>
        </w:tc>
        <w:tc>
          <w:tcPr/>
          <w:p>
            <w:pPr>
              <w:pStyle w:val="Compact"/>
              <w:jc w:val="left"/>
            </w:pPr>
            <w:r>
              <w:t xml:space="preserve">Each call with trajectory prefix</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 (PASS/HOLD/BLOCK)</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Luo et al. (2025) [P39]</w:t>
            </w:r>
          </w:p>
        </w:tc>
        <w:tc>
          <w:tcPr/>
          <w:p>
            <w:pPr>
              <w:pStyle w:val="Compact"/>
              <w:jc w:val="left"/>
            </w:pPr>
            <w:r>
              <w:t xml:space="preserve">Task-specific and systemic risks</w:t>
            </w:r>
          </w:p>
        </w:tc>
        <w:tc>
          <w:tcPr/>
          <w:p>
            <w:pPr>
              <w:pStyle w:val="Compact"/>
              <w:jc w:val="left"/>
            </w:pPr>
            <w:r>
              <w:t xml:space="preserve">NV</w:t>
            </w:r>
          </w:p>
        </w:tc>
        <w:tc>
          <w:tcPr/>
          <w:p>
            <w:pPr>
              <w:pStyle w:val="Compact"/>
              <w:jc w:val="left"/>
            </w:pPr>
            <w:r>
              <w:t xml:space="preserve">Agent actions</w:t>
            </w:r>
          </w:p>
        </w:tc>
        <w:tc>
          <w:tcPr/>
          <w:p>
            <w:pPr>
              <w:pStyle w:val="Compact"/>
              <w:jc w:val="left"/>
            </w:pPr>
            <w:r>
              <w:t xml:space="preserve">Yes</w:t>
            </w:r>
          </w:p>
        </w:tc>
        <w:tc>
          <w:tcPr/>
          <w:p>
            <w:pPr>
              <w:pStyle w:val="Compact"/>
              <w:jc w:val="left"/>
            </w:pPr>
            <w:r>
              <w:t xml:space="preserve">NV</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w:t>
            </w:r>
          </w:p>
        </w:tc>
        <w:tc>
          <w:tcPr/>
          <w:p>
            <w:pPr>
              <w:pStyle w:val="Compact"/>
              <w:jc w:val="left"/>
            </w:pPr>
            <w:r>
              <w:t xml:space="preserve">NV</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Mou et al. (2026) [P33]</w:t>
            </w:r>
          </w:p>
        </w:tc>
        <w:tc>
          <w:tcPr/>
          <w:p>
            <w:pPr>
              <w:pStyle w:val="Compact"/>
              <w:jc w:val="left"/>
            </w:pPr>
            <w:r>
              <w:t xml:space="preserve">Unsafe tool invocations incl. prompt injection</w:t>
            </w:r>
          </w:p>
        </w:tc>
        <w:tc>
          <w:tcPr/>
          <w:p>
            <w:pPr>
              <w:pStyle w:val="Compact"/>
              <w:jc w:val="left"/>
            </w:pPr>
            <w:r>
              <w:t xml:space="preserve">Requests and tool interaction history</w:t>
            </w:r>
          </w:p>
        </w:tc>
        <w:tc>
          <w:tcPr/>
          <w:p>
            <w:pPr>
              <w:pStyle w:val="Compact"/>
              <w:jc w:val="left"/>
            </w:pPr>
            <w:r>
              <w:t xml:space="preserve">Each tool invocation with history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Patil et al. (2024) [P10]</w:t>
            </w:r>
          </w:p>
        </w:tc>
        <w:tc>
          <w:tcPr/>
          <w:p>
            <w:pPr>
              <w:pStyle w:val="Compact"/>
              <w:jc w:val="left"/>
            </w:pPr>
            <w:r>
              <w:t xml:space="preserve">Incorrect or unsafe LLM-generated actions (non-adversarial)</w:t>
            </w:r>
          </w:p>
        </w:tc>
        <w:tc>
          <w:tcPr/>
          <w:p>
            <w:pPr>
              <w:pStyle w:val="Compact"/>
              <w:jc w:val="left"/>
            </w:pPr>
            <w:r>
              <w:t xml:space="preserve">NA</w:t>
            </w:r>
          </w:p>
        </w:tc>
        <w:tc>
          <w:tcPr/>
          <w:p>
            <w:pPr>
              <w:pStyle w:val="Compact"/>
              <w:jc w:val="left"/>
            </w:pPr>
            <w:r>
              <w:t xml:space="preserve">Executed action</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NV</w:t>
            </w:r>
          </w:p>
        </w:tc>
        <w:tc>
          <w:tcPr/>
          <w:p>
            <w:pPr>
              <w:pStyle w:val="Compact"/>
              <w:jc w:val="left"/>
            </w:pPr>
            <w:r>
              <w:t xml:space="preserve">Yes</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S. Chen et al. (2025) [P48]</w:t>
            </w:r>
          </w:p>
        </w:tc>
        <w:tc>
          <w:tcPr/>
          <w:p>
            <w:pPr>
              <w:pStyle w:val="Compact"/>
              <w:jc w:val="left"/>
            </w:pPr>
            <w:r>
              <w:t xml:space="preserve">Prompt injection</w:t>
            </w:r>
          </w:p>
        </w:tc>
        <w:tc>
          <w:tcPr/>
          <w:p>
            <w:pPr>
              <w:pStyle w:val="Compact"/>
              <w:jc w:val="left"/>
            </w:pPr>
            <w:r>
              <w:t xml:space="preserve">Data channel</w:t>
            </w:r>
          </w:p>
        </w:tc>
        <w:tc>
          <w:tcPr/>
          <w:p>
            <w:pPr>
              <w:pStyle w:val="Compact"/>
              <w:jc w:val="left"/>
            </w:pPr>
            <w:r>
              <w:t xml:space="preserve">Model input</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Yes</w:t>
            </w:r>
          </w:p>
        </w:tc>
        <w:tc>
          <w:tcPr/>
          <w:p>
            <w:pPr>
              <w:pStyle w:val="Compact"/>
              <w:jc w:val="left"/>
            </w:pPr>
            <w:r>
              <w:t xml:space="preserve">NA</w:t>
            </w:r>
          </w:p>
        </w:tc>
        <w:tc>
          <w:tcPr/>
          <w:p>
            <w:pPr>
              <w:pStyle w:val="Compact"/>
              <w:jc w:val="left"/>
            </w:pPr>
            <w:r>
              <w:t xml:space="preserve">NA</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S. Wang, Zhu, &amp; Li (2026) [P37]</w:t>
            </w:r>
          </w:p>
        </w:tc>
        <w:tc>
          <w:tcPr/>
          <w:p>
            <w:pPr>
              <w:pStyle w:val="Compact"/>
              <w:jc w:val="left"/>
            </w:pPr>
            <w:r>
              <w:t xml:space="preserve">Indirect prompt injection (path traversal, exfiltration, high-frequency tool abuse)</w:t>
            </w:r>
          </w:p>
        </w:tc>
        <w:tc>
          <w:tcPr/>
          <w:p>
            <w:pPr>
              <w:pStyle w:val="Compact"/>
              <w:jc w:val="left"/>
            </w:pPr>
            <w:r>
              <w:t xml:space="preserve">Externally retrieved data</w:t>
            </w:r>
          </w:p>
        </w:tc>
        <w:tc>
          <w:tcPr/>
          <w:p>
            <w:pPr>
              <w:pStyle w:val="Compact"/>
              <w:jc w:val="left"/>
            </w:pPr>
            <w:r>
              <w:t xml:space="preserve">Each tool call with cross-step labels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HIGH</w:t>
            </w:r>
          </w:p>
        </w:tc>
      </w:tr>
      <w:tr>
        <w:tc>
          <w:tcPr/>
          <w:p>
            <w:pPr>
              <w:pStyle w:val="Compact"/>
              <w:jc w:val="left"/>
            </w:pPr>
            <w:r>
              <w:t xml:space="preserve">She et al. (2026) [P58]</w:t>
            </w:r>
          </w:p>
        </w:tc>
        <w:tc>
          <w:tcPr/>
          <w:p>
            <w:pPr>
              <w:pStyle w:val="Compact"/>
              <w:jc w:val="left"/>
            </w:pPr>
            <w:r>
              <w:t xml:space="preserve">Misaligned tool calls incl. IPI</w:t>
            </w:r>
          </w:p>
        </w:tc>
        <w:tc>
          <w:tcPr/>
          <w:p>
            <w:pPr>
              <w:pStyle w:val="Compact"/>
              <w:jc w:val="left"/>
            </w:pPr>
            <w:r>
              <w:t xml:space="preserve">Tool outputs; context</w:t>
            </w:r>
          </w:p>
        </w:tc>
        <w:tc>
          <w:tcPr/>
          <w:p>
            <w:pPr>
              <w:pStyle w:val="Compact"/>
              <w:jc w:val="left"/>
            </w:pPr>
            <w:r>
              <w:t xml:space="preserve">Each tool call and its evidence provenance</w:t>
            </w:r>
          </w:p>
        </w:tc>
        <w:tc>
          <w:tcPr/>
          <w:p>
            <w:pPr>
              <w:pStyle w:val="Compact"/>
              <w:jc w:val="left"/>
            </w:pPr>
            <w:r>
              <w:t xml:space="preserve">Yes</w:t>
            </w:r>
          </w:p>
        </w:tc>
        <w:tc>
          <w:tcPr/>
          <w:p>
            <w:pPr>
              <w:pStyle w:val="Compact"/>
              <w:jc w:val="left"/>
            </w:pPr>
            <w:r>
              <w:t xml:space="preserve">Yes (partial)</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T. Shi et al. (2025) [P49]</w:t>
            </w:r>
          </w:p>
        </w:tc>
        <w:tc>
          <w:tcPr/>
          <w:p>
            <w:pPr>
              <w:pStyle w:val="Compact"/>
              <w:jc w:val="left"/>
            </w:pPr>
            <w:r>
              <w:t xml:space="preserve">Indirect prompt injection; tool misuse</w:t>
            </w:r>
          </w:p>
        </w:tc>
        <w:tc>
          <w:tcPr/>
          <w:p>
            <w:pPr>
              <w:pStyle w:val="Compact"/>
              <w:jc w:val="left"/>
            </w:pPr>
            <w:r>
              <w:t xml:space="preserve">Tool outputs</w:t>
            </w:r>
          </w:p>
        </w:tc>
        <w:tc>
          <w:tcPr/>
          <w:p>
            <w:pPr>
              <w:pStyle w:val="Compact"/>
              <w:jc w:val="left"/>
            </w:pPr>
            <w:r>
              <w:t xml:space="preserve">Each tool call vs. privilege policy</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 (policy updates during task)</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Storf et al. (2026) [P34]</w:t>
            </w:r>
          </w:p>
        </w:tc>
        <w:tc>
          <w:tcPr/>
          <w:p>
            <w:pPr>
              <w:pStyle w:val="Compact"/>
              <w:jc w:val="left"/>
            </w:pPr>
            <w:r>
              <w:t xml:space="preserve">Scheming (covert pursuit of misaligned goals)</w:t>
            </w:r>
          </w:p>
        </w:tc>
        <w:tc>
          <w:tcPr/>
          <w:p>
            <w:pPr>
              <w:pStyle w:val="Compact"/>
              <w:jc w:val="left"/>
            </w:pPr>
            <w:r>
              <w:t xml:space="preserve">NA</w:t>
            </w:r>
          </w:p>
        </w:tc>
        <w:tc>
          <w:tcPr/>
          <w:p>
            <w:pPr>
              <w:pStyle w:val="Compact"/>
              <w:jc w:val="left"/>
            </w:pPr>
            <w:r>
              <w:t xml:space="preserve">Externally observable trajectory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Tsai &amp; Bagdasarian (2025) [P51]</w:t>
            </w:r>
          </w:p>
        </w:tc>
        <w:tc>
          <w:tcPr/>
          <w:p>
            <w:pPr>
              <w:pStyle w:val="Compact"/>
              <w:jc w:val="left"/>
            </w:pPr>
            <w:r>
              <w:t xml:space="preserve">Context-inappropriate actions</w:t>
            </w:r>
          </w:p>
        </w:tc>
        <w:tc>
          <w:tcPr/>
          <w:p>
            <w:pPr>
              <w:pStyle w:val="Compact"/>
              <w:jc w:val="left"/>
            </w:pPr>
            <w:r>
              <w:t xml:space="preserve">NA</w:t>
            </w:r>
          </w:p>
        </w:tc>
        <w:tc>
          <w:tcPr/>
          <w:p>
            <w:pPr>
              <w:pStyle w:val="Compact"/>
              <w:jc w:val="left"/>
            </w:pPr>
            <w:r>
              <w:t xml:space="preserve">Proposed action vs. task-context policy</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Wen et al. (2025) [P03]</w:t>
            </w:r>
          </w:p>
        </w:tc>
        <w:tc>
          <w:tcPr/>
          <w:p>
            <w:pPr>
              <w:pStyle w:val="Compact"/>
              <w:jc w:val="left"/>
            </w:pPr>
            <w:r>
              <w:t xml:space="preserve">Indirect prompt injection</w:t>
            </w:r>
          </w:p>
        </w:tc>
        <w:tc>
          <w:tcPr/>
          <w:p>
            <w:pPr>
              <w:pStyle w:val="Compact"/>
              <w:jc w:val="left"/>
            </w:pPr>
            <w:r>
              <w:t xml:space="preserve">Retrieved external content</w:t>
            </w:r>
          </w:p>
        </w:tc>
        <w:tc>
          <w:tcPr/>
          <w:p>
            <w:pPr>
              <w:pStyle w:val="Compact"/>
              <w:jc w:val="left"/>
            </w:pPr>
            <w:r>
              <w:t xml:space="preserve">Model hidden states and gradients for an input</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Xiang et al. (2025) [P53]</w:t>
            </w:r>
          </w:p>
        </w:tc>
        <w:tc>
          <w:tcPr/>
          <w:p>
            <w:pPr>
              <w:pStyle w:val="Compact"/>
              <w:jc w:val="left"/>
            </w:pPr>
            <w:r>
              <w:t xml:space="preserve">Violations of safety guard requests</w:t>
            </w:r>
          </w:p>
        </w:tc>
        <w:tc>
          <w:tcPr/>
          <w:p>
            <w:pPr>
              <w:pStyle w:val="Compact"/>
              <w:jc w:val="left"/>
            </w:pPr>
            <w:r>
              <w:t xml:space="preserve">NA</w:t>
            </w:r>
          </w:p>
        </w:tc>
        <w:tc>
          <w:tcPr/>
          <w:p>
            <w:pPr>
              <w:pStyle w:val="Compact"/>
              <w:jc w:val="left"/>
            </w:pPr>
            <w:r>
              <w:t xml:space="preserve">Target agent actions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Y. Chen et al. (2025) [P24]</w:t>
            </w:r>
          </w:p>
        </w:tc>
        <w:tc>
          <w:tcPr/>
          <w:p>
            <w:pPr>
              <w:pStyle w:val="Compact"/>
              <w:jc w:val="left"/>
            </w:pPr>
            <w:r>
              <w:t xml:space="preserve">Prompt injection in retrieved data</w:t>
            </w:r>
          </w:p>
        </w:tc>
        <w:tc>
          <w:tcPr/>
          <w:p>
            <w:pPr>
              <w:pStyle w:val="Compact"/>
              <w:jc w:val="left"/>
            </w:pPr>
            <w:r>
              <w:t xml:space="preserve">Retrieved content</w:t>
            </w:r>
          </w:p>
        </w:tc>
        <w:tc>
          <w:tcPr/>
          <w:p>
            <w:pPr>
              <w:pStyle w:val="Compact"/>
              <w:jc w:val="left"/>
            </w:pPr>
            <w:r>
              <w:t xml:space="preserve">Input prompt</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Y. Wu et al. (2025) [P36]</w:t>
            </w:r>
          </w:p>
        </w:tc>
        <w:tc>
          <w:tcPr/>
          <w:p>
            <w:pPr>
              <w:pStyle w:val="Compact"/>
              <w:jc w:val="left"/>
            </w:pPr>
            <w:r>
              <w:t xml:space="preserve">Untrusted apps; cross-app security, privacy and safety issues</w:t>
            </w:r>
          </w:p>
        </w:tc>
        <w:tc>
          <w:tcPr/>
          <w:p>
            <w:pPr>
              <w:pStyle w:val="Compact"/>
              <w:jc w:val="left"/>
            </w:pPr>
            <w:r>
              <w:t xml:space="preserve">Third-party apps</w:t>
            </w:r>
          </w:p>
        </w:tc>
        <w:tc>
          <w:tcPr/>
          <w:p>
            <w:pPr>
              <w:pStyle w:val="Compact"/>
              <w:jc w:val="left"/>
            </w:pPr>
            <w:r>
              <w:t xml:space="preserve">App interactions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NV</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Z. Chen et al. (2026) [P68]</w:t>
            </w:r>
          </w:p>
        </w:tc>
        <w:tc>
          <w:tcPr/>
          <w:p>
            <w:pPr>
              <w:pStyle w:val="Compact"/>
              <w:jc w:val="left"/>
            </w:pPr>
            <w:r>
              <w:t xml:space="preserve">Irreversible effects; cross-step violations</w:t>
            </w:r>
          </w:p>
        </w:tc>
        <w:tc>
          <w:tcPr/>
          <w:p>
            <w:pPr>
              <w:pStyle w:val="Compact"/>
              <w:jc w:val="left"/>
            </w:pPr>
            <w:r>
              <w:t xml:space="preserve">NA</w:t>
            </w:r>
          </w:p>
        </w:tc>
        <w:tc>
          <w:tcPr/>
          <w:p>
            <w:pPr>
              <w:pStyle w:val="Compact"/>
              <w:jc w:val="left"/>
            </w:pPr>
            <w:r>
              <w:t xml:space="preserve">Task-level transaction</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 (staging, rollback, recovery)</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Z. Chen, Kang, &amp; Li (2025) [P54]</w:t>
            </w:r>
          </w:p>
        </w:tc>
        <w:tc>
          <w:tcPr/>
          <w:p>
            <w:pPr>
              <w:pStyle w:val="Compact"/>
              <w:jc w:val="left"/>
            </w:pPr>
            <w:r>
              <w:t xml:space="preserve">Policy violations over trajectories</w:t>
            </w:r>
          </w:p>
        </w:tc>
        <w:tc>
          <w:tcPr/>
          <w:p>
            <w:pPr>
              <w:pStyle w:val="Compact"/>
              <w:jc w:val="left"/>
            </w:pPr>
            <w:r>
              <w:t xml:space="preserve">NA</w:t>
            </w:r>
          </w:p>
        </w:tc>
        <w:tc>
          <w:tcPr/>
          <w:p>
            <w:pPr>
              <w:pStyle w:val="Compact"/>
              <w:jc w:val="left"/>
            </w:pPr>
            <w:r>
              <w:t xml:space="preserve">Action trajectory</w:t>
            </w:r>
          </w:p>
        </w:tc>
        <w:tc>
          <w:tcPr/>
          <w:p>
            <w:pPr>
              <w:pStyle w:val="Compact"/>
              <w:jc w:val="left"/>
            </w:pPr>
            <w:r>
              <w:t xml:space="preserve">Yes</w:t>
            </w:r>
          </w:p>
        </w:tc>
        <w:tc>
          <w:tcPr/>
          <w:p>
            <w:pPr>
              <w:pStyle w:val="Compact"/>
              <w:jc w:val="left"/>
            </w:pPr>
            <w:r>
              <w:t xml:space="preserve">Yes (trajectory-level)</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Zhong et al. (2025) [P06]</w:t>
            </w:r>
          </w:p>
        </w:tc>
        <w:tc>
          <w:tcPr/>
          <w:p>
            <w:pPr>
              <w:pStyle w:val="Compact"/>
              <w:jc w:val="left"/>
            </w:pPr>
            <w:r>
              <w:t xml:space="preserve">Prompt injection; privacy leakage</w:t>
            </w:r>
          </w:p>
        </w:tc>
        <w:tc>
          <w:tcPr/>
          <w:p>
            <w:pPr>
              <w:pStyle w:val="Compact"/>
              <w:jc w:val="left"/>
            </w:pPr>
            <w:r>
              <w:t xml:space="preserve">Tool outputs / external content</w:t>
            </w:r>
          </w:p>
        </w:tc>
        <w:tc>
          <w:tcPr/>
          <w:p>
            <w:pPr>
              <w:pStyle w:val="Compact"/>
              <w:jc w:val="left"/>
            </w:pPr>
            <w:r>
              <w:t xml:space="preserve">Each tool call and its data dependencies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NV</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Zhu, Yang, et al. (2025) [P57]</w:t>
            </w:r>
          </w:p>
        </w:tc>
        <w:tc>
          <w:tcPr/>
          <w:p>
            <w:pPr>
              <w:pStyle w:val="Compact"/>
              <w:jc w:val="left"/>
            </w:pPr>
            <w:r>
              <w:t xml:space="preserve">Indirect prompt injection</w:t>
            </w:r>
          </w:p>
        </w:tc>
        <w:tc>
          <w:tcPr/>
          <w:p>
            <w:pPr>
              <w:pStyle w:val="Compact"/>
              <w:jc w:val="left"/>
            </w:pPr>
            <w:r>
              <w:t xml:space="preserve">Tool outputs</w:t>
            </w:r>
          </w:p>
        </w:tc>
        <w:tc>
          <w:tcPr/>
          <w:p>
            <w:pPr>
              <w:pStyle w:val="Compact"/>
              <w:jc w:val="left"/>
            </w:pPr>
            <w:r>
              <w:t xml:space="preserve">Tool calls under original vs. masked re-execution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NV</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Zhu, Zhang, et al. (2025) [P18]</w:t>
            </w:r>
          </w:p>
        </w:tc>
        <w:tc>
          <w:tcPr/>
          <w:p>
            <w:pPr>
              <w:pStyle w:val="Compact"/>
              <w:jc w:val="left"/>
            </w:pPr>
            <w:r>
              <w:t xml:space="preserve">High-risk or unethical tasks; adversarial attacks</w:t>
            </w:r>
          </w:p>
        </w:tc>
        <w:tc>
          <w:tcPr/>
          <w:p>
            <w:pPr>
              <w:pStyle w:val="Compact"/>
              <w:jc w:val="left"/>
            </w:pPr>
            <w:r>
              <w:t xml:space="preserve">Task prompts; tool use; agent collaboration</w:t>
            </w:r>
          </w:p>
        </w:tc>
        <w:tc>
          <w:tcPr/>
          <w:p>
            <w:pPr>
              <w:pStyle w:val="Compact"/>
              <w:jc w:val="left"/>
            </w:pPr>
            <w:r>
              <w:t xml:space="preserve">Prompts, agent messages and tool use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NV</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bl>
    <w:bookmarkEnd w:id="96"/>
    <w:bookmarkStart w:id="97" w:name="references-1"/>
    <w:p>
      <w:pPr>
        <w:pStyle w:val="Heading2"/>
      </w:pPr>
      <w:r>
        <w:t xml:space="preserve">References</w:t>
      </w:r>
    </w:p>
    <w:p>
      <w:pPr>
        <w:pStyle w:val="FirstParagraph"/>
      </w:pPr>
      <w:r>
        <w:rPr>
          <w:iCs/>
          <w:i/>
        </w:rPr>
        <w:t xml:space="preserve">APA 7th edition. Preprints, working papers and withdrawn preprints are marked. Official and regulatory sources are marked [Official source] and are not treated as research literature. For arXiv-only records identified by the database search, the author list is abbreviated as it appears in the index record and is marked as such; the full lists were not verifiable in the review environment.</w:t>
      </w:r>
    </w:p>
    <w:p>
      <w:pPr>
        <w:pStyle w:val="BodyText"/>
      </w:pPr>
      <w:r>
        <w:t xml:space="preserve">Andriushchenko, M., Souly, A., Dziemian, M., Duenas, D., Lin, M., Wang, J., Hendrycks, D., Zou, A., Kolter, Z., Fredrikson, M., Winsor, E., Wynne, J., Gal, Y., &amp; Davies, X. (2025). AgentHarm: A benchmark for measuring harmfulness of LLM agents. In</w:t>
      </w:r>
      <w:r>
        <w:t xml:space="preserve"> </w:t>
      </w:r>
      <w:r>
        <w:rPr>
          <w:iCs/>
          <w:i/>
        </w:rPr>
        <w:t xml:space="preserve">The Thirteenth International Conference on Learning Representations (ICLR 2025)</w:t>
      </w:r>
      <w:r>
        <w:t xml:space="preserve">. https://arxiv.org/abs/2410.09024</w:t>
      </w:r>
    </w:p>
    <w:p>
      <w:pPr>
        <w:pStyle w:val="BodyText"/>
      </w:pPr>
      <w:r>
        <w:t xml:space="preserve">Arp, D., Quiring, E., Pendlebury, F., Warnecke, A., Pierazzi, F., Wressnegger, C., Cavallaro, L., &amp; Rieck, K. (2022). Dos and don’ts of machine learning in computer security. In</w:t>
      </w:r>
      <w:r>
        <w:t xml:space="preserve"> </w:t>
      </w:r>
      <w:r>
        <w:rPr>
          <w:iCs/>
          <w:i/>
        </w:rPr>
        <w:t xml:space="preserve">31st USENIX Security Symposium</w:t>
      </w:r>
      <w:r>
        <w:t xml:space="preserve"> </w:t>
      </w:r>
      <w:r>
        <w:t xml:space="preserve">(pp. 3971–3988). USENIX Association.</w:t>
      </w:r>
    </w:p>
    <w:p>
      <w:pPr>
        <w:pStyle w:val="BodyText"/>
      </w:pPr>
      <w:r>
        <w:t xml:space="preserve">Basseville, M., &amp; Nikiforov, I. V. (1993).</w:t>
      </w:r>
      <w:r>
        <w:t xml:space="preserve"> </w:t>
      </w:r>
      <w:r>
        <w:rPr>
          <w:iCs/>
          <w:i/>
        </w:rPr>
        <w:t xml:space="preserve">Detection of abrupt changes: Theory and application</w:t>
      </w:r>
      <w:r>
        <w:t xml:space="preserve">. Prentice Hall.</w:t>
      </w:r>
    </w:p>
    <w:p>
      <w:pPr>
        <w:pStyle w:val="BodyText"/>
      </w:pPr>
      <w:r>
        <w:t xml:space="preserve">Calboreanu, E. (2026). LATTICE: A governance-first architecture for authorized autonomous AI operations.</w:t>
      </w:r>
      <w:r>
        <w:t xml:space="preserve"> </w:t>
      </w:r>
      <w:r>
        <w:rPr>
          <w:iCs/>
          <w:i/>
        </w:rPr>
        <w:t xml:space="preserve">Frontiers in Artificial Intelligence, 9</w:t>
      </w:r>
      <w:r>
        <w:t xml:space="preserve">, Article 1800407. https://doi.org/10.3389/frai.2026.1800407</w:t>
      </w:r>
    </w:p>
    <w:p>
      <w:pPr>
        <w:pStyle w:val="BodyText"/>
      </w:pPr>
      <w:r>
        <w:t xml:space="preserve">Castro-Maldonado, V., Aceves-Fernández, M. A., García-Noguez, L. R., &amp; Pedraza-Ortega, J. C. (2026). Semantic firewalls with online ensemble learning for secure agentic RAG systems in financial chatbots.</w:t>
      </w:r>
      <w:r>
        <w:t xml:space="preserve"> </w:t>
      </w:r>
      <w:r>
        <w:rPr>
          <w:iCs/>
          <w:i/>
        </w:rPr>
        <w:t xml:space="preserve">AI, 7</w:t>
      </w:r>
      <w:r>
        <w:t xml:space="preserve">(3), Article 80. https://doi.org/10.3390/ai7030080</w:t>
      </w:r>
    </w:p>
    <w:p>
      <w:pPr>
        <w:pStyle w:val="BodyText"/>
      </w:pPr>
      <w:r>
        <w:t xml:space="preserve">Chandola, V., Banerjee, A., &amp; Kumar, V. (2009). Anomaly detection: A survey.</w:t>
      </w:r>
      <w:r>
        <w:t xml:space="preserve"> </w:t>
      </w:r>
      <w:r>
        <w:rPr>
          <w:iCs/>
          <w:i/>
        </w:rPr>
        <w:t xml:space="preserve">ACM Computing Surveys, 41</w:t>
      </w:r>
      <w:r>
        <w:t xml:space="preserve">(3), Article 15, 1–58. https://doi.org/10.1145/1541880.1541882</w:t>
      </w:r>
    </w:p>
    <w:p>
      <w:pPr>
        <w:pStyle w:val="BodyText"/>
      </w:pPr>
      <w:r>
        <w:t xml:space="preserve">Chandola, V., Banerjee, A., &amp; Kumar, V. (2012). Anomaly detection for discrete sequences: A survey.</w:t>
      </w:r>
      <w:r>
        <w:t xml:space="preserve"> </w:t>
      </w:r>
      <w:r>
        <w:rPr>
          <w:iCs/>
          <w:i/>
        </w:rPr>
        <w:t xml:space="preserve">IEEE Transactions on Knowledge and Data Engineering, 24</w:t>
      </w:r>
      <w:r>
        <w:t xml:space="preserve">(5), 823–839. https://doi.org/10.1109/TKDE.2010.235</w:t>
      </w:r>
    </w:p>
    <w:p>
      <w:pPr>
        <w:pStyle w:val="BodyText"/>
      </w:pPr>
      <w:r>
        <w:t xml:space="preserve">Chen, H.-H. (2026).</w:t>
      </w:r>
      <w:r>
        <w:t xml:space="preserve"> </w:t>
      </w:r>
      <w:r>
        <w:rPr>
          <w:iCs/>
          <w:i/>
        </w:rPr>
        <w:t xml:space="preserve">Insuring every action: An authority frontier framework for runtime actuarial control of autonomous AI agents</w:t>
      </w:r>
      <w:r>
        <w:t xml:space="preserve"> </w:t>
      </w:r>
      <w:r>
        <w:t xml:space="preserve">(arXiv:2605.25632) [Preprint]. arXiv. https://arxiv.org/abs/2605.25632</w:t>
      </w:r>
    </w:p>
    <w:p>
      <w:pPr>
        <w:pStyle w:val="BodyText"/>
      </w:pPr>
      <w:r>
        <w:t xml:space="preserve">Chen, S., Piet, J., Sitawarin, C., &amp; Wagner, D. (2025). StruQ: Defending against prompt injection with structured queries. In</w:t>
      </w:r>
      <w:r>
        <w:t xml:space="preserve"> </w:t>
      </w:r>
      <w:r>
        <w:rPr>
          <w:iCs/>
          <w:i/>
        </w:rPr>
        <w:t xml:space="preserve">34th USENIX Security Symposium</w:t>
      </w:r>
      <w:r>
        <w:t xml:space="preserve">. USENIX Association.</w:t>
      </w:r>
    </w:p>
    <w:p>
      <w:pPr>
        <w:pStyle w:val="BodyText"/>
      </w:pPr>
      <w:r>
        <w:t xml:space="preserve">Chen, Y., Li, H., Zheng, Z., Wu, D., Song, Y., &amp; Hooi, B. (2025). Defense against prompt injection attack by leveraging attack techniques. In</w:t>
      </w:r>
      <w:r>
        <w:t xml:space="preserve"> </w:t>
      </w:r>
      <w:r>
        <w:rPr>
          <w:iCs/>
          <w:i/>
        </w:rPr>
        <w:t xml:space="preserve">Proceedings of the 63rd Annual Meeting of the Association for Computational Linguistics (Volume 1: Long Papers)</w:t>
      </w:r>
      <w:r>
        <w:t xml:space="preserve"> </w:t>
      </w:r>
      <w:r>
        <w:t xml:space="preserve">(pp. 18331–18347). Association for Computational Linguistics. https://doi.org/10.18653/v1/2025.acl-long.897</w:t>
      </w:r>
    </w:p>
    <w:p>
      <w:pPr>
        <w:pStyle w:val="BodyText"/>
      </w:pPr>
      <w:r>
        <w:t xml:space="preserve">Chen, Z., Chen, J., Chen, J., &amp; Sra, M. (2025).</w:t>
      </w:r>
      <w:r>
        <w:t xml:space="preserve"> </w:t>
      </w:r>
      <w:r>
        <w:rPr>
          <w:iCs/>
          <w:i/>
        </w:rPr>
        <w:t xml:space="preserve">Standard benchmarks fail — Auditing LLM agents in finance must prioritize risk</w:t>
      </w:r>
      <w:r>
        <w:t xml:space="preserve"> </w:t>
      </w:r>
      <w:r>
        <w:t xml:space="preserve">(arXiv:2502.15865) [Preprint]. arXiv. https://arxiv.org/abs/2502.15865</w:t>
      </w:r>
    </w:p>
    <w:p>
      <w:pPr>
        <w:pStyle w:val="BodyText"/>
      </w:pPr>
      <w:r>
        <w:t xml:space="preserve">Chen, Z., Dong, D., Liu, H., Li, J., Zhai, J., Xu, D., &amp; Pu, B. (2026).</w:t>
      </w:r>
      <w:r>
        <w:t xml:space="preserve"> </w:t>
      </w:r>
      <w:r>
        <w:rPr>
          <w:iCs/>
          <w:i/>
        </w:rPr>
        <w:t xml:space="preserve">Cordon: Semantic transactions for tool-using LLM agents</w:t>
      </w:r>
      <w:r>
        <w:t xml:space="preserve"> </w:t>
      </w:r>
      <w:r>
        <w:t xml:space="preserve">(arXiv:2606.17573) [Preprint]. arXiv. https://arxiv.org/abs/2606.17573</w:t>
      </w:r>
    </w:p>
    <w:p>
      <w:pPr>
        <w:pStyle w:val="BodyText"/>
      </w:pPr>
      <w:r>
        <w:t xml:space="preserve">Chen, Z., Kang, M., &amp; Li, B. (2025). ShieldAgent: Shielding agents via verifiable safety policy reasoning. In</w:t>
      </w:r>
      <w:r>
        <w:t xml:space="preserve"> </w:t>
      </w:r>
      <w:r>
        <w:rPr>
          <w:iCs/>
          <w:i/>
        </w:rPr>
        <w:t xml:space="preserve">Proceedings of the 42nd International Conference on Machine Learning</w:t>
      </w:r>
      <w:r>
        <w:t xml:space="preserve"> </w:t>
      </w:r>
      <w:r>
        <w:t xml:space="preserve">(Proceedings of Machine Learning Research, Vol. 267, pp. 8313–8344). PMLR.</w:t>
      </w:r>
    </w:p>
    <w:p>
      <w:pPr>
        <w:pStyle w:val="BodyText"/>
      </w:pPr>
      <w:r>
        <w:t xml:space="preserve">Chen, Z., Xiang, Z., Xiao, C., Song, D., &amp; Li, B. (2024). AgentPoison: Red-teaming LLM agents via poisoning memory or knowledge bases. In</w:t>
      </w:r>
      <w:r>
        <w:t xml:space="preserve"> </w:t>
      </w:r>
      <w:r>
        <w:rPr>
          <w:iCs/>
          <w:i/>
        </w:rPr>
        <w:t xml:space="preserve">Advances in Neural Information Processing Systems 37 (NeurIPS 2024)</w:t>
      </w:r>
      <w:r>
        <w:t xml:space="preserve">.</w:t>
      </w:r>
    </w:p>
    <w:p>
      <w:pPr>
        <w:pStyle w:val="BodyText"/>
      </w:pPr>
      <w:r>
        <w:t xml:space="preserve">Chennabasappa, S., Nikolaidis, C., Song, D., Molnar, D., Ding, S., Wan, S., Whitman, S., Deason, L., Doucette, N., Montilla, A., Gampa, A., de Paola, B., Gabi, D., Crnkovich, J., Testud, J.-C., He, K., Chaturvedi, R., Zhou, W., &amp; Saxe, J. (2025).</w:t>
      </w:r>
      <w:r>
        <w:t xml:space="preserve"> </w:t>
      </w:r>
      <w:r>
        <w:rPr>
          <w:iCs/>
          <w:i/>
        </w:rPr>
        <w:t xml:space="preserve">LlamaFirewall: An open source guardrail system for building secure AI agents</w:t>
      </w:r>
      <w:r>
        <w:t xml:space="preserve"> </w:t>
      </w:r>
      <w:r>
        <w:t xml:space="preserve">(arXiv:2505.03574) [Preprint]. arXiv. https://arxiv.org/abs/2505.03574</w:t>
      </w:r>
    </w:p>
    <w:p>
      <w:pPr>
        <w:pStyle w:val="BodyText"/>
      </w:pPr>
      <w:r>
        <w:t xml:space="preserve">Chow, C. K. (1970). On optimum recognition error and reject tradeoff.</w:t>
      </w:r>
      <w:r>
        <w:t xml:space="preserve"> </w:t>
      </w:r>
      <w:r>
        <w:rPr>
          <w:iCs/>
          <w:i/>
        </w:rPr>
        <w:t xml:space="preserve">IEEE Transactions on Information Theory, 16</w:t>
      </w:r>
      <w:r>
        <w:t xml:space="preserve">(1), 41–46. https://doi.org/10.1109/TIT.1970.1054406</w:t>
      </w:r>
    </w:p>
    <w:p>
      <w:pPr>
        <w:pStyle w:val="BodyText"/>
      </w:pPr>
      <w:r>
        <w:t xml:space="preserve">Cox, D. R. (1958). The regression analysis of binary sequences.</w:t>
      </w:r>
      <w:r>
        <w:t xml:space="preserve"> </w:t>
      </w:r>
      <w:r>
        <w:rPr>
          <w:iCs/>
          <w:i/>
        </w:rPr>
        <w:t xml:space="preserve">Journal of the Royal Statistical Society: Series B (Methodological), 20</w:t>
      </w:r>
      <w:r>
        <w:t xml:space="preserve">(2), 215–232. https://doi.org/10.1111/j.2517-6161.1958.tb00292.x</w:t>
      </w:r>
    </w:p>
    <w:p>
      <w:pPr>
        <w:pStyle w:val="BodyText"/>
      </w:pPr>
      <w:r>
        <w:t xml:space="preserve">Debenedetti, E., Shumailov, I., Fan, T., Hayes, J., Carlini, N., Fabian, D., Kern, C., Shi, C., Terzis, A., &amp; Tramèr, F. (2025).</w:t>
      </w:r>
      <w:r>
        <w:t xml:space="preserve"> </w:t>
      </w:r>
      <w:r>
        <w:rPr>
          <w:iCs/>
          <w:i/>
        </w:rPr>
        <w:t xml:space="preserve">Defeating prompt injections by design</w:t>
      </w:r>
      <w:r>
        <w:t xml:space="preserve"> </w:t>
      </w:r>
      <w:r>
        <w:t xml:space="preserve">(arXiv:2503.18813v2) [Preprint]. arXiv. https://arxiv.org/abs/2503.18813</w:t>
      </w:r>
    </w:p>
    <w:p>
      <w:pPr>
        <w:pStyle w:val="BodyText"/>
      </w:pPr>
      <w:r>
        <w:t xml:space="preserve">Debenedetti, E., Zhang, J., Balunović, M., Beurer-Kellner, L., Fischer, M., &amp; Tramèr, F. (2024). AgentDojo: A dynamic environment to evaluate prompt injection attacks and defenses for LLM agents. In</w:t>
      </w:r>
      <w:r>
        <w:t xml:space="preserve"> </w:t>
      </w:r>
      <w:r>
        <w:rPr>
          <w:iCs/>
          <w:i/>
        </w:rPr>
        <w:t xml:space="preserve">Advances in Neural Information Processing Systems 37 (NeurIPS 2024), Datasets and Benchmarks Track</w:t>
      </w:r>
      <w:r>
        <w:t xml:space="preserve">.</w:t>
      </w:r>
    </w:p>
    <w:p>
      <w:pPr>
        <w:pStyle w:val="BodyText"/>
      </w:pPr>
      <w:r>
        <w:t xml:space="preserve">Elkan, C. (2001). The foundations of cost-sensitive learning. In</w:t>
      </w:r>
      <w:r>
        <w:t xml:space="preserve"> </w:t>
      </w:r>
      <w:r>
        <w:rPr>
          <w:iCs/>
          <w:i/>
        </w:rPr>
        <w:t xml:space="preserve">Proceedings of the Seventeenth International Joint Conference on Artificial Intelligence (IJCAI-01)</w:t>
      </w:r>
      <w:r>
        <w:t xml:space="preserve"> </w:t>
      </w:r>
      <w:r>
        <w:t xml:space="preserve">(pp. 973–978).</w:t>
      </w:r>
    </w:p>
    <w:p>
      <w:pPr>
        <w:pStyle w:val="BodyText"/>
      </w:pPr>
      <w:r>
        <w:t xml:space="preserve">European Parliament &amp; Council of the European Union. (2024).</w:t>
      </w:r>
      <w:r>
        <w:t xml:space="preserve"> </w:t>
      </w:r>
      <w:r>
        <w:rPr>
          <w:iCs/>
          <w:i/>
        </w:rPr>
        <w:t xml:space="preserve">Regulation (EU) 2024/1689 of the European Parliament and of the Council of 13 June 2024 laying down harmonised rules on artificial intelligence (Artificial Intelligence Act)</w:t>
      </w:r>
      <w:r>
        <w:t xml:space="preserve">. Official Journal of the European Union. https://eur-lex.europa.eu/eli/reg/2024/1689/oj [Official source]</w:t>
      </w:r>
    </w:p>
    <w:p>
      <w:pPr>
        <w:pStyle w:val="BodyText"/>
      </w:pPr>
      <w:r>
        <w:t xml:space="preserve">Forrest, S., Hofmeyr, S. A., Somayaji, A., &amp; Longstaff, T. A. (1996). A sense of self for Unix processes. In</w:t>
      </w:r>
      <w:r>
        <w:t xml:space="preserve"> </w:t>
      </w:r>
      <w:r>
        <w:rPr>
          <w:iCs/>
          <w:i/>
        </w:rPr>
        <w:t xml:space="preserve">Proceedings of the 1996 IEEE Symposium on Security and Privacy</w:t>
      </w:r>
      <w:r>
        <w:t xml:space="preserve"> </w:t>
      </w:r>
      <w:r>
        <w:t xml:space="preserve">(pp. 120–128). IEEE. https://doi.org/10.1109/SECPRI.1996.502675</w:t>
      </w:r>
    </w:p>
    <w:p>
      <w:pPr>
        <w:pStyle w:val="BodyText"/>
      </w:pPr>
      <w:r>
        <w:t xml:space="preserve">Fu, X., Li, S., Wang, Z., et al. (2024).</w:t>
      </w:r>
      <w:r>
        <w:t xml:space="preserve"> </w:t>
      </w:r>
      <w:r>
        <w:rPr>
          <w:iCs/>
          <w:i/>
        </w:rPr>
        <w:t xml:space="preserve">Imprompter: Tricking LLM agents into improper tool use</w:t>
      </w:r>
      <w:r>
        <w:t xml:space="preserve"> </w:t>
      </w:r>
      <w:r>
        <w:t xml:space="preserve">(arXiv:2410.14923) [Preprint]. arXiv. https://doi.org/10.48550/arXiv.2410.14923 [Author list abbreviated from the index record; full list not verified]</w:t>
      </w:r>
    </w:p>
    <w:p>
      <w:pPr>
        <w:pStyle w:val="BodyText"/>
      </w:pPr>
      <w:r>
        <w:t xml:space="preserve">Greshake, K., Abdelnabi, S., Mishra, S., Endres, C., Holz, T., &amp; Fritz, M. (2023). Not what you’ve signed up for: Compromising real-world LLM-integrated applications with indirect prompt injection. In</w:t>
      </w:r>
      <w:r>
        <w:t xml:space="preserve"> </w:t>
      </w:r>
      <w:r>
        <w:rPr>
          <w:iCs/>
          <w:i/>
        </w:rPr>
        <w:t xml:space="preserve">Proceedings of the 16th ACM Workshop on Artificial Intelligence and Security</w:t>
      </w:r>
      <w:r>
        <w:t xml:space="preserve"> </w:t>
      </w:r>
      <w:r>
        <w:t xml:space="preserve">(pp. 79–90). ACM. https://doi.org/10.1145/3605764.3623985</w:t>
      </w:r>
    </w:p>
    <w:p>
      <w:pPr>
        <w:pStyle w:val="BodyText"/>
      </w:pPr>
      <w:r>
        <w:t xml:space="preserve">Guo, C., Pleiss, G., Sun, Y., &amp; Weinberger, K. Q. (2017). On calibration of modern neural networks. In</w:t>
      </w:r>
      <w:r>
        <w:t xml:space="preserve"> </w:t>
      </w:r>
      <w:r>
        <w:rPr>
          <w:iCs/>
          <w:i/>
        </w:rPr>
        <w:t xml:space="preserve">Proceedings of the 34th International Conference on Machine Learning</w:t>
      </w:r>
      <w:r>
        <w:t xml:space="preserve"> </w:t>
      </w:r>
      <w:r>
        <w:t xml:space="preserve">(Proceedings of Machine Learning Research, Vol. 70, pp. 1321–1330). PMLR.</w:t>
      </w:r>
    </w:p>
    <w:p>
      <w:pPr>
        <w:pStyle w:val="BodyText"/>
      </w:pPr>
      <w:r>
        <w:t xml:space="preserve">Hasan, M. M., Li, H., Fallahzadeh, E., Rajbahadur, G. K., Adams, B., &amp; Hassan, A. E. (2026). Model Context Protocol (MCP) at first glance: Studying the security and maintainability of MCP servers.</w:t>
      </w:r>
      <w:r>
        <w:t xml:space="preserve"> </w:t>
      </w:r>
      <w:r>
        <w:rPr>
          <w:iCs/>
          <w:i/>
        </w:rPr>
        <w:t xml:space="preserve">ACM Transactions on Software Engineering and Methodology</w:t>
      </w:r>
      <w:r>
        <w:t xml:space="preserve">. https://doi.org/10.1145/3814959</w:t>
      </w:r>
    </w:p>
    <w:p>
      <w:pPr>
        <w:pStyle w:val="BodyText"/>
      </w:pPr>
      <w:r>
        <w:t xml:space="preserve">Hines, K., Lopez, G., Hall, M., Zarfati, F., Zunger, Y., &amp; Kiciman, E. (2024).</w:t>
      </w:r>
      <w:r>
        <w:t xml:space="preserve"> </w:t>
      </w:r>
      <w:r>
        <w:rPr>
          <w:iCs/>
          <w:i/>
        </w:rPr>
        <w:t xml:space="preserve">Defending against indirect prompt injection attacks with spotlighting</w:t>
      </w:r>
      <w:r>
        <w:t xml:space="preserve"> </w:t>
      </w:r>
      <w:r>
        <w:t xml:space="preserve">(arXiv:2403.14720) [Preprint]. arXiv. https://arxiv.org/abs/2403.14720</w:t>
      </w:r>
    </w:p>
    <w:p>
      <w:pPr>
        <w:pStyle w:val="BodyText"/>
      </w:pPr>
      <w:r>
        <w:t xml:space="preserve">Hossain, E., Nipu, M. M. H., Ornee, T. N., Rana, R., &amp; Yousefi, N. (2026).</w:t>
      </w:r>
      <w:r>
        <w:t xml:space="preserve"> </w:t>
      </w:r>
      <w:r>
        <w:rPr>
          <w:iCs/>
          <w:i/>
        </w:rPr>
        <w:t xml:space="preserve">NEXUS: Structured runtime safety for tool-using LLM agents</w:t>
      </w:r>
      <w:r>
        <w:t xml:space="preserve"> </w:t>
      </w:r>
      <w:r>
        <w:t xml:space="preserve">(arXiv:2607.19356) [Preprint]. arXiv. https://arxiv.org/abs/2607.19356</w:t>
      </w:r>
    </w:p>
    <w:p>
      <w:pPr>
        <w:pStyle w:val="BodyText"/>
      </w:pPr>
      <w:r>
        <w:t xml:space="preserve">Hua, W., Yang, X., Jin, M., Li, Z., Cheng, W., Tang, R., &amp; Zhang, Y. (2024). TrustAgent: Towards safe and trustworthy LLM-based agents. In</w:t>
      </w:r>
      <w:r>
        <w:t xml:space="preserve"> </w:t>
      </w:r>
      <w:r>
        <w:rPr>
          <w:iCs/>
          <w:i/>
        </w:rPr>
        <w:t xml:space="preserve">Findings of the Association for Computational Linguistics: EMNLP 2024</w:t>
      </w:r>
      <w:r>
        <w:t xml:space="preserve"> </w:t>
      </w:r>
      <w:r>
        <w:t xml:space="preserve">(pp. 10000–10016). Association for Computational Linguistics. https://doi.org/10.18653/v1/2024.findings-emnlp.585</w:t>
      </w:r>
    </w:p>
    <w:p>
      <w:pPr>
        <w:pStyle w:val="BodyText"/>
      </w:pPr>
      <w:r>
        <w:t xml:space="preserve">Huang, C., Huang, X., Tran, N. P., &amp; Milani Fard, A. (2026). Model Context Protocol threat modeling and analysis of vulnerabilities to prompt injection with tool poisoning.</w:t>
      </w:r>
      <w:r>
        <w:t xml:space="preserve"> </w:t>
      </w:r>
      <w:r>
        <w:rPr>
          <w:iCs/>
          <w:i/>
        </w:rPr>
        <w:t xml:space="preserve">Journal of Cybersecurity and Privacy, 6</w:t>
      </w:r>
      <w:r>
        <w:t xml:space="preserve">(3), Article 84. https://doi.org/10.3390/jcp6030084</w:t>
      </w:r>
    </w:p>
    <w:p>
      <w:pPr>
        <w:pStyle w:val="BodyText"/>
      </w:pPr>
      <w:r>
        <w:t xml:space="preserve">Jackson, F. (2025).</w:t>
      </w:r>
      <w:r>
        <w:t xml:space="preserve"> </w:t>
      </w:r>
      <w:r>
        <w:rPr>
          <w:iCs/>
          <w:i/>
        </w:rPr>
        <w:t xml:space="preserve">Designing a policy engine for agentic AI systems: From governance requirements to runtime enforcement</w:t>
      </w:r>
      <w:r>
        <w:t xml:space="preserve"> </w:t>
      </w:r>
      <w:r>
        <w:t xml:space="preserve">[Working paper]. SSRN. https://doi.org/10.2139/ssrn.5904104</w:t>
      </w:r>
    </w:p>
    <w:p>
      <w:pPr>
        <w:pStyle w:val="BodyText"/>
      </w:pPr>
      <w:r>
        <w:t xml:space="preserve">Jacob, D., Alzahrani, H., Hu, Z., Alomair, B., &amp; Wagner, D. (2025). PromptShield: Deployable detection for prompt injection attacks. In</w:t>
      </w:r>
      <w:r>
        <w:t xml:space="preserve"> </w:t>
      </w:r>
      <w:r>
        <w:rPr>
          <w:iCs/>
          <w:i/>
        </w:rPr>
        <w:t xml:space="preserve">Proceedings of the Fifteenth ACM Conference on Data and Application Security and Privacy</w:t>
      </w:r>
      <w:r>
        <w:t xml:space="preserve"> </w:t>
      </w:r>
      <w:r>
        <w:t xml:space="preserve">(pp. 341–352). ACM. https://doi.org/10.1145/3714393.3726501 [Crossref records issued year 2024 and online publication 2025]</w:t>
      </w:r>
    </w:p>
    <w:p>
      <w:pPr>
        <w:pStyle w:val="BodyText"/>
      </w:pPr>
      <w:r>
        <w:t xml:space="preserve">Jia, F., Wu, T., Qin, X., &amp; Squicciarini, A. (2025). The Task Shield: Enforcing task alignment to defend against indirect prompt injection in LLM agents. In</w:t>
      </w:r>
      <w:r>
        <w:t xml:space="preserve"> </w:t>
      </w:r>
      <w:r>
        <w:rPr>
          <w:iCs/>
          <w:i/>
        </w:rPr>
        <w:t xml:space="preserve">Proceedings of the 63rd Annual Meeting of the Association for Computational Linguistics (Volume 1: Long Papers)</w:t>
      </w:r>
      <w:r>
        <w:t xml:space="preserve">. Association for Computational Linguistics. https://aclanthology.org/2025.acl-long.1435/</w:t>
      </w:r>
    </w:p>
    <w:p>
      <w:pPr>
        <w:pStyle w:val="BodyText"/>
      </w:pPr>
      <w:r>
        <w:t xml:space="preserve">Jia, H., Liu, Y., Chong, B., Yang, Y., Chen, Y., Liang, J., Li, Q., Lu, H., Xu, K., Zheng, H., Zhang, C., Peng, H., &amp; Yu, P. S. (2026).</w:t>
      </w:r>
      <w:r>
        <w:t xml:space="preserve"> </w:t>
      </w:r>
      <w:r>
        <w:rPr>
          <w:iCs/>
          <w:i/>
        </w:rPr>
        <w:t xml:space="preserve">FinHarness: An inline lifecycle safety harness for finance LLM agents</w:t>
      </w:r>
      <w:r>
        <w:t xml:space="preserve"> </w:t>
      </w:r>
      <w:r>
        <w:t xml:space="preserve">(arXiv:2605.27333) [Preprint]. arXiv. https://arxiv.org/abs/2605.27333</w:t>
      </w:r>
    </w:p>
    <w:p>
      <w:pPr>
        <w:pStyle w:val="BodyText"/>
      </w:pPr>
      <w:r>
        <w:t xml:space="preserve">Jia, X., Liao, J., Qin, S., et al. (2026).</w:t>
      </w:r>
      <w:r>
        <w:t xml:space="preserve"> </w:t>
      </w:r>
      <w:r>
        <w:rPr>
          <w:iCs/>
          <w:i/>
        </w:rPr>
        <w:t xml:space="preserve">SkillJect: Effectively automating skill-based prompt injection for skill-enabled agents</w:t>
      </w:r>
      <w:r>
        <w:t xml:space="preserve"> </w:t>
      </w:r>
      <w:r>
        <w:t xml:space="preserve">(arXiv:2602.14211) [Preprint]. arXiv. https://doi.org/10.48550/arXiv.2602.14211 [Author list abbreviated from the index record; full list not verified]</w:t>
      </w:r>
    </w:p>
    <w:p>
      <w:pPr>
        <w:pStyle w:val="BodyText"/>
      </w:pPr>
      <w:r>
        <w:t xml:space="preserve">Jiang, C., Zhang, W., Pan, X., Hong, G., &amp; Yang, M. (2025).</w:t>
      </w:r>
      <w:r>
        <w:t xml:space="preserve"> </w:t>
      </w:r>
      <w:r>
        <w:rPr>
          <w:iCs/>
          <w:i/>
        </w:rPr>
        <w:t xml:space="preserve">Think twice before you act: Enhancing agent behavioral safety with thought correction</w:t>
      </w:r>
      <w:r>
        <w:t xml:space="preserve"> </w:t>
      </w:r>
      <w:r>
        <w:t xml:space="preserve">(arXiv:2505.11063) [Preprint; accepted to ICML 2026]. arXiv. https://arxiv.org/abs/2505.11063</w:t>
      </w:r>
    </w:p>
    <w:p>
      <w:pPr>
        <w:pStyle w:val="BodyText"/>
      </w:pPr>
      <w:r>
        <w:t xml:space="preserve">Johnson, S., Pham, V., &amp; Le, T. (2025). The dangers of indirect prompt injection attacks on LLM-based autonomous web navigation agents: A demonstration. In</w:t>
      </w:r>
      <w:r>
        <w:t xml:space="preserve"> </w:t>
      </w:r>
      <w:r>
        <w:rPr>
          <w:iCs/>
          <w:i/>
        </w:rPr>
        <w:t xml:space="preserve">Proceedings of the 2025 Conference on Empirical Methods in Natural Language Processing: System Demonstrations</w:t>
      </w:r>
      <w:r>
        <w:t xml:space="preserve"> </w:t>
      </w:r>
      <w:r>
        <w:t xml:space="preserve">(pp. 729–738). Association for Computational Linguistics. https://doi.org/10.18653/v1/2025.emnlp-demos.55</w:t>
      </w:r>
    </w:p>
    <w:p>
      <w:pPr>
        <w:pStyle w:val="BodyText"/>
      </w:pPr>
      <w:r>
        <w:t xml:space="preserve">Kaptein, M., Khan, V.-J., &amp; Podstavnychy, A. (2026).</w:t>
      </w:r>
      <w:r>
        <w:t xml:space="preserve"> </w:t>
      </w:r>
      <w:r>
        <w:rPr>
          <w:iCs/>
          <w:i/>
        </w:rPr>
        <w:t xml:space="preserve">Runtime governance for AI agents: Policies on paths</w:t>
      </w:r>
      <w:r>
        <w:t xml:space="preserve"> </w:t>
      </w:r>
      <w:r>
        <w:t xml:space="preserve">(arXiv:2603.16586) [Preprint]. arXiv. https://doi.org/10.48550/arXiv.2603.16586</w:t>
      </w:r>
    </w:p>
    <w:p>
      <w:pPr>
        <w:pStyle w:val="BodyText"/>
      </w:pPr>
      <w:r>
        <w:t xml:space="preserve">Kull, M., Silva Filho, T., &amp; Flach, P. (2017). Beta calibration: A well-founded and easily implemented improvement on logistic calibration for binary classifiers. In</w:t>
      </w:r>
      <w:r>
        <w:t xml:space="preserve"> </w:t>
      </w:r>
      <w:r>
        <w:rPr>
          <w:iCs/>
          <w:i/>
        </w:rPr>
        <w:t xml:space="preserve">Proceedings of the 20th International Conference on Artificial Intelligence and Statistics</w:t>
      </w:r>
      <w:r>
        <w:t xml:space="preserve"> </w:t>
      </w:r>
      <w:r>
        <w:t xml:space="preserve">(Proceedings of Machine Learning Research, Vol. 54, pp. 623–631). PMLR.</w:t>
      </w:r>
    </w:p>
    <w:p>
      <w:pPr>
        <w:pStyle w:val="BodyText"/>
      </w:pPr>
      <w:r>
        <w:t xml:space="preserve">le Cessie, S., &amp; van Houwelingen, J. C. (1992). Ridge estimators in logistic regression.</w:t>
      </w:r>
      <w:r>
        <w:t xml:space="preserve"> </w:t>
      </w:r>
      <w:r>
        <w:rPr>
          <w:iCs/>
          <w:i/>
        </w:rPr>
        <w:t xml:space="preserve">Applied Statistics, 41</w:t>
      </w:r>
      <w:r>
        <w:t xml:space="preserve">(1), 191–201. https://doi.org/10.2307/2347628</w:t>
      </w:r>
    </w:p>
    <w:p>
      <w:pPr>
        <w:pStyle w:val="BodyText"/>
      </w:pPr>
      <w:r>
        <w:t xml:space="preserve">Li, E., Mallick, T., Rose, E., Robertson, W., Oprea, A., &amp; Nita-Rotaru, C. (2026). ACE: A security architecture for LLM-integrated app systems. In</w:t>
      </w:r>
      <w:r>
        <w:t xml:space="preserve"> </w:t>
      </w:r>
      <w:r>
        <w:rPr>
          <w:iCs/>
          <w:i/>
        </w:rPr>
        <w:t xml:space="preserve">Proceedings of the 2026 Network and Distributed System Security Symposium (NDSS)</w:t>
      </w:r>
      <w:r>
        <w:t xml:space="preserve">. Internet Society. https://doi.org/10.14722/ndss.2026.230352</w:t>
      </w:r>
    </w:p>
    <w:p>
      <w:pPr>
        <w:pStyle w:val="BodyText"/>
      </w:pPr>
      <w:r>
        <w:t xml:space="preserve">Li, F. (2026).</w:t>
      </w:r>
      <w:r>
        <w:t xml:space="preserve"> </w:t>
      </w:r>
      <w:r>
        <w:rPr>
          <w:iCs/>
          <w:i/>
        </w:rPr>
        <w:t xml:space="preserve">OpenClaw PRISM: A zero-fork, defense-in-depth runtime security layer for tool-augmented LLM agents</w:t>
      </w:r>
      <w:r>
        <w:t xml:space="preserve"> </w:t>
      </w:r>
      <w:r>
        <w:t xml:space="preserve">(arXiv:2603.11853) [Preprint]. arXiv. https://arxiv.org/abs/2603.11853</w:t>
      </w:r>
    </w:p>
    <w:p>
      <w:pPr>
        <w:pStyle w:val="BodyText"/>
      </w:pPr>
      <w:r>
        <w:t xml:space="preserve">Li, H., Liu, X., Chiu, C., Li, D., Zhang, N., &amp; Xiao, C. (2025). DRIFT: Dynamic rule-based defense with injection isolation for securing LLM agents. In</w:t>
      </w:r>
      <w:r>
        <w:t xml:space="preserve"> </w:t>
      </w:r>
      <w:r>
        <w:rPr>
          <w:iCs/>
          <w:i/>
        </w:rPr>
        <w:t xml:space="preserve">Advances in Neural Information Processing Systems 38 (NeurIPS 2025)</w:t>
      </w:r>
      <w:r>
        <w:t xml:space="preserve"> </w:t>
      </w:r>
      <w:r>
        <w:t xml:space="preserve">(pp. 92825–92853). https://doi.org/10.52202/085713-2791</w:t>
      </w:r>
    </w:p>
    <w:p>
      <w:pPr>
        <w:pStyle w:val="BodyText"/>
      </w:pPr>
      <w:r>
        <w:t xml:space="preserve">Li, M. Q., Fung, B. C. M., Li, B., Ismail, H., &amp; Iqbal, F. (2026).</w:t>
      </w:r>
      <w:r>
        <w:t xml:space="preserve"> </w:t>
      </w:r>
      <w:r>
        <w:rPr>
          <w:iCs/>
          <w:i/>
        </w:rPr>
        <w:t xml:space="preserve">Taxonomy and consistency analysis of safety benchmarks for AI agents</w:t>
      </w:r>
      <w:r>
        <w:t xml:space="preserve"> </w:t>
      </w:r>
      <w:r>
        <w:t xml:space="preserve">(arXiv:2605.16282) [Preprint]. arXiv. https://arxiv.org/abs/2605.16282</w:t>
      </w:r>
    </w:p>
    <w:p>
      <w:pPr>
        <w:pStyle w:val="BodyText"/>
      </w:pPr>
      <w:r>
        <w:t xml:space="preserve">Lin, J., Zhou, Z., Zheng, Z., Liu, S., Xu, T., Chen, Y., &amp; Chen, E. (2026). VIGIL: Defending LLM agents against tool-stream injection via verify-before-commit. In</w:t>
      </w:r>
      <w:r>
        <w:t xml:space="preserve"> </w:t>
      </w:r>
      <w:r>
        <w:rPr>
          <w:iCs/>
          <w:i/>
        </w:rPr>
        <w:t xml:space="preserve">Proceedings of the 64th Annual Meeting of the Association for Computational Linguistics (Volume 1: Long Papers)</w:t>
      </w:r>
      <w:r>
        <w:t xml:space="preserve"> </w:t>
      </w:r>
      <w:r>
        <w:t xml:space="preserve">(pp. 9764–9785). Association for Computational Linguistics. https://doi.org/10.18653/v1/2026.acl-long.443</w:t>
      </w:r>
    </w:p>
    <w:p>
      <w:pPr>
        <w:pStyle w:val="BodyText"/>
      </w:pPr>
      <w:r>
        <w:t xml:space="preserve">Lin, W., Yu, C., Lin, X., Cao, S., Chen, X., Xue, L., Yu, L., Sha, L., &amp; Wu, C. (2026).</w:t>
      </w:r>
      <w:r>
        <w:t xml:space="preserve"> </w:t>
      </w:r>
      <w:r>
        <w:rPr>
          <w:iCs/>
          <w:i/>
        </w:rPr>
        <w:t xml:space="preserve">DreamGuard: Efficient runtime guardrail for LLM agents via risk-aware world model</w:t>
      </w:r>
      <w:r>
        <w:t xml:space="preserve"> </w:t>
      </w:r>
      <w:r>
        <w:t xml:space="preserve">(arXiv:2608.05695) [Preprint]. arXiv. https://arxiv.org/abs/2608.05695</w:t>
      </w:r>
    </w:p>
    <w:p>
      <w:pPr>
        <w:pStyle w:val="BodyText"/>
      </w:pPr>
      <w:r>
        <w:t xml:space="preserve">Liu, H., Ilyushin, E., Ni, J., &amp; Zhu, M. (2026).</w:t>
      </w:r>
      <w:r>
        <w:t xml:space="preserve"> </w:t>
      </w:r>
      <w:r>
        <w:rPr>
          <w:iCs/>
          <w:i/>
        </w:rPr>
        <w:t xml:space="preserve">SafeAgent: A runtime protection architecture for agentic systems</w:t>
      </w:r>
      <w:r>
        <w:t xml:space="preserve"> </w:t>
      </w:r>
      <w:r>
        <w:t xml:space="preserve">(arXiv:2604.17562) [Preprint]. arXiv. https://arxiv.org/abs/2604.17562</w:t>
      </w:r>
    </w:p>
    <w:p>
      <w:pPr>
        <w:pStyle w:val="BodyText"/>
      </w:pPr>
      <w:r>
        <w:t xml:space="preserve">Liu, T., Deng, Z., Meng, G., et al. (2023).</w:t>
      </w:r>
      <w:r>
        <w:t xml:space="preserve"> </w:t>
      </w:r>
      <w:r>
        <w:rPr>
          <w:iCs/>
          <w:i/>
        </w:rPr>
        <w:t xml:space="preserve">Demystifying RCE vulnerabilities in LLM-integrated apps</w:t>
      </w:r>
      <w:r>
        <w:t xml:space="preserve"> </w:t>
      </w:r>
      <w:r>
        <w:t xml:space="preserve">(arXiv:2309.02926) [Preprint]. arXiv. https://doi.org/10.48550/arXiv.2309.02926 [Author list abbreviated from the index record; full list not verified]</w:t>
      </w:r>
    </w:p>
    <w:p>
      <w:pPr>
        <w:pStyle w:val="BodyText"/>
      </w:pPr>
      <w:r>
        <w:t xml:space="preserve">Liu, Y., Deng, G., Li, Y., et al. (2023).</w:t>
      </w:r>
      <w:r>
        <w:t xml:space="preserve"> </w:t>
      </w:r>
      <w:r>
        <w:rPr>
          <w:iCs/>
          <w:i/>
        </w:rPr>
        <w:t xml:space="preserve">Prompt injection attack against LLM-integrated applications</w:t>
      </w:r>
      <w:r>
        <w:t xml:space="preserve"> </w:t>
      </w:r>
      <w:r>
        <w:t xml:space="preserve">(arXiv:2306.05499) [Preprint]. arXiv. https://doi.org/10.48550/arXiv.2306.05499 [Author list abbreviated from the index record; full list not verified]</w:t>
      </w:r>
    </w:p>
    <w:p>
      <w:pPr>
        <w:pStyle w:val="BodyText"/>
      </w:pPr>
      <w:r>
        <w:t xml:space="preserve">Liu, Y., Jia, Y., Geng, R., Jia, J., &amp; Gong, N. Z. (2024). Formalizing and benchmarking prompt injection attacks and defenses. In</w:t>
      </w:r>
      <w:r>
        <w:t xml:space="preserve"> </w:t>
      </w:r>
      <w:r>
        <w:rPr>
          <w:iCs/>
          <w:i/>
        </w:rPr>
        <w:t xml:space="preserve">33rd USENIX Security Symposium</w:t>
      </w:r>
      <w:r>
        <w:t xml:space="preserve"> </w:t>
      </w:r>
      <w:r>
        <w:t xml:space="preserve">(pp. 1831–1847). USENIX Association.</w:t>
      </w:r>
    </w:p>
    <w:p>
      <w:pPr>
        <w:pStyle w:val="BodyText"/>
      </w:pPr>
      <w:r>
        <w:t xml:space="preserve">Lorden, G. (1971). Procedures for reacting to a change in distribution.</w:t>
      </w:r>
      <w:r>
        <w:t xml:space="preserve"> </w:t>
      </w:r>
      <w:r>
        <w:rPr>
          <w:iCs/>
          <w:i/>
        </w:rPr>
        <w:t xml:space="preserve">The Annals of Mathematical Statistics, 42</w:t>
      </w:r>
      <w:r>
        <w:t xml:space="preserve">(6), 1897–1908. https://doi.org/10.1214/aoms/1177693055</w:t>
      </w:r>
    </w:p>
    <w:p>
      <w:pPr>
        <w:pStyle w:val="BodyText"/>
      </w:pPr>
      <w:r>
        <w:t xml:space="preserve">Lundberg, S. M., &amp; Lee, S.-I. (2017). A unified approach to interpreting model predictions. In</w:t>
      </w:r>
      <w:r>
        <w:t xml:space="preserve"> </w:t>
      </w:r>
      <w:r>
        <w:rPr>
          <w:iCs/>
          <w:i/>
        </w:rPr>
        <w:t xml:space="preserve">Advances in Neural Information Processing Systems 30 (NIPS 2017)</w:t>
      </w:r>
      <w:r>
        <w:t xml:space="preserve"> </w:t>
      </w:r>
      <w:r>
        <w:t xml:space="preserve">(pp. 4765–4774).</w:t>
      </w:r>
    </w:p>
    <w:p>
      <w:pPr>
        <w:pStyle w:val="BodyText"/>
      </w:pPr>
      <w:r>
        <w:t xml:space="preserve">Luo, W., Dai, S., Liu, X., Banerjee, S., Sun, H., Chen, M., &amp; Xiao, C. (2025). AGrail: A lifelong agent guardrail with effective and adaptive safety detection. In</w:t>
      </w:r>
      <w:r>
        <w:t xml:space="preserve"> </w:t>
      </w:r>
      <w:r>
        <w:rPr>
          <w:iCs/>
          <w:i/>
        </w:rPr>
        <w:t xml:space="preserve">Proceedings of the 63rd Annual Meeting of the Association for Computational Linguistics (Volume 1: Long Papers)</w:t>
      </w:r>
      <w:r>
        <w:t xml:space="preserve"> </w:t>
      </w:r>
      <w:r>
        <w:t xml:space="preserve">(pp. 8104–8139). Association for Computational Linguistics. https://doi.org/10.18653/v1/2025.acl-long.399</w:t>
      </w:r>
    </w:p>
    <w:p>
      <w:pPr>
        <w:pStyle w:val="BodyText"/>
      </w:pPr>
      <w:r>
        <w:t xml:space="preserve">Mao, Q., Wang, J., Liu, Y., Zhu, L., Ma, C., &amp; Yan, J. (2026).</w:t>
      </w:r>
      <w:r>
        <w:t xml:space="preserve"> </w:t>
      </w:r>
      <w:r>
        <w:rPr>
          <w:iCs/>
          <w:i/>
        </w:rPr>
        <w:t xml:space="preserve">SoK: Security of autonomous LLM agents in agentic commerce</w:t>
      </w:r>
      <w:r>
        <w:t xml:space="preserve"> </w:t>
      </w:r>
      <w:r>
        <w:t xml:space="preserve">(arXiv:2604.15367) [Preprint]. arXiv. https://arxiv.org/abs/2604.15367</w:t>
      </w:r>
    </w:p>
    <w:p>
      <w:pPr>
        <w:pStyle w:val="BodyText"/>
      </w:pPr>
      <w:r>
        <w:t xml:space="preserve">Mou, Y., Xue, Z., Li, L., Liu, P., Zhang, S., Ye, W., &amp; Shao, J. (2026). ToolSafe: Enhancing tool invocation safety of LLM-based agents via proactive step-level guardrail and feedback. In</w:t>
      </w:r>
      <w:r>
        <w:t xml:space="preserve"> </w:t>
      </w:r>
      <w:r>
        <w:rPr>
          <w:iCs/>
          <w:i/>
        </w:rPr>
        <w:t xml:space="preserve">Findings of the Association for Computational Linguistics: ACL 2026</w:t>
      </w:r>
      <w:r>
        <w:t xml:space="preserve"> </w:t>
      </w:r>
      <w:r>
        <w:t xml:space="preserve">(pp. 37125–37153). Association for Computational Linguistics. https://doi.org/10.18653/v1/2026.findings-acl.1850</w:t>
      </w:r>
    </w:p>
    <w:p>
      <w:pPr>
        <w:pStyle w:val="BodyText"/>
      </w:pPr>
      <w:r>
        <w:t xml:space="preserve">Naeini, M. P., Cooper, G., &amp; Hauskrecht, M. (2015). Obtaining well calibrated probabilities using Bayesian binning.</w:t>
      </w:r>
      <w:r>
        <w:t xml:space="preserve"> </w:t>
      </w:r>
      <w:r>
        <w:rPr>
          <w:iCs/>
          <w:i/>
        </w:rPr>
        <w:t xml:space="preserve">Proceedings of the AAAI Conference on Artificial Intelligence, 29</w:t>
      </w:r>
      <w:r>
        <w:t xml:space="preserve">(1). https://doi.org/10.1609/aaai.v29i1.9602</w:t>
      </w:r>
    </w:p>
    <w:p>
      <w:pPr>
        <w:pStyle w:val="BodyText"/>
      </w:pPr>
      <w:r>
        <w:t xml:space="preserve">Ng, A. Y., &amp; Jordan, M. I. (2002). On discriminative vs. generative classifiers: A comparison of logistic regression and naive Bayes. In</w:t>
      </w:r>
      <w:r>
        <w:t xml:space="preserve"> </w:t>
      </w:r>
      <w:r>
        <w:rPr>
          <w:iCs/>
          <w:i/>
        </w:rPr>
        <w:t xml:space="preserve">Advances in Neural Information Processing Systems 14 (NIPS 2001)</w:t>
      </w:r>
      <w:r>
        <w:t xml:space="preserve">. https://papers.nips.cc/paper/2020-on-discriminative-vs-generative-classifiers-a-comparison-of-logistic-regression-and-naive-bayes</w:t>
      </w:r>
    </w:p>
    <w:p>
      <w:pPr>
        <w:pStyle w:val="BodyText"/>
      </w:pPr>
      <w:r>
        <w:t xml:space="preserve">Niculescu-Mizil, A., &amp; Caruana, R. (2005). Predicting good probabilities with supervised learning. In</w:t>
      </w:r>
      <w:r>
        <w:t xml:space="preserve"> </w:t>
      </w:r>
      <w:r>
        <w:rPr>
          <w:iCs/>
          <w:i/>
        </w:rPr>
        <w:t xml:space="preserve">Proceedings of the 22nd International Conference on Machine Learning</w:t>
      </w:r>
      <w:r>
        <w:t xml:space="preserve"> </w:t>
      </w:r>
      <w:r>
        <w:t xml:space="preserve">(pp. 625–632). ACM. https://doi.org/10.1145/1102351.1102430</w:t>
      </w:r>
    </w:p>
    <w:p>
      <w:pPr>
        <w:pStyle w:val="BodyText"/>
      </w:pPr>
      <w:r>
        <w:t xml:space="preserve">OWASP Gen AI Security Project. (2025).</w:t>
      </w:r>
      <w:r>
        <w:t xml:space="preserve"> </w:t>
      </w:r>
      <w:r>
        <w:rPr>
          <w:iCs/>
          <w:i/>
        </w:rPr>
        <w:t xml:space="preserve">LLM01:2025 Prompt injection</w:t>
      </w:r>
      <w:r>
        <w:t xml:space="preserve">. OWASP Foundation. https://genai.owasp.org/llmrisk/llm01-prompt-injection/ [Official source]</w:t>
      </w:r>
    </w:p>
    <w:p>
      <w:pPr>
        <w:pStyle w:val="BodyText"/>
      </w:pPr>
      <w:r>
        <w:t xml:space="preserve">Page, E. S. (1954). Continuous inspection schemes.</w:t>
      </w:r>
      <w:r>
        <w:t xml:space="preserve"> </w:t>
      </w:r>
      <w:r>
        <w:rPr>
          <w:iCs/>
          <w:i/>
        </w:rPr>
        <w:t xml:space="preserve">Biometrika, 41</w:t>
      </w:r>
      <w:r>
        <w:t xml:space="preserve">(1–2), 100–115. https://doi.org/10.1093/biomet/41.1-2.100</w:t>
      </w:r>
    </w:p>
    <w:p>
      <w:pPr>
        <w:pStyle w:val="BodyText"/>
      </w:pPr>
      <w:r>
        <w:t xml:space="preserve">Patil, S. G., Zhang, T., Fang, V., et al. (2024).</w:t>
      </w:r>
      <w:r>
        <w:t xml:space="preserve"> </w:t>
      </w:r>
      <w:r>
        <w:rPr>
          <w:iCs/>
          <w:i/>
        </w:rPr>
        <w:t xml:space="preserve">GoEX: Perspectives and designs towards a runtime for autonomous LLM applications</w:t>
      </w:r>
      <w:r>
        <w:t xml:space="preserve"> </w:t>
      </w:r>
      <w:r>
        <w:t xml:space="preserve">(arXiv:2404.06921) [Preprint]. arXiv. https://doi.org/10.48550/arXiv.2404.06921 [Author list abbreviated from the index record; full list not verified]</w:t>
      </w:r>
    </w:p>
    <w:p>
      <w:pPr>
        <w:pStyle w:val="BodyText"/>
      </w:pPr>
      <w:r>
        <w:t xml:space="preserve">Pedro, R., Amaral de Castro, D., Carreira, P., et al. (2023).</w:t>
      </w:r>
      <w:r>
        <w:t xml:space="preserve"> </w:t>
      </w:r>
      <w:r>
        <w:rPr>
          <w:iCs/>
          <w:i/>
        </w:rPr>
        <w:t xml:space="preserve">From prompt injections to SQL injection attacks: How protected is your LLM-integrated web application?</w:t>
      </w:r>
      <w:r>
        <w:t xml:space="preserve"> </w:t>
      </w:r>
      <w:r>
        <w:t xml:space="preserve">(arXiv:2308.01990) [Preprint]. arXiv. https://doi.org/10.48550/arXiv.2308.01990 [Author list abbreviated from the index record; full list not verified]</w:t>
      </w:r>
    </w:p>
    <w:p>
      <w:pPr>
        <w:pStyle w:val="BodyText"/>
      </w:pPr>
      <w:r>
        <w:t xml:space="preserve">Platt, J. C. (1999). Probabilistic outputs for support vector machines and comparisons to regularized likelihood methods. In A. J. Smola, P. Bartlett, B. Schölkopf, &amp; D. Schuurmans (Eds.),</w:t>
      </w:r>
      <w:r>
        <w:t xml:space="preserve"> </w:t>
      </w:r>
      <w:r>
        <w:rPr>
          <w:iCs/>
          <w:i/>
        </w:rPr>
        <w:t xml:space="preserve">Advances in large margin classifiers</w:t>
      </w:r>
      <w:r>
        <w:t xml:space="preserve"> </w:t>
      </w:r>
      <w:r>
        <w:t xml:space="preserve">(pp. 61–74). MIT Press.</w:t>
      </w:r>
    </w:p>
    <w:p>
      <w:pPr>
        <w:pStyle w:val="BodyText"/>
      </w:pPr>
      <w:r>
        <w:t xml:space="preserve">Ruan, Y., Dong, H., Wang, A., Pitis, S., Zhou, Y., Ba, J., Dubois, Y., Maddison, C. J., &amp; Hashimoto, T. (2024). Identifying the risks of LM agents with an LM-emulated sandbox. In</w:t>
      </w:r>
      <w:r>
        <w:t xml:space="preserve"> </w:t>
      </w:r>
      <w:r>
        <w:rPr>
          <w:iCs/>
          <w:i/>
        </w:rPr>
        <w:t xml:space="preserve">The Twelfth International Conference on Learning Representations (ICLR 2024)</w:t>
      </w:r>
      <w:r>
        <w:t xml:space="preserve">.</w:t>
      </w:r>
    </w:p>
    <w:p>
      <w:pPr>
        <w:pStyle w:val="BodyText"/>
      </w:pPr>
      <w:r>
        <w:t xml:space="preserve">Schick, T., Dwivedi-Yu, J., Dessì, R., Raileanu, R., Lomeli, M., Hambro, E., Zettlemoyer, L., Cancedda, N., &amp; Scialom, T. (2023). Toolformer: Language models can teach themselves to use tools. In</w:t>
      </w:r>
      <w:r>
        <w:t xml:space="preserve"> </w:t>
      </w:r>
      <w:r>
        <w:rPr>
          <w:iCs/>
          <w:i/>
        </w:rPr>
        <w:t xml:space="preserve">Advances in Neural Information Processing Systems 36 (NeurIPS 2023)</w:t>
      </w:r>
      <w:r>
        <w:t xml:space="preserve">.</w:t>
      </w:r>
    </w:p>
    <w:p>
      <w:pPr>
        <w:pStyle w:val="BodyText"/>
      </w:pPr>
      <w:r>
        <w:t xml:space="preserve">Schneider, F. B. (2000). Enforceable security policies.</w:t>
      </w:r>
      <w:r>
        <w:t xml:space="preserve"> </w:t>
      </w:r>
      <w:r>
        <w:rPr>
          <w:iCs/>
          <w:i/>
        </w:rPr>
        <w:t xml:space="preserve">ACM Transactions on Information and System Security, 3</w:t>
      </w:r>
      <w:r>
        <w:t xml:space="preserve">(1), 30–50. https://doi.org/10.1145/353323.353382</w:t>
      </w:r>
    </w:p>
    <w:p>
      <w:pPr>
        <w:pStyle w:val="BodyText"/>
      </w:pPr>
      <w:r>
        <w:t xml:space="preserve">She, Y., Liang, Y., &amp; Kang, E. (2026). Safeguarding LLM agents from misalignment through provenance analysis. In</w:t>
      </w:r>
      <w:r>
        <w:t xml:space="preserve"> </w:t>
      </w:r>
      <w:r>
        <w:rPr>
          <w:iCs/>
          <w:i/>
        </w:rPr>
        <w:t xml:space="preserve">Proceedings of the 41st IEEE/ACM International Conference on Automated Software Engineering</w:t>
      </w:r>
      <w:r>
        <w:t xml:space="preserve"> </w:t>
      </w:r>
      <w:r>
        <w:t xml:space="preserve">(pp. 3036–3048). ACM. https://doi.org/10.1145/3832783.3837535 (earlier preprint: arXiv:2607.01236)</w:t>
      </w:r>
    </w:p>
    <w:p>
      <w:pPr>
        <w:pStyle w:val="BodyText"/>
      </w:pPr>
      <w:r>
        <w:t xml:space="preserve">Shi, J., Yuan, Z., Tie, G., Zhou, P., Gong, N., &amp; Sun, L. (2026). Prompt injection attack to tool selection in LLM agents. In</w:t>
      </w:r>
      <w:r>
        <w:t xml:space="preserve"> </w:t>
      </w:r>
      <w:r>
        <w:rPr>
          <w:iCs/>
          <w:i/>
        </w:rPr>
        <w:t xml:space="preserve">Proceedings of the 2026 Network and Distributed System Security Symposium (NDSS)</w:t>
      </w:r>
      <w:r>
        <w:t xml:space="preserve">. Internet Society. https://doi.org/10.14722/ndss.2026.230675</w:t>
      </w:r>
    </w:p>
    <w:p>
      <w:pPr>
        <w:pStyle w:val="BodyText"/>
      </w:pPr>
      <w:r>
        <w:t xml:space="preserve">Shi, T., He, J., Wang, Z., Wu, L., Li, H., Guo, W., &amp; Song, D. (2025).</w:t>
      </w:r>
      <w:r>
        <w:t xml:space="preserve"> </w:t>
      </w:r>
      <w:r>
        <w:rPr>
          <w:iCs/>
          <w:i/>
        </w:rPr>
        <w:t xml:space="preserve">Progent: Securing AI agents with privilege control</w:t>
      </w:r>
      <w:r>
        <w:t xml:space="preserve"> </w:t>
      </w:r>
      <w:r>
        <w:t xml:space="preserve">(arXiv:2504.11703) [Preprint]. arXiv. https://arxiv.org/abs/2504.11703</w:t>
      </w:r>
    </w:p>
    <w:p>
      <w:pPr>
        <w:pStyle w:val="BodyText"/>
      </w:pPr>
      <w:r>
        <w:t xml:space="preserve">Sommer, R., &amp; Paxson, V. (2010). Outside the closed world: On using machine learning for network intrusion detection. In</w:t>
      </w:r>
      <w:r>
        <w:t xml:space="preserve"> </w:t>
      </w:r>
      <w:r>
        <w:rPr>
          <w:iCs/>
          <w:i/>
        </w:rPr>
        <w:t xml:space="preserve">2010 IEEE Symposium on Security and Privacy</w:t>
      </w:r>
      <w:r>
        <w:t xml:space="preserve"> </w:t>
      </w:r>
      <w:r>
        <w:t xml:space="preserve">(pp. 305–316). IEEE. https://doi.org/10.1109/SP.2010.25</w:t>
      </w:r>
    </w:p>
    <w:p>
      <w:pPr>
        <w:pStyle w:val="BodyText"/>
      </w:pPr>
      <w:r>
        <w:t xml:space="preserve">Storf, S., Barton-Cooper, R., Peters-Gill, J., et al. (2026).</w:t>
      </w:r>
      <w:r>
        <w:t xml:space="preserve"> </w:t>
      </w:r>
      <w:r>
        <w:rPr>
          <w:iCs/>
          <w:i/>
        </w:rPr>
        <w:t xml:space="preserve">Constitutional black-box monitoring for scheming in LLM agents</w:t>
      </w:r>
      <w:r>
        <w:t xml:space="preserve"> </w:t>
      </w:r>
      <w:r>
        <w:t xml:space="preserve">(arXiv:2603.00829) [Preprint]. arXiv. https://doi.org/10.48550/arXiv.2603.00829 [Author list abbreviated from the index record; full list not verified]</w:t>
      </w:r>
    </w:p>
    <w:p>
      <w:pPr>
        <w:pStyle w:val="BodyText"/>
      </w:pPr>
      <w:r>
        <w:t xml:space="preserve">Tsai, L., &amp; Bagdasarian, E. (2025). Contextual agent security: A policy for every purpose. In</w:t>
      </w:r>
      <w:r>
        <w:t xml:space="preserve"> </w:t>
      </w:r>
      <w:r>
        <w:rPr>
          <w:iCs/>
          <w:i/>
        </w:rPr>
        <w:t xml:space="preserve">Proceedings of the Workshop on Hot Topics in Operating Systems (HotOS ’25)</w:t>
      </w:r>
      <w:r>
        <w:t xml:space="preserve"> </w:t>
      </w:r>
      <w:r>
        <w:t xml:space="preserve">(pp. 8–17). ACM. https://doi.org/10.1145/3713082.3730378</w:t>
      </w:r>
    </w:p>
    <w:p>
      <w:pPr>
        <w:pStyle w:val="BodyText"/>
      </w:pPr>
      <w:r>
        <w:t xml:space="preserve">Wang, C. L., Singhal, T., Kelkar, A., &amp; Tuo, J. (2025).</w:t>
      </w:r>
      <w:r>
        <w:t xml:space="preserve"> </w:t>
      </w:r>
      <w:r>
        <w:rPr>
          <w:iCs/>
          <w:i/>
        </w:rPr>
        <w:t xml:space="preserve">MI9: An integrated runtime governance framework for agentic AI</w:t>
      </w:r>
      <w:r>
        <w:t xml:space="preserve"> </w:t>
      </w:r>
      <w:r>
        <w:t xml:space="preserve">(arXiv:2508.03858) [Preprint]. arXiv. https://arxiv.org/abs/2508.03858</w:t>
      </w:r>
    </w:p>
    <w:p>
      <w:pPr>
        <w:pStyle w:val="BodyText"/>
      </w:pPr>
      <w:r>
        <w:t xml:space="preserve">Wang, H., Poskitt, C. M., &amp; Sun, J. (2026). AgentSpec: Customizable runtime enforcement for safe and reliable LLM agents. In</w:t>
      </w:r>
      <w:r>
        <w:t xml:space="preserve"> </w:t>
      </w:r>
      <w:r>
        <w:rPr>
          <w:iCs/>
          <w:i/>
        </w:rPr>
        <w:t xml:space="preserve">Proceedings of the IEEE/ACM 48th International Conference on Software Engineering (ICSE ’26)</w:t>
      </w:r>
      <w:r>
        <w:t xml:space="preserve">. ACM. https://doi.org/10.1145/3744916.3764546</w:t>
      </w:r>
    </w:p>
    <w:p>
      <w:pPr>
        <w:pStyle w:val="BodyText"/>
      </w:pPr>
      <w:r>
        <w:t xml:space="preserve">Wang, H., Poskitt, C. M., Wei, J., &amp; Sun, J. (2025).</w:t>
      </w:r>
      <w:r>
        <w:t xml:space="preserve"> </w:t>
      </w:r>
      <w:r>
        <w:rPr>
          <w:iCs/>
          <w:i/>
        </w:rPr>
        <w:t xml:space="preserve">ProbGuard: Probabilistic runtime monitoring for LLM agent safety</w:t>
      </w:r>
      <w:r>
        <w:t xml:space="preserve"> </w:t>
      </w:r>
      <w:r>
        <w:t xml:space="preserve">(arXiv:2508.00500; earlier versions titled</w:t>
      </w:r>
      <w:r>
        <w:t xml:space="preserve"> </w:t>
      </w:r>
      <w:r>
        <w:t xml:space="preserve">“</w:t>
      </w:r>
      <w:r>
        <w:t xml:space="preserve">Pro2Guard</w:t>
      </w:r>
      <w:r>
        <w:t xml:space="preserve">”</w:t>
      </w:r>
      <w:r>
        <w:t xml:space="preserve">) [Preprint]. arXiv. https://arxiv.org/abs/2508.00500</w:t>
      </w:r>
    </w:p>
    <w:p>
      <w:pPr>
        <w:pStyle w:val="BodyText"/>
      </w:pPr>
      <w:r>
        <w:t xml:space="preserve">Wang, L., Ma, C., Feng, X., Zhang, Z., Yang, H., Zhang, J., Chen, Z., Tang, J., Chen, X., Lin, Y., Zhao, W. X., Wei, Z., &amp; Wen, J. (2024). A survey on large language model based autonomous agents.</w:t>
      </w:r>
      <w:r>
        <w:t xml:space="preserve"> </w:t>
      </w:r>
      <w:r>
        <w:rPr>
          <w:iCs/>
          <w:i/>
        </w:rPr>
        <w:t xml:space="preserve">Frontiers of Computer Science, 18</w:t>
      </w:r>
      <w:r>
        <w:t xml:space="preserve">(6), Article 186345. https://doi.org/10.1007/s11704-024-40231-1</w:t>
      </w:r>
    </w:p>
    <w:p>
      <w:pPr>
        <w:pStyle w:val="BodyText"/>
      </w:pPr>
      <w:r>
        <w:t xml:space="preserve">Wang, P., Li, Y., &amp; Tian, Y. (2026).</w:t>
      </w:r>
      <w:r>
        <w:t xml:space="preserve"> </w:t>
      </w:r>
      <w:r>
        <w:rPr>
          <w:iCs/>
          <w:i/>
        </w:rPr>
        <w:t xml:space="preserve">Reframing LLM agent security as an agent-human interaction problem</w:t>
      </w:r>
      <w:r>
        <w:t xml:space="preserve"> </w:t>
      </w:r>
      <w:r>
        <w:t xml:space="preserve">(arXiv:2605.24309) [Preprint]. arXiv. https://doi.org/10.48550/arXiv.2605.24309</w:t>
      </w:r>
    </w:p>
    <w:p>
      <w:pPr>
        <w:pStyle w:val="BodyText"/>
      </w:pPr>
      <w:r>
        <w:t xml:space="preserve">Wang, S., Zhu, S., &amp; Li, R. (2026). Runtime policy enforcement for MCP-based LLM agents.</w:t>
      </w:r>
      <w:r>
        <w:t xml:space="preserve"> </w:t>
      </w:r>
      <w:r>
        <w:rPr>
          <w:iCs/>
          <w:i/>
        </w:rPr>
        <w:t xml:space="preserve">Electronics, 15</w:t>
      </w:r>
      <w:r>
        <w:t xml:space="preserve">(13), Article 2829. https://doi.org/10.3390/electronics15132829</w:t>
      </w:r>
    </w:p>
    <w:p>
      <w:pPr>
        <w:pStyle w:val="BodyText"/>
      </w:pPr>
      <w:r>
        <w:t xml:space="preserve">Wang, Y., Han, X., Shang, D., Tang, Y., &amp; Liu, B. (2026).</w:t>
      </w:r>
      <w:r>
        <w:t xml:space="preserve"> </w:t>
      </w:r>
      <w:r>
        <w:rPr>
          <w:iCs/>
          <w:i/>
        </w:rPr>
        <w:t xml:space="preserve">Safety, or just capability? A validity audit of agent-safety benchmarks</w:t>
      </w:r>
      <w:r>
        <w:t xml:space="preserve"> </w:t>
      </w:r>
      <w:r>
        <w:t xml:space="preserve">(arXiv:2607.28685) [Preprint]. arXiv. https://arxiv.org/abs/2607.28685</w:t>
      </w:r>
    </w:p>
    <w:p>
      <w:pPr>
        <w:pStyle w:val="BodyText"/>
      </w:pPr>
      <w:r>
        <w:t xml:space="preserve">Wang, Z., Siu, V., Ye, Z., Shi, T., Nie, Y., Zhao, X., Wang, C., Guo, W., &amp; Song, D. (2025). AGENTVIGIL: Automatic black-box red-teaming for indirect prompt injection against LLM agents. In</w:t>
      </w:r>
      <w:r>
        <w:t xml:space="preserve"> </w:t>
      </w:r>
      <w:r>
        <w:rPr>
          <w:iCs/>
          <w:i/>
        </w:rPr>
        <w:t xml:space="preserve">Findings of the Association for Computational Linguistics: EMNLP 2025</w:t>
      </w:r>
      <w:r>
        <w:t xml:space="preserve"> </w:t>
      </w:r>
      <w:r>
        <w:t xml:space="preserve">(pp. 23159–23172). Association for Computational Linguistics. https://doi.org/10.18653/v1/2025.findings-emnlp.1258</w:t>
      </w:r>
    </w:p>
    <w:p>
      <w:pPr>
        <w:pStyle w:val="BodyText"/>
      </w:pPr>
      <w:r>
        <w:t xml:space="preserve">Wei, B., Zhang, Y., Pan, J., et al. (2026).</w:t>
      </w:r>
      <w:r>
        <w:t xml:space="preserve"> </w:t>
      </w:r>
      <w:r>
        <w:rPr>
          <w:iCs/>
          <w:i/>
        </w:rPr>
        <w:t xml:space="preserve">ClawSafety:</w:t>
      </w:r>
      <w:r>
        <w:rPr>
          <w:iCs/>
          <w:i/>
        </w:rPr>
        <w:t xml:space="preserve"> </w:t>
      </w:r>
      <w:r>
        <w:rPr>
          <w:iCs/>
          <w:i/>
        </w:rPr>
        <w:t xml:space="preserve">“</w:t>
      </w:r>
      <w:r>
        <w:rPr>
          <w:iCs/>
          <w:i/>
        </w:rPr>
        <w:t xml:space="preserve">Safe</w:t>
      </w:r>
      <w:r>
        <w:rPr>
          <w:iCs/>
          <w:i/>
        </w:rPr>
        <w:t xml:space="preserve">”</w:t>
      </w:r>
      <w:r>
        <w:rPr>
          <w:iCs/>
          <w:i/>
        </w:rPr>
        <w:t xml:space="preserve"> </w:t>
      </w:r>
      <w:r>
        <w:rPr>
          <w:iCs/>
          <w:i/>
        </w:rPr>
        <w:t xml:space="preserve">LLMs, unsafe agents</w:t>
      </w:r>
      <w:r>
        <w:t xml:space="preserve"> </w:t>
      </w:r>
      <w:r>
        <w:t xml:space="preserve">(arXiv:2604.01438) [Preprint]. arXiv. https://doi.org/10.48550/arXiv.2604.01438 [Author list abbreviated from the index record; full list not verified]</w:t>
      </w:r>
    </w:p>
    <w:p>
      <w:pPr>
        <w:pStyle w:val="BodyText"/>
      </w:pPr>
      <w:r>
        <w:t xml:space="preserve">Wen, T., Wang, C., Yang, X., Tang, H., Xie, Y., Lyu, L., Dou, Z., &amp; Wu, F. (2025). Defending against indirect prompt injection by instruction detection. In</w:t>
      </w:r>
      <w:r>
        <w:t xml:space="preserve"> </w:t>
      </w:r>
      <w:r>
        <w:rPr>
          <w:iCs/>
          <w:i/>
        </w:rPr>
        <w:t xml:space="preserve">Findings of the Association for Computational Linguistics: EMNLP 2025</w:t>
      </w:r>
      <w:r>
        <w:t xml:space="preserve"> </w:t>
      </w:r>
      <w:r>
        <w:t xml:space="preserve">(pp. 19472–19487). Association for Computational Linguistics. https://doi.org/10.18653/v1/2025.findings-emnlp.1060</w:t>
      </w:r>
    </w:p>
    <w:p>
      <w:pPr>
        <w:pStyle w:val="BodyText"/>
      </w:pPr>
      <w:r>
        <w:t xml:space="preserve">Wu, F., Cecchetti, E., &amp; Xiao, C. (2024).</w:t>
      </w:r>
      <w:r>
        <w:t xml:space="preserve"> </w:t>
      </w:r>
      <w:r>
        <w:rPr>
          <w:iCs/>
          <w:i/>
        </w:rPr>
        <w:t xml:space="preserve">System-level defense against indirect prompt injection attacks: An information flow control perspective</w:t>
      </w:r>
      <w:r>
        <w:t xml:space="preserve"> </w:t>
      </w:r>
      <w:r>
        <w:t xml:space="preserve">(arXiv:2409.19091) [Preprint]. arXiv. https://doi.org/10.48550/arXiv.2409.19091</w:t>
      </w:r>
    </w:p>
    <w:p>
      <w:pPr>
        <w:pStyle w:val="BodyText"/>
      </w:pPr>
      <w:r>
        <w:t xml:space="preserve">Wu, Y., Roesner, F., Kohno, T., Zhang, N., &amp; Iqbal, U. (2025). IsolateGPT: An execution isolation architecture for LLM-based systems. In</w:t>
      </w:r>
      <w:r>
        <w:t xml:space="preserve"> </w:t>
      </w:r>
      <w:r>
        <w:rPr>
          <w:iCs/>
          <w:i/>
        </w:rPr>
        <w:t xml:space="preserve">Proceedings of the 2025 Network and Distributed System Security Symposium (NDSS)</w:t>
      </w:r>
      <w:r>
        <w:t xml:space="preserve">. Internet Society. https://doi.org/10.14722/ndss.2025.241131</w:t>
      </w:r>
    </w:p>
    <w:p>
      <w:pPr>
        <w:pStyle w:val="BodyText"/>
      </w:pPr>
      <w:r>
        <w:t xml:space="preserve">Xiang, Z., Zheng, L., Li, Y., Hong, J., Li, Q., Xie, H., Zhang, J., Xiong, Z., Xie, C., Yang, C., Song, D., &amp; Li, B. (2025). GuardAgent: Safeguard LLM agents via knowledge-enabled reasoning. In</w:t>
      </w:r>
      <w:r>
        <w:t xml:space="preserve"> </w:t>
      </w:r>
      <w:r>
        <w:rPr>
          <w:iCs/>
          <w:i/>
        </w:rPr>
        <w:t xml:space="preserve">Proceedings of the 42nd International Conference on Machine Learning</w:t>
      </w:r>
      <w:r>
        <w:t xml:space="preserve"> </w:t>
      </w:r>
      <w:r>
        <w:t xml:space="preserve">(Proceedings of Machine Learning Research, Vol. 267, pp. 68316–68342). PMLR.</w:t>
      </w:r>
    </w:p>
    <w:p>
      <w:pPr>
        <w:pStyle w:val="BodyText"/>
      </w:pPr>
      <w:r>
        <w:t xml:space="preserve">Yang, C. (2026).</w:t>
      </w:r>
      <w:r>
        <w:t xml:space="preserve"> </w:t>
      </w:r>
      <w:r>
        <w:rPr>
          <w:iCs/>
          <w:i/>
        </w:rPr>
        <w:t xml:space="preserve">AgentTrust: Runtime safety evaluation and interception for AI agent tool use</w:t>
      </w:r>
      <w:r>
        <w:t xml:space="preserve"> </w:t>
      </w:r>
      <w:r>
        <w:t xml:space="preserve">(arXiv:2605.04785) [Preprint]. arXiv. https://arxiv.org/abs/2605.04785</w:t>
      </w:r>
    </w:p>
    <w:p>
      <w:pPr>
        <w:pStyle w:val="BodyText"/>
      </w:pPr>
      <w:r>
        <w:t xml:space="preserve">Yang, Z., Li, R., Qiang, Q., Wang, J., Lou, F., Li, M., Cheng, D., Xu, R., Lian, H., Zhang, S., Liang, X., Huang, X., Wei, Z., Liu, Z., Guo, X., Wang, H., Chen, R., &amp; Zhang, L. (2026).</w:t>
      </w:r>
      <w:r>
        <w:t xml:space="preserve"> </w:t>
      </w:r>
      <w:r>
        <w:rPr>
          <w:iCs/>
          <w:i/>
        </w:rPr>
        <w:t xml:space="preserve">FinVault: Benchmarking financial agent safety in execution-grounded environments</w:t>
      </w:r>
      <w:r>
        <w:t xml:space="preserve"> </w:t>
      </w:r>
      <w:r>
        <w:t xml:space="preserve">(arXiv:2601.07853) [Withdrawn preprint]. arXiv. https://arxiv.org/abs/2601.07853</w:t>
      </w:r>
    </w:p>
    <w:p>
      <w:pPr>
        <w:pStyle w:val="BodyText"/>
      </w:pPr>
      <w:r>
        <w:t xml:space="preserve">Yao, S., Zhao, J., Yu, D., Du, N., Shafran, I., Narasimhan, K., &amp; Cao, Y. (2023). ReAct: Synergizing reasoning and acting in language models. In</w:t>
      </w:r>
      <w:r>
        <w:t xml:space="preserve"> </w:t>
      </w:r>
      <w:r>
        <w:rPr>
          <w:iCs/>
          <w:i/>
        </w:rPr>
        <w:t xml:space="preserve">The Eleventh International Conference on Learning Representations (ICLR 2023)</w:t>
      </w:r>
      <w:r>
        <w:t xml:space="preserve">.</w:t>
      </w:r>
    </w:p>
    <w:p>
      <w:pPr>
        <w:pStyle w:val="BodyText"/>
      </w:pPr>
      <w:r>
        <w:t xml:space="preserve">Yu, M., Meng, F., Zhou, X., Wang, S., Mao, J., Pan, L., Chen, T., Wang, K., Li, X., Zhang, Y., An, B., &amp; Wen, Q. (2025). A survey on trustworthy LLM agents: Threats and countermeasures. In</w:t>
      </w:r>
      <w:r>
        <w:t xml:space="preserve"> </w:t>
      </w:r>
      <w:r>
        <w:rPr>
          <w:iCs/>
          <w:i/>
        </w:rPr>
        <w:t xml:space="preserve">Proceedings of the 31st ACM SIGKDD Conference on Knowledge Discovery and Data Mining V.2</w:t>
      </w:r>
      <w:r>
        <w:t xml:space="preserve"> </w:t>
      </w:r>
      <w:r>
        <w:t xml:space="preserve">(pp. 6216–6226). ACM. https://doi.org/10.1145/3711896.3736561</w:t>
      </w:r>
    </w:p>
    <w:p>
      <w:pPr>
        <w:pStyle w:val="BodyText"/>
      </w:pPr>
      <w:r>
        <w:t xml:space="preserve">Yuan, T., He, Z., Dong, L., Wang, Y., Zhao, R., Xia, T., Xu, L., Zhou, B., Li, F., Zhang, Z., Wang, R., &amp; Liu, G. (2024). R-Judge: Benchmarking safety risk awareness for LLM agents. In</w:t>
      </w:r>
      <w:r>
        <w:t xml:space="preserve"> </w:t>
      </w:r>
      <w:r>
        <w:rPr>
          <w:iCs/>
          <w:i/>
        </w:rPr>
        <w:t xml:space="preserve">Findings of the Association for Computational Linguistics: EMNLP 2024</w:t>
      </w:r>
      <w:r>
        <w:t xml:space="preserve"> </w:t>
      </w:r>
      <w:r>
        <w:t xml:space="preserve">(pp. 1467–1490). Association for Computational Linguistics. https://doi.org/10.18653/v1/2024.findings-emnlp.79</w:t>
      </w:r>
    </w:p>
    <w:p>
      <w:pPr>
        <w:pStyle w:val="BodyText"/>
      </w:pPr>
      <w:r>
        <w:t xml:space="preserve">Zadrozny, B., &amp; Elkan, C. (2002). Transforming classifier scores into accurate multiclass probability estimates. In</w:t>
      </w:r>
      <w:r>
        <w:t xml:space="preserve"> </w:t>
      </w:r>
      <w:r>
        <w:rPr>
          <w:iCs/>
          <w:i/>
        </w:rPr>
        <w:t xml:space="preserve">Proceedings of the Eighth ACM SIGKDD International Conference on Knowledge Discovery and Data Mining</w:t>
      </w:r>
      <w:r>
        <w:t xml:space="preserve"> </w:t>
      </w:r>
      <w:r>
        <w:t xml:space="preserve">(pp. 694–699). ACM. https://doi.org/10.1145/775047.775151</w:t>
      </w:r>
    </w:p>
    <w:p>
      <w:pPr>
        <w:pStyle w:val="BodyText"/>
      </w:pPr>
      <w:r>
        <w:t xml:space="preserve">Zhan, Q., Fang, R., Panchal, H. S., &amp; Kang, D. (2025). Adaptive attacks break defenses against indirect prompt injection attacks on LLM agents. In</w:t>
      </w:r>
      <w:r>
        <w:t xml:space="preserve"> </w:t>
      </w:r>
      <w:r>
        <w:rPr>
          <w:iCs/>
          <w:i/>
        </w:rPr>
        <w:t xml:space="preserve">Findings of the Association for Computational Linguistics: NAACL 2025</w:t>
      </w:r>
      <w:r>
        <w:t xml:space="preserve"> </w:t>
      </w:r>
      <w:r>
        <w:t xml:space="preserve">(pp. 7116–7132). Association for Computational Linguistics. https://aclanthology.org/2025.findings-naacl.395/</w:t>
      </w:r>
    </w:p>
    <w:p>
      <w:pPr>
        <w:pStyle w:val="BodyText"/>
      </w:pPr>
      <w:r>
        <w:t xml:space="preserve">Zhan, Q., Liang, Z., Ying, Z., &amp; Kang, D. (2024). InjecAgent: Benchmarking indirect prompt injections in tool-integrated large language model agents. In</w:t>
      </w:r>
      <w:r>
        <w:t xml:space="preserve"> </w:t>
      </w:r>
      <w:r>
        <w:rPr>
          <w:iCs/>
          <w:i/>
        </w:rPr>
        <w:t xml:space="preserve">Findings of the Association for Computational Linguistics: ACL 2024</w:t>
      </w:r>
      <w:r>
        <w:t xml:space="preserve"> </w:t>
      </w:r>
      <w:r>
        <w:t xml:space="preserve">(pp. 10471–10506). Association for Computational Linguistics. https://doi.org/10.18653/v1/2024.findings-acl.624</w:t>
      </w:r>
    </w:p>
    <w:p>
      <w:pPr>
        <w:pStyle w:val="BodyText"/>
      </w:pPr>
      <w:r>
        <w:t xml:space="preserve">Zhang, B., Tan, Y., Shen, Y., Salem, A., Backes, M., Zannettou, S., &amp; Zhang, Y. (2025). Breaking agents: Compromising autonomous LLM agents through malfunction amplification. In</w:t>
      </w:r>
      <w:r>
        <w:t xml:space="preserve"> </w:t>
      </w:r>
      <w:r>
        <w:rPr>
          <w:iCs/>
          <w:i/>
        </w:rPr>
        <w:t xml:space="preserve">Proceedings of the 2025 Conference on Empirical Methods in Natural Language Processing</w:t>
      </w:r>
      <w:r>
        <w:t xml:space="preserve"> </w:t>
      </w:r>
      <w:r>
        <w:t xml:space="preserve">(pp. 34952–34964). Association for Computational Linguistics. https://doi.org/10.18653/v1/2025.emnlp-main.1771</w:t>
      </w:r>
    </w:p>
    <w:p>
      <w:pPr>
        <w:pStyle w:val="BodyText"/>
      </w:pPr>
      <w:r>
        <w:t xml:space="preserve">Zhang, C., Wan, Z., Yu, X., Wu, J., Wen, Q., Zhou, P., Zhao, W., &amp; Tsang, I. (2026).</w:t>
      </w:r>
      <w:r>
        <w:t xml:space="preserve"> </w:t>
      </w:r>
      <w:r>
        <w:rPr>
          <w:iCs/>
          <w:i/>
        </w:rPr>
        <w:t xml:space="preserve">Calibration is not control: Intervention value for LLM-agent oversight</w:t>
      </w:r>
      <w:r>
        <w:t xml:space="preserve"> </w:t>
      </w:r>
      <w:r>
        <w:t xml:space="preserve">(arXiv:2606.21399) [Preprint]. arXiv. https://arxiv.org/abs/2606.21399 (title as indexed on 28 Oct 2026; an earlier version was titled</w:t>
      </w:r>
      <w:r>
        <w:t xml:space="preserve"> </w:t>
      </w:r>
      <w:r>
        <w:t xml:space="preserve">“</w:t>
      </w:r>
      <w:r>
        <w:t xml:space="preserve">Calibration is not control: Why LLM-agent oversight needs intervention</w:t>
      </w:r>
      <w:r>
        <w:t xml:space="preserve">”</w:t>
      </w:r>
      <w:r>
        <w:t xml:space="preserve">)</w:t>
      </w:r>
    </w:p>
    <w:p>
      <w:pPr>
        <w:pStyle w:val="BodyText"/>
      </w:pPr>
      <w:r>
        <w:t xml:space="preserve">Zhang, H., Huang, J., Mei, K., Yao, Y., Wang, Z., Zhan, C., Wang, H., &amp; Zhang, Y. (2025). Agent Security Bench (ASB): Formalizing and benchmarking attacks and defenses in LLM-based agents. In</w:t>
      </w:r>
      <w:r>
        <w:t xml:space="preserve"> </w:t>
      </w:r>
      <w:r>
        <w:rPr>
          <w:iCs/>
          <w:i/>
        </w:rPr>
        <w:t xml:space="preserve">The Thirteenth International Conference on Learning Representations (ICLR 2025)</w:t>
      </w:r>
      <w:r>
        <w:t xml:space="preserve">.</w:t>
      </w:r>
    </w:p>
    <w:p>
      <w:pPr>
        <w:pStyle w:val="BodyText"/>
      </w:pPr>
      <w:r>
        <w:t xml:space="preserve">Zhang, Y., Chen, K., Gao, J., et al. (2024).</w:t>
      </w:r>
      <w:r>
        <w:t xml:space="preserve"> </w:t>
      </w:r>
      <w:r>
        <w:rPr>
          <w:iCs/>
          <w:i/>
        </w:rPr>
        <w:t xml:space="preserve">Towards action hijacking of large language model-based agent</w:t>
      </w:r>
      <w:r>
        <w:t xml:space="preserve"> </w:t>
      </w:r>
      <w:r>
        <w:t xml:space="preserve">(arXiv:2412.10807) [Preprint]. arXiv. https://doi.org/10.48550/arXiv.2412.10807 [Author list abbreviated from the index record; full list not verified]</w:t>
      </w:r>
    </w:p>
    <w:p>
      <w:pPr>
        <w:pStyle w:val="BodyText"/>
      </w:pPr>
      <w:r>
        <w:t xml:space="preserve">Zhong, P. Y., Chen, S., Wang, R., et al. (2025).</w:t>
      </w:r>
      <w:r>
        <w:t xml:space="preserve"> </w:t>
      </w:r>
      <w:r>
        <w:rPr>
          <w:iCs/>
          <w:i/>
        </w:rPr>
        <w:t xml:space="preserve">RTBAS: Defending LLM agents against prompt injection and privacy leakage</w:t>
      </w:r>
      <w:r>
        <w:t xml:space="preserve"> </w:t>
      </w:r>
      <w:r>
        <w:t xml:space="preserve">(arXiv:2502.08966) [Preprint]. arXiv. https://doi.org/10.48550/arXiv.2502.08966 [Author list abbreviated from the index record; full list not verified]</w:t>
      </w:r>
    </w:p>
    <w:p>
      <w:pPr>
        <w:pStyle w:val="BodyText"/>
      </w:pPr>
      <w:r>
        <w:t xml:space="preserve">Zhu, K., Yang, X., Wang, J., Guo, W., &amp; Wang, W. Y. (2025). MELON: Provable defense against indirect prompt injection attacks in AI agents. In</w:t>
      </w:r>
      <w:r>
        <w:t xml:space="preserve"> </w:t>
      </w:r>
      <w:r>
        <w:rPr>
          <w:iCs/>
          <w:i/>
        </w:rPr>
        <w:t xml:space="preserve">Proceedings of the 42nd International Conference on Machine Learning</w:t>
      </w:r>
      <w:r>
        <w:t xml:space="preserve"> </w:t>
      </w:r>
      <w:r>
        <w:t xml:space="preserve">(Proceedings of Machine Learning Research, Vol. 267). PMLR.</w:t>
      </w:r>
    </w:p>
    <w:p>
      <w:pPr>
        <w:pStyle w:val="BodyText"/>
      </w:pPr>
      <w:r>
        <w:t xml:space="preserve">Zhu, K., Zhang, J., Qi, Z., et al. (2025).</w:t>
      </w:r>
      <w:r>
        <w:t xml:space="preserve"> </w:t>
      </w:r>
      <w:r>
        <w:rPr>
          <w:iCs/>
          <w:i/>
        </w:rPr>
        <w:t xml:space="preserve">SafeScientist: Toward risk-aware scientific discoveries by LLM agents</w:t>
      </w:r>
      <w:r>
        <w:t xml:space="preserve"> </w:t>
      </w:r>
      <w:r>
        <w:t xml:space="preserve">(arXiv:2505.23559) [Preprint]. arXiv. https://doi.org/10.48550/arXiv.2505.23559 [Author list abbreviated from the index record; full list not verified]</w:t>
      </w:r>
    </w:p>
    <w:bookmarkEnd w:id="97"/>
    <w:bookmarkEnd w:id="98"/>
    <w:bookmarkStart w:id="99" w:name="chapter-three"/>
    <w:p>
      <w:pPr>
        <w:pStyle w:val="Heading1"/>
      </w:pPr>
      <w:r>
        <w:t xml:space="preserve">CHAPTER THREE</w:t>
      </w:r>
    </w:p>
    <w:bookmarkEnd w:id="99"/>
    <w:bookmarkStart w:id="162" w:name="X63bca803be00438b08aa2e4b978c7b1e288ff35"/>
    <w:p>
      <w:pPr>
        <w:pStyle w:val="Heading1"/>
      </w:pPr>
      <w:r>
        <w:t xml:space="preserve">RESEARCH METHODOLOGY AND DESIGN OF THE REM FRAMEWORK</w:t>
      </w:r>
    </w:p>
    <w:bookmarkStart w:id="106" w:name="research-methodology-and-system-scope"/>
    <w:p>
      <w:pPr>
        <w:pStyle w:val="Heading2"/>
      </w:pPr>
      <w:r>
        <w:t xml:space="preserve">3.1 Research Methodology and System Scope</w:t>
      </w:r>
    </w:p>
    <w:bookmarkStart w:id="100" w:name="design-science-research"/>
    <w:p>
      <w:pPr>
        <w:pStyle w:val="Heading3"/>
      </w:pPr>
      <w:r>
        <w:t xml:space="preserve">3.1.1 Design science research</w:t>
      </w:r>
    </w:p>
    <w:p>
      <w:pPr>
        <w:pStyle w:val="FirstParagraph"/>
      </w:pPr>
      <w:r>
        <w:t xml:space="preserve">This thesis follows design science research, in which knowledge is produced by building an artifact that addresses an identified problem and evaluating it rigorously (Hevner et al., 2004). The research process follows the six activities of the design science research methodology of Peffers et al. (2007). Table 3.1 maps these activities to the thesis.</w:t>
      </w:r>
    </w:p>
    <w:p>
      <w:pPr>
        <w:pStyle w:val="BodyText"/>
      </w:pPr>
      <w:r>
        <w:rPr>
          <w:bCs/>
          <w:b/>
        </w:rPr>
        <w:t xml:space="preserve">Table 3.1. Design science research activities in this thesis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Activity (Peffers et al., 2007)</w:t>
            </w:r>
          </w:p>
        </w:tc>
        <w:tc>
          <w:tcPr/>
          <w:p>
            <w:pPr>
              <w:pStyle w:val="Compact"/>
              <w:jc w:val="left"/>
            </w:pPr>
            <w:r>
              <w:t xml:space="preserve">Realization in this thesis</w:t>
            </w:r>
          </w:p>
        </w:tc>
        <w:tc>
          <w:tcPr/>
          <w:p>
            <w:pPr>
              <w:pStyle w:val="Compact"/>
              <w:jc w:val="left"/>
            </w:pPr>
            <w:r>
              <w:t xml:space="preserve">Location</w:t>
            </w:r>
          </w:p>
        </w:tc>
      </w:tr>
      <w:tr>
        <w:tc>
          <w:tcPr/>
          <w:p>
            <w:pPr>
              <w:pStyle w:val="Compact"/>
              <w:jc w:val="left"/>
            </w:pPr>
            <w:r>
              <w:t xml:space="preserve">Problem identification and motivation</w:t>
            </w:r>
          </w:p>
        </w:tc>
        <w:tc>
          <w:tcPr/>
          <w:p>
            <w:pPr>
              <w:pStyle w:val="Compact"/>
              <w:jc w:val="left"/>
            </w:pPr>
            <w:r>
              <w:t xml:space="preserve">Runtime compromise of tool-using financial agents through indirect prompt injection</w:t>
            </w:r>
          </w:p>
        </w:tc>
        <w:tc>
          <w:tcPr/>
          <w:p>
            <w:pPr>
              <w:pStyle w:val="Compact"/>
              <w:jc w:val="left"/>
            </w:pPr>
            <w:r>
              <w:t xml:space="preserve">Chapter 1; Chapter 2</w:t>
            </w:r>
          </w:p>
        </w:tc>
      </w:tr>
      <w:tr>
        <w:tc>
          <w:tcPr/>
          <w:p>
            <w:pPr>
              <w:pStyle w:val="Compact"/>
              <w:jc w:val="left"/>
            </w:pPr>
            <w:r>
              <w:t xml:space="preserve">Definition of objectives for a solution</w:t>
            </w:r>
          </w:p>
        </w:tc>
        <w:tc>
          <w:tcPr/>
          <w:p>
            <w:pPr>
              <w:pStyle w:val="Compact"/>
              <w:jc w:val="left"/>
            </w:pPr>
            <w:r>
              <w:t xml:space="preserve">Objectives O1–O3; research questions RQ1–RQ4; security objectives SO-1 to SO-6</w:t>
            </w:r>
          </w:p>
        </w:tc>
        <w:tc>
          <w:tcPr/>
          <w:p>
            <w:pPr>
              <w:pStyle w:val="Compact"/>
              <w:jc w:val="left"/>
            </w:pPr>
            <w:r>
              <w:t xml:space="preserve">Sections 3.1.2, 3.1.3, 3.3.7</w:t>
            </w:r>
          </w:p>
        </w:tc>
      </w:tr>
      <w:tr>
        <w:tc>
          <w:tcPr/>
          <w:p>
            <w:pPr>
              <w:pStyle w:val="Compact"/>
              <w:jc w:val="left"/>
            </w:pPr>
            <w:r>
              <w:t xml:space="preserve">Design and development</w:t>
            </w:r>
          </w:p>
        </w:tc>
        <w:tc>
          <w:tcPr/>
          <w:p>
            <w:pPr>
              <w:pStyle w:val="Compact"/>
              <w:jc w:val="left"/>
            </w:pPr>
            <w:r>
              <w:t xml:space="preserve">Five-layer REM architecture and its runtime pipeline</w:t>
            </w:r>
          </w:p>
        </w:tc>
        <w:tc>
          <w:tcPr/>
          <w:p>
            <w:pPr>
              <w:pStyle w:val="Compact"/>
              <w:jc w:val="left"/>
            </w:pPr>
            <w:r>
              <w:t xml:space="preserve">Sections 3.2–3.10</w:t>
            </w:r>
          </w:p>
        </w:tc>
      </w:tr>
      <w:tr>
        <w:tc>
          <w:tcPr/>
          <w:p>
            <w:pPr>
              <w:pStyle w:val="Compact"/>
              <w:jc w:val="left"/>
            </w:pPr>
            <w:r>
              <w:t xml:space="preserve">Demonstration</w:t>
            </w:r>
          </w:p>
        </w:tc>
        <w:tc>
          <w:tcPr/>
          <w:p>
            <w:pPr>
              <w:pStyle w:val="Compact"/>
              <w:jc w:val="left"/>
            </w:pPr>
            <w:r>
              <w:t xml:space="preserve">Integration of REM with the AgentDojo banking environment</w:t>
            </w:r>
          </w:p>
        </w:tc>
        <w:tc>
          <w:tcPr/>
          <w:p>
            <w:pPr>
              <w:pStyle w:val="Compact"/>
              <w:jc w:val="left"/>
            </w:pPr>
            <w:r>
              <w:t xml:space="preserve">Chapter 4</w:t>
            </w:r>
          </w:p>
        </w:tc>
      </w:tr>
      <w:tr>
        <w:tc>
          <w:tcPr/>
          <w:p>
            <w:pPr>
              <w:pStyle w:val="Compact"/>
              <w:jc w:val="left"/>
            </w:pPr>
            <w:r>
              <w:t xml:space="preserve">Evaluation</w:t>
            </w:r>
          </w:p>
        </w:tc>
        <w:tc>
          <w:tcPr/>
          <w:p>
            <w:pPr>
              <w:pStyle w:val="Compact"/>
              <w:jc w:val="left"/>
            </w:pPr>
            <w:r>
              <w:t xml:space="preserve">Controlled experiments, baseline comparison, and ablation</w:t>
            </w:r>
          </w:p>
        </w:tc>
        <w:tc>
          <w:tcPr/>
          <w:p>
            <w:pPr>
              <w:pStyle w:val="Compact"/>
              <w:jc w:val="left"/>
            </w:pPr>
            <w:r>
              <w:t xml:space="preserve">Sections 3.11–3.12; Chapter 5</w:t>
            </w:r>
          </w:p>
        </w:tc>
      </w:tr>
      <w:tr>
        <w:tc>
          <w:tcPr/>
          <w:p>
            <w:pPr>
              <w:pStyle w:val="Compact"/>
              <w:jc w:val="left"/>
            </w:pPr>
            <w:r>
              <w:t xml:space="preserve">Communication</w:t>
            </w:r>
          </w:p>
        </w:tc>
        <w:tc>
          <w:tcPr/>
          <w:p>
            <w:pPr>
              <w:pStyle w:val="Compact"/>
              <w:jc w:val="left"/>
            </w:pPr>
            <w:r>
              <w:t xml:space="preserve">Thesis and derived publications</w:t>
            </w:r>
          </w:p>
        </w:tc>
        <w:tc>
          <w:tcPr/>
          <w:p>
            <w:pPr>
              <w:pStyle w:val="Compact"/>
              <w:jc w:val="left"/>
            </w:pPr>
            <w:r>
              <w:t xml:space="preserve">Chapter 6</w:t>
            </w:r>
          </w:p>
        </w:tc>
      </w:tr>
    </w:tbl>
    <w:p>
      <w:pPr>
        <w:pStyle w:val="BodyText"/>
      </w:pPr>
      <w:r>
        <w:t xml:space="preserve">The evaluation is quantitative and experimental. REM is compared against a baseline that uses the same probability estimator but a consequence-independent decision rule, so that differences in outcomes can be attributed to the decision rule rather than to the estimator.</w:t>
      </w:r>
    </w:p>
    <w:bookmarkEnd w:id="100"/>
    <w:bookmarkStart w:id="101" w:name="research-objectives-1"/>
    <w:p>
      <w:pPr>
        <w:pStyle w:val="Heading3"/>
      </w:pPr>
      <w:r>
        <w:t xml:space="preserve">3.1.2 Research objectives</w:t>
      </w:r>
    </w:p>
    <w:p>
      <w:pPr>
        <w:pStyle w:val="FirstParagraph"/>
      </w:pPr>
      <w:r>
        <w:t xml:space="preserve">The approved objectives are:</w:t>
      </w:r>
    </w:p>
    <w:p>
      <w:pPr>
        <w:numPr>
          <w:ilvl w:val="0"/>
          <w:numId w:val="1107"/>
        </w:numPr>
        <w:pStyle w:val="Compact"/>
      </w:pPr>
      <w:r>
        <w:rPr>
          <w:bCs/>
          <w:b/>
        </w:rPr>
        <w:t xml:space="preserve">O1:</w:t>
      </w:r>
      <w:r>
        <w:t xml:space="preserve"> </w:t>
      </w:r>
      <w:r>
        <w:t xml:space="preserve">Design a REM framework for financial AI agents’ and task automation agents’ security.</w:t>
      </w:r>
    </w:p>
    <w:p>
      <w:pPr>
        <w:numPr>
          <w:ilvl w:val="0"/>
          <w:numId w:val="1107"/>
        </w:numPr>
        <w:pStyle w:val="Compact"/>
      </w:pPr>
      <w:r>
        <w:rPr>
          <w:bCs/>
          <w:b/>
        </w:rPr>
        <w:t xml:space="preserve">O2:</w:t>
      </w:r>
      <w:r>
        <w:t xml:space="preserve"> </w:t>
      </w:r>
      <w:r>
        <w:t xml:space="preserve">Evaluate the framework against adversarial attacks.</w:t>
      </w:r>
    </w:p>
    <w:p>
      <w:pPr>
        <w:numPr>
          <w:ilvl w:val="0"/>
          <w:numId w:val="1107"/>
        </w:numPr>
        <w:pStyle w:val="Compact"/>
      </w:pPr>
      <w:r>
        <w:rPr>
          <w:bCs/>
          <w:b/>
        </w:rPr>
        <w:t xml:space="preserve">O3:</w:t>
      </w:r>
      <w:r>
        <w:t xml:space="preserve"> </w:t>
      </w:r>
      <w:r>
        <w:t xml:space="preserve">Compare performance with existing security approaches.</w:t>
      </w:r>
    </w:p>
    <w:p>
      <w:pPr>
        <w:pStyle w:val="FirstParagraph"/>
      </w:pPr>
      <w:r>
        <w:t xml:space="preserve">This chapter realizes O1 through the architecture and runtime pipeline, O2 through the attack scenarios and metrics of Sections 3.11–3.12, and O3 through the baselines of Section 3.11.7. The evaluation in this thesis uses a financial (banking) environment. Task-automation environments are outside the evaluation scope unless approved as an extension.</w:t>
      </w:r>
    </w:p>
    <w:bookmarkEnd w:id="101"/>
    <w:bookmarkStart w:id="102" w:name="research-questions-1"/>
    <w:p>
      <w:pPr>
        <w:pStyle w:val="Heading3"/>
      </w:pPr>
      <w:r>
        <w:t xml:space="preserve">3.1.3 Research questions</w:t>
      </w:r>
    </w:p>
    <w:p>
      <w:pPr>
        <w:pStyle w:val="FirstParagraph"/>
      </w:pPr>
      <w:r>
        <w:t xml:space="preserve">The approved proposal does not state research questions. The following questions are derived from the objectives and are presented for supervisor confirmation.</w:t>
      </w:r>
    </w:p>
    <w:p>
      <w:pPr>
        <w:numPr>
          <w:ilvl w:val="0"/>
          <w:numId w:val="1108"/>
        </w:numPr>
        <w:pStyle w:val="Compact"/>
      </w:pPr>
      <w:r>
        <w:rPr>
          <w:bCs/>
          <w:b/>
        </w:rPr>
        <w:t xml:space="preserve">RQ1 (estimation).</w:t>
      </w:r>
      <w:r>
        <w:t xml:space="preserve"> </w:t>
      </w:r>
      <w:r>
        <w:t xml:space="preserve">How well does a ridge logistic regression estimator, using context, behavioral, and action evidence available at the tool-call boundary, discriminate adversarially induced proposed actions in the AgentDojo banking environment, and how well calibrated are its probabilities under grouped cross-fitting?</w:t>
      </w:r>
    </w:p>
    <w:p>
      <w:pPr>
        <w:numPr>
          <w:ilvl w:val="0"/>
          <w:numId w:val="1108"/>
        </w:numPr>
        <w:pStyle w:val="Compact"/>
      </w:pPr>
      <w:r>
        <w:rPr>
          <w:bCs/>
          <w:b/>
        </w:rPr>
        <w:t xml:space="preserve">RQ2 (decision).</w:t>
      </w:r>
      <w:r>
        <w:t xml:space="preserve"> </w:t>
      </w:r>
      <w:r>
        <w:t xml:space="preserve">Compared with a consequence-independent threshold policy that uses the same estimator, how does consequence-tiered expected-loss verdict selection change attack success, benign utility, utility under attack, and intervention rates, across a declared range of loss structures?</w:t>
      </w:r>
    </w:p>
    <w:p>
      <w:pPr>
        <w:numPr>
          <w:ilvl w:val="0"/>
          <w:numId w:val="1108"/>
        </w:numPr>
        <w:pStyle w:val="Compact"/>
      </w:pPr>
      <w:r>
        <w:rPr>
          <w:bCs/>
          <w:b/>
        </w:rPr>
        <w:t xml:space="preserve">RQ3 (mitigation and cost).</w:t>
      </w:r>
      <w:r>
        <w:t xml:space="preserve"> </w:t>
      </w:r>
      <w:r>
        <w:t xml:space="preserve">What residual attack success remains after the Modify mechanism, how often is escalation selected, and what per-step latency does REM add?</w:t>
      </w:r>
    </w:p>
    <w:p>
      <w:pPr>
        <w:numPr>
          <w:ilvl w:val="0"/>
          <w:numId w:val="1108"/>
        </w:numPr>
        <w:pStyle w:val="Compact"/>
      </w:pPr>
      <w:r>
        <w:rPr>
          <w:bCs/>
          <w:b/>
        </w:rPr>
        <w:t xml:space="preserve">RQ4 (component contribution).</w:t>
      </w:r>
      <w:r>
        <w:t xml:space="preserve"> </w:t>
      </w:r>
      <w:r>
        <w:t xml:space="preserve">What is the marginal contribution of each evidence group, of calibration, and of consequence tiers, as determined by ablation?</w:t>
      </w:r>
    </w:p>
    <w:p>
      <w:pPr>
        <w:pStyle w:val="FirstParagraph"/>
      </w:pPr>
      <w:r>
        <w:rPr>
          <w:bCs/>
          <w:b/>
        </w:rPr>
        <w:t xml:space="preserve">Table 3.2. Traceability of research questions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RQ</w:t>
            </w:r>
          </w:p>
        </w:tc>
        <w:tc>
          <w:tcPr/>
          <w:p>
            <w:pPr>
              <w:pStyle w:val="Compact"/>
              <w:jc w:val="left"/>
            </w:pPr>
            <w:r>
              <w:t xml:space="preserve">Objectives</w:t>
            </w:r>
          </w:p>
        </w:tc>
        <w:tc>
          <w:tcPr/>
          <w:p>
            <w:pPr>
              <w:pStyle w:val="Compact"/>
              <w:jc w:val="left"/>
            </w:pPr>
            <w:r>
              <w:t xml:space="preserve">Principal components</w:t>
            </w:r>
          </w:p>
        </w:tc>
        <w:tc>
          <w:tcPr/>
          <w:p>
            <w:pPr>
              <w:pStyle w:val="Compact"/>
              <w:jc w:val="left"/>
            </w:pPr>
            <w:r>
              <w:t xml:space="preserve">Principal metrics</w:t>
            </w:r>
          </w:p>
        </w:tc>
      </w:tr>
      <w:tr>
        <w:tc>
          <w:tcPr/>
          <w:p>
            <w:pPr>
              <w:pStyle w:val="Compact"/>
              <w:jc w:val="left"/>
            </w:pPr>
            <w:r>
              <w:t xml:space="preserve">RQ1</w:t>
            </w:r>
          </w:p>
        </w:tc>
        <w:tc>
          <w:tcPr/>
          <w:p>
            <w:pPr>
              <w:pStyle w:val="Compact"/>
              <w:jc w:val="left"/>
            </w:pPr>
            <w:r>
              <w:t xml:space="preserve">O1, O2</w:t>
            </w:r>
          </w:p>
        </w:tc>
        <w:tc>
          <w:tcPr/>
          <w:p>
            <w:pPr>
              <w:pStyle w:val="Compact"/>
              <w:jc w:val="left"/>
            </w:pPr>
            <w:r>
              <w:t xml:space="preserve">Detection and Behavioral Analysis evidence; estimator; calibration</w:t>
            </w:r>
          </w:p>
        </w:tc>
        <w:tc>
          <w:tcPr/>
          <w:p>
            <w:pPr>
              <w:pStyle w:val="Compact"/>
              <w:jc w:val="left"/>
            </w:pPr>
            <w:r>
              <w:t xml:space="preserve">ROC-AUC, PR-AUC, ECE, log-loss</w:t>
            </w:r>
          </w:p>
        </w:tc>
      </w:tr>
      <w:tr>
        <w:tc>
          <w:tcPr/>
          <w:p>
            <w:pPr>
              <w:pStyle w:val="Compact"/>
              <w:jc w:val="left"/>
            </w:pPr>
            <w:r>
              <w:t xml:space="preserve">RQ2</w:t>
            </w:r>
          </w:p>
        </w:tc>
        <w:tc>
          <w:tcPr/>
          <w:p>
            <w:pPr>
              <w:pStyle w:val="Compact"/>
              <w:jc w:val="left"/>
            </w:pPr>
            <w:r>
              <w:t xml:space="preserve">O2, O3</w:t>
            </w:r>
          </w:p>
        </w:tc>
        <w:tc>
          <w:tcPr/>
          <w:p>
            <w:pPr>
              <w:pStyle w:val="Compact"/>
              <w:jc w:val="left"/>
            </w:pPr>
            <w:r>
              <w:t xml:space="preserve">Consequence tiers; expected-loss decision; baseline policy</w:t>
            </w:r>
          </w:p>
        </w:tc>
        <w:tc>
          <w:tcPr/>
          <w:p>
            <w:pPr>
              <w:pStyle w:val="Compact"/>
              <w:jc w:val="left"/>
            </w:pPr>
            <w:r>
              <w:t xml:space="preserve">ASR, benign utility, utility under attack, intervention rates, realized loss</w:t>
            </w:r>
          </w:p>
        </w:tc>
      </w:tr>
      <w:tr>
        <w:tc>
          <w:tcPr/>
          <w:p>
            <w:pPr>
              <w:pStyle w:val="Compact"/>
              <w:jc w:val="left"/>
            </w:pPr>
            <w:r>
              <w:t xml:space="preserve">RQ3</w:t>
            </w:r>
          </w:p>
        </w:tc>
        <w:tc>
          <w:tcPr/>
          <w:p>
            <w:pPr>
              <w:pStyle w:val="Compact"/>
              <w:jc w:val="left"/>
            </w:pPr>
            <w:r>
              <w:t xml:space="preserve">O2</w:t>
            </w:r>
          </w:p>
        </w:tc>
        <w:tc>
          <w:tcPr/>
          <w:p>
            <w:pPr>
              <w:pStyle w:val="Compact"/>
              <w:jc w:val="left"/>
            </w:pPr>
            <w:r>
              <w:t xml:space="preserve">Mitigation Layer; Escalate; runtime pipeline</w:t>
            </w:r>
          </w:p>
        </w:tc>
        <w:tc>
          <w:tcPr/>
          <w:p>
            <w:pPr>
              <w:pStyle w:val="Compact"/>
              <w:jc w:val="left"/>
            </w:pPr>
            <w:r>
              <w:t xml:space="preserve">Residual ASR under Modify, escalation rate, latency</w:t>
            </w:r>
          </w:p>
        </w:tc>
      </w:tr>
      <w:tr>
        <w:tc>
          <w:tcPr/>
          <w:p>
            <w:pPr>
              <w:pStyle w:val="Compact"/>
              <w:jc w:val="left"/>
            </w:pPr>
            <w:r>
              <w:t xml:space="preserve">RQ4</w:t>
            </w:r>
          </w:p>
        </w:tc>
        <w:tc>
          <w:tcPr/>
          <w:p>
            <w:pPr>
              <w:pStyle w:val="Compact"/>
              <w:jc w:val="left"/>
            </w:pPr>
            <w:r>
              <w:t xml:space="preserve">O2</w:t>
            </w:r>
          </w:p>
        </w:tc>
        <w:tc>
          <w:tcPr/>
          <w:p>
            <w:pPr>
              <w:pStyle w:val="Compact"/>
              <w:jc w:val="left"/>
            </w:pPr>
            <w:r>
              <w:t xml:space="preserve">All components (ablation)</w:t>
            </w:r>
          </w:p>
        </w:tc>
        <w:tc>
          <w:tcPr/>
          <w:p>
            <w:pPr>
              <w:pStyle w:val="Compact"/>
              <w:jc w:val="left"/>
            </w:pPr>
            <w:r>
              <w:t xml:space="preserve">Change in the metrics above</w:t>
            </w:r>
          </w:p>
        </w:tc>
      </w:tr>
    </w:tbl>
    <w:bookmarkEnd w:id="102"/>
    <w:bookmarkStart w:id="103" w:name="scope-1"/>
    <w:p>
      <w:pPr>
        <w:pStyle w:val="Heading3"/>
      </w:pPr>
      <w:r>
        <w:t xml:space="preserve">3.1.4 Scope</w:t>
      </w:r>
    </w:p>
    <w:p>
      <w:pPr>
        <w:pStyle w:val="FirstParagraph"/>
      </w:pPr>
      <w:r>
        <w:rPr>
          <w:bCs/>
          <w:b/>
        </w:rPr>
        <w:t xml:space="preserve">In scope:</w:t>
      </w:r>
    </w:p>
    <w:p>
      <w:pPr>
        <w:numPr>
          <w:ilvl w:val="0"/>
          <w:numId w:val="1109"/>
        </w:numPr>
        <w:pStyle w:val="Compact"/>
      </w:pPr>
      <w:r>
        <w:t xml:space="preserve">A single LLM-based agent that invokes tools with generated arguments.</w:t>
      </w:r>
    </w:p>
    <w:p>
      <w:pPr>
        <w:numPr>
          <w:ilvl w:val="0"/>
          <w:numId w:val="1109"/>
        </w:numPr>
        <w:pStyle w:val="Compact"/>
      </w:pPr>
      <w:r>
        <w:t xml:space="preserve">A financial (banking) task environment with executable tools and state-based checks.</w:t>
      </w:r>
    </w:p>
    <w:p>
      <w:pPr>
        <w:numPr>
          <w:ilvl w:val="0"/>
          <w:numId w:val="1109"/>
        </w:numPr>
        <w:pStyle w:val="Compact"/>
      </w:pPr>
      <w:r>
        <w:t xml:space="preserve">Indirect prompt injection through tool outputs as the evaluated attack class.</w:t>
      </w:r>
    </w:p>
    <w:p>
      <w:pPr>
        <w:numPr>
          <w:ilvl w:val="0"/>
          <w:numId w:val="1109"/>
        </w:numPr>
        <w:pStyle w:val="Compact"/>
      </w:pPr>
      <w:r>
        <w:t xml:space="preserve">Runtime mediation of each proposed tool call before it is released.</w:t>
      </w:r>
    </w:p>
    <w:p>
      <w:pPr>
        <w:numPr>
          <w:ilvl w:val="0"/>
          <w:numId w:val="1109"/>
        </w:numPr>
        <w:pStyle w:val="Compact"/>
      </w:pPr>
      <w:r>
        <w:rPr>
          <w:iCs/>
          <w:i/>
        </w:rPr>
        <w:t xml:space="preserve">[Proposed scope amendment, pending supervisor approval]</w:t>
      </w:r>
      <w:r>
        <w:t xml:space="preserve"> </w:t>
      </w:r>
      <w:r>
        <w:t xml:space="preserve">A recorded-trace replay sensitivity analysis under a stated no-adaptation assumption (Section 3.11.11). It is reported as exploratory evidence about fixed recorded trajectories, not as an estimate of enforcement against live or adaptive agents.</w:t>
      </w:r>
    </w:p>
    <w:p>
      <w:pPr>
        <w:pStyle w:val="FirstParagraph"/>
      </w:pPr>
      <w:r>
        <w:rPr>
          <w:bCs/>
          <w:b/>
        </w:rPr>
        <w:t xml:space="preserve">Out of scope:</w:t>
      </w:r>
    </w:p>
    <w:p>
      <w:pPr>
        <w:numPr>
          <w:ilvl w:val="0"/>
          <w:numId w:val="1110"/>
        </w:numPr>
        <w:pStyle w:val="Compact"/>
      </w:pPr>
      <w:r>
        <w:t xml:space="preserve">Training-time defenses and modification of the agent’s model or prompts.</w:t>
      </w:r>
    </w:p>
    <w:p>
      <w:pPr>
        <w:numPr>
          <w:ilvl w:val="0"/>
          <w:numId w:val="1110"/>
        </w:numPr>
        <w:pStyle w:val="Compact"/>
      </w:pPr>
      <w:r>
        <w:t xml:space="preserve">Multi-agent systems.</w:t>
      </w:r>
    </w:p>
    <w:p>
      <w:pPr>
        <w:numPr>
          <w:ilvl w:val="0"/>
          <w:numId w:val="1110"/>
        </w:numPr>
        <w:pStyle w:val="Compact"/>
      </w:pPr>
      <w:r>
        <w:t xml:space="preserve">Evaluation against adaptive adversaries who tune attacks to REM.</w:t>
      </w:r>
    </w:p>
    <w:p>
      <w:pPr>
        <w:numPr>
          <w:ilvl w:val="0"/>
          <w:numId w:val="1110"/>
        </w:numPr>
        <w:pStyle w:val="Compact"/>
      </w:pPr>
      <w:r>
        <w:t xml:space="preserve">Production deployment in a financial institution.</w:t>
      </w:r>
    </w:p>
    <w:p>
      <w:pPr>
        <w:numPr>
          <w:ilvl w:val="0"/>
          <w:numId w:val="1110"/>
        </w:numPr>
        <w:pStyle w:val="Compact"/>
      </w:pPr>
      <w:r>
        <w:t xml:space="preserve">Counterfactual estimation of intervention value for adaptive agents, for example by replaying agent prefixes and executing alternative actions from the same state (C. Zhang et al., 2026).</w:t>
      </w:r>
    </w:p>
    <w:bookmarkEnd w:id="103"/>
    <w:bookmarkStart w:id="104" w:name="assumptions"/>
    <w:p>
      <w:pPr>
        <w:pStyle w:val="Heading3"/>
      </w:pPr>
      <w:r>
        <w:t xml:space="preserve">3.1.5 Assumptions</w:t>
      </w:r>
    </w:p>
    <w:p>
      <w:pPr>
        <w:pStyle w:val="FirstParagraph"/>
      </w:pPr>
      <w:r>
        <w:rPr>
          <w:bCs/>
          <w:b/>
        </w:rPr>
        <w:t xml:space="preserve">Table 3.3. Assumptions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Assumption</w:t>
            </w:r>
          </w:p>
        </w:tc>
        <w:tc>
          <w:tcPr/>
          <w:p>
            <w:pPr>
              <w:pStyle w:val="Compact"/>
              <w:jc w:val="left"/>
            </w:pPr>
            <w:r>
              <w:t xml:space="preserve">Type</w:t>
            </w:r>
          </w:p>
        </w:tc>
        <w:tc>
          <w:tcPr/>
          <w:p>
            <w:pPr>
              <w:pStyle w:val="Compact"/>
              <w:jc w:val="left"/>
            </w:pPr>
            <w:r>
              <w:t xml:space="preserve">Status</w:t>
            </w:r>
          </w:p>
        </w:tc>
      </w:tr>
      <w:tr>
        <w:tc>
          <w:tcPr/>
          <w:p>
            <w:pPr>
              <w:pStyle w:val="Compact"/>
              <w:jc w:val="left"/>
            </w:pPr>
            <w:r>
              <w:t xml:space="preserve">AS-1</w:t>
            </w:r>
          </w:p>
        </w:tc>
        <w:tc>
          <w:tcPr/>
          <w:p>
            <w:pPr>
              <w:pStyle w:val="Compact"/>
              <w:jc w:val="left"/>
            </w:pPr>
            <w:r>
              <w:t xml:space="preserve">REM can intercept each proposed tool call and each tool result without modifying the agent’s internals.</w:t>
            </w:r>
          </w:p>
        </w:tc>
        <w:tc>
          <w:tcPr/>
          <w:p>
            <w:pPr>
              <w:pStyle w:val="Compact"/>
              <w:jc w:val="left"/>
            </w:pPr>
            <w:r>
              <w:t xml:space="preserve">Architectural</w:t>
            </w:r>
          </w:p>
        </w:tc>
        <w:tc>
          <w:tcPr/>
          <w:p>
            <w:pPr>
              <w:pStyle w:val="Compact"/>
              <w:jc w:val="left"/>
            </w:pPr>
            <w:r>
              <w:t xml:space="preserve">To be demonstrated on the chosen platform (Chapter 4)</w:t>
            </w:r>
          </w:p>
        </w:tc>
      </w:tr>
      <w:tr>
        <w:tc>
          <w:tcPr/>
          <w:p>
            <w:pPr>
              <w:pStyle w:val="Compact"/>
              <w:jc w:val="left"/>
            </w:pPr>
            <w:r>
              <w:t xml:space="preserve">AS-2</w:t>
            </w:r>
          </w:p>
        </w:tc>
        <w:tc>
          <w:tcPr/>
          <w:p>
            <w:pPr>
              <w:pStyle w:val="Compact"/>
              <w:jc w:val="left"/>
            </w:pPr>
            <w:r>
              <w:t xml:space="preserve">Context segments can be attributed to their source channel reliably enough to assign a provenance label.</w:t>
            </w:r>
          </w:p>
        </w:tc>
        <w:tc>
          <w:tcPr/>
          <w:p>
            <w:pPr>
              <w:pStyle w:val="Compact"/>
              <w:jc w:val="left"/>
            </w:pPr>
            <w:r>
              <w:t xml:space="preserve">Architectural</w:t>
            </w:r>
          </w:p>
        </w:tc>
        <w:tc>
          <w:tcPr/>
          <w:p>
            <w:pPr>
              <w:pStyle w:val="Compact"/>
              <w:jc w:val="left"/>
            </w:pPr>
            <w:r>
              <w:t xml:space="preserve">To be demonstrated</w:t>
            </w:r>
          </w:p>
        </w:tc>
      </w:tr>
      <w:tr>
        <w:tc>
          <w:tcPr/>
          <w:p>
            <w:pPr>
              <w:pStyle w:val="Compact"/>
              <w:jc w:val="left"/>
            </w:pPr>
            <w:r>
              <w:t xml:space="preserve">AS-3</w:t>
            </w:r>
          </w:p>
        </w:tc>
        <w:tc>
          <w:tcPr/>
          <w:p>
            <w:pPr>
              <w:pStyle w:val="Compact"/>
              <w:jc w:val="left"/>
            </w:pPr>
            <w:r>
              <w:t xml:space="preserve">The adversary cannot modify REM’s code, parameters, policy, or logs.</w:t>
            </w:r>
          </w:p>
        </w:tc>
        <w:tc>
          <w:tcPr/>
          <w:p>
            <w:pPr>
              <w:pStyle w:val="Compact"/>
              <w:jc w:val="left"/>
            </w:pPr>
            <w:r>
              <w:t xml:space="preserve">Architectural</w:t>
            </w:r>
          </w:p>
        </w:tc>
        <w:tc>
          <w:tcPr/>
          <w:p>
            <w:pPr>
              <w:pStyle w:val="Compact"/>
              <w:jc w:val="left"/>
            </w:pPr>
            <w:r>
              <w:t xml:space="preserve">Assumed; stated as a limitation</w:t>
            </w:r>
          </w:p>
        </w:tc>
      </w:tr>
      <w:tr>
        <w:tc>
          <w:tcPr/>
          <w:p>
            <w:pPr>
              <w:pStyle w:val="Compact"/>
              <w:jc w:val="left"/>
            </w:pPr>
            <w:r>
              <w:t xml:space="preserve">AS-4</w:t>
            </w:r>
          </w:p>
        </w:tc>
        <w:tc>
          <w:tcPr/>
          <w:p>
            <w:pPr>
              <w:pStyle w:val="Compact"/>
              <w:jc w:val="left"/>
            </w:pPr>
            <w:r>
              <w:t xml:space="preserve">The user’s objective is legitimate; REM protects the user against external manipulation.</w:t>
            </w:r>
          </w:p>
        </w:tc>
        <w:tc>
          <w:tcPr/>
          <w:p>
            <w:pPr>
              <w:pStyle w:val="Compact"/>
              <w:jc w:val="left"/>
            </w:pPr>
            <w:r>
              <w:t xml:space="preserve">Scoping</w:t>
            </w:r>
          </w:p>
        </w:tc>
        <w:tc>
          <w:tcPr/>
          <w:p>
            <w:pPr>
              <w:pStyle w:val="Compact"/>
              <w:jc w:val="left"/>
            </w:pPr>
            <w:r>
              <w:t xml:space="preserve">Stated choice</w:t>
            </w:r>
          </w:p>
        </w:tc>
      </w:tr>
      <w:tr>
        <w:tc>
          <w:tcPr/>
          <w:p>
            <w:pPr>
              <w:pStyle w:val="Compact"/>
              <w:jc w:val="left"/>
            </w:pPr>
            <w:r>
              <w:t xml:space="preserve">AS-5</w:t>
            </w:r>
          </w:p>
        </w:tc>
        <w:tc>
          <w:tcPr/>
          <w:p>
            <w:pPr>
              <w:pStyle w:val="Compact"/>
              <w:jc w:val="left"/>
            </w:pPr>
            <w:r>
              <w:t xml:space="preserve">Tool outputs and retrieved content are untrusted by default.</w:t>
            </w:r>
          </w:p>
        </w:tc>
        <w:tc>
          <w:tcPr/>
          <w:p>
            <w:pPr>
              <w:pStyle w:val="Compact"/>
              <w:jc w:val="left"/>
            </w:pPr>
            <w:r>
              <w:t xml:space="preserve">Scoping</w:t>
            </w:r>
          </w:p>
        </w:tc>
        <w:tc>
          <w:tcPr/>
          <w:p>
            <w:pPr>
              <w:pStyle w:val="Compact"/>
              <w:jc w:val="left"/>
            </w:pPr>
            <w:r>
              <w:t xml:space="preserve">Follows from the indirect injection threat (Greshake et al., 2023)</w:t>
            </w:r>
          </w:p>
        </w:tc>
      </w:tr>
      <w:tr>
        <w:tc>
          <w:tcPr/>
          <w:p>
            <w:pPr>
              <w:pStyle w:val="Compact"/>
              <w:jc w:val="left"/>
            </w:pPr>
            <w:r>
              <w:t xml:space="preserve">AS-6</w:t>
            </w:r>
          </w:p>
        </w:tc>
        <w:tc>
          <w:tcPr/>
          <w:p>
            <w:pPr>
              <w:pStyle w:val="Compact"/>
              <w:jc w:val="left"/>
            </w:pPr>
            <w:r>
              <w:t xml:space="preserve">Adversaries do not adapt to REM’s parameters in the primary evaluation.</w:t>
            </w:r>
          </w:p>
        </w:tc>
        <w:tc>
          <w:tcPr/>
          <w:p>
            <w:pPr>
              <w:pStyle w:val="Compact"/>
              <w:jc w:val="left"/>
            </w:pPr>
            <w:r>
              <w:t xml:space="preserve">Scoping</w:t>
            </w:r>
          </w:p>
        </w:tc>
        <w:tc>
          <w:tcPr/>
          <w:p>
            <w:pPr>
              <w:pStyle w:val="Compact"/>
              <w:jc w:val="left"/>
            </w:pPr>
            <w:r>
              <w:t xml:space="preserve">Declared limitation</w:t>
            </w:r>
          </w:p>
        </w:tc>
      </w:tr>
      <w:tr>
        <w:tc>
          <w:tcPr/>
          <w:p>
            <w:pPr>
              <w:pStyle w:val="Compact"/>
              <w:jc w:val="left"/>
            </w:pPr>
            <w:r>
              <w:t xml:space="preserve">AS-7</w:t>
            </w:r>
          </w:p>
        </w:tc>
        <w:tc>
          <w:tcPr/>
          <w:p>
            <w:pPr>
              <w:pStyle w:val="Compact"/>
              <w:jc w:val="left"/>
            </w:pPr>
            <w:r>
              <w:t xml:space="preserve">Observable evidence separates adversarially induced from benign proposed actions.</w:t>
            </w:r>
          </w:p>
        </w:tc>
        <w:tc>
          <w:tcPr/>
          <w:p>
            <w:pPr>
              <w:pStyle w:val="Compact"/>
              <w:jc w:val="left"/>
            </w:pPr>
            <w:r>
              <w:t xml:space="preserve">Empirical</w:t>
            </w:r>
          </w:p>
        </w:tc>
        <w:tc>
          <w:tcPr/>
          <w:p>
            <w:pPr>
              <w:pStyle w:val="Compact"/>
              <w:jc w:val="left"/>
            </w:pPr>
            <w:r>
              <w:t xml:space="preserve">Tested in pilot E0 (Section 3.11.8)</w:t>
            </w:r>
          </w:p>
        </w:tc>
      </w:tr>
      <w:tr>
        <w:tc>
          <w:tcPr/>
          <w:p>
            <w:pPr>
              <w:pStyle w:val="Compact"/>
              <w:jc w:val="left"/>
            </w:pPr>
            <w:r>
              <w:t xml:space="preserve">AS-8</w:t>
            </w:r>
          </w:p>
        </w:tc>
        <w:tc>
          <w:tcPr/>
          <w:p>
            <w:pPr>
              <w:pStyle w:val="Compact"/>
              <w:jc w:val="left"/>
            </w:pPr>
            <w:r>
              <w:t xml:space="preserve">The benign reference data are representative of the evaluated workload.</w:t>
            </w:r>
          </w:p>
        </w:tc>
        <w:tc>
          <w:tcPr/>
          <w:p>
            <w:pPr>
              <w:pStyle w:val="Compact"/>
              <w:jc w:val="left"/>
            </w:pPr>
            <w:r>
              <w:t xml:space="preserve">Empirical</w:t>
            </w:r>
          </w:p>
        </w:tc>
        <w:tc>
          <w:tcPr/>
          <w:p>
            <w:pPr>
              <w:pStyle w:val="Compact"/>
              <w:jc w:val="left"/>
            </w:pPr>
            <w:r>
              <w:t xml:space="preserve">Threatened by benchmark scope (Section 3.14)</w:t>
            </w:r>
          </w:p>
        </w:tc>
      </w:tr>
      <w:tr>
        <w:tc>
          <w:tcPr/>
          <w:p>
            <w:pPr>
              <w:pStyle w:val="Compact"/>
              <w:jc w:val="left"/>
            </w:pPr>
            <w:r>
              <w:t xml:space="preserve">AS-9</w:t>
            </w:r>
          </w:p>
        </w:tc>
        <w:tc>
          <w:tcPr/>
          <w:p>
            <w:pPr>
              <w:pStyle w:val="Compact"/>
              <w:jc w:val="left"/>
            </w:pPr>
            <w:r>
              <w:t xml:space="preserve">LLM non-determinism is bounded enough for repeated runs to characterize variance.</w:t>
            </w:r>
          </w:p>
        </w:tc>
        <w:tc>
          <w:tcPr/>
          <w:p>
            <w:pPr>
              <w:pStyle w:val="Compact"/>
              <w:jc w:val="left"/>
            </w:pPr>
            <w:r>
              <w:t xml:space="preserve">Empirical</w:t>
            </w:r>
          </w:p>
        </w:tc>
        <w:tc>
          <w:tcPr/>
          <w:p>
            <w:pPr>
              <w:pStyle w:val="Compact"/>
              <w:jc w:val="left"/>
            </w:pPr>
            <w:r>
              <w:t xml:space="preserve">Measured through repeated runs</w:t>
            </w:r>
          </w:p>
        </w:tc>
      </w:tr>
      <w:tr>
        <w:tc>
          <w:tcPr/>
          <w:p>
            <w:pPr>
              <w:pStyle w:val="Compact"/>
              <w:jc w:val="left"/>
            </w:pPr>
            <w:r>
              <w:t xml:space="preserve">AS-10</w:t>
            </w:r>
          </w:p>
        </w:tc>
        <w:tc>
          <w:tcPr/>
          <w:p>
            <w:pPr>
              <w:pStyle w:val="Compact"/>
              <w:jc w:val="left"/>
            </w:pPr>
            <w:r>
              <w:t xml:space="preserve">The agent’s internal reasoning is not used; REM relies only on observable inputs, proposed actions, and tool results.</w:t>
            </w:r>
          </w:p>
        </w:tc>
        <w:tc>
          <w:tcPr/>
          <w:p>
            <w:pPr>
              <w:pStyle w:val="Compact"/>
              <w:jc w:val="left"/>
            </w:pPr>
            <w:r>
              <w:t xml:space="preserve">Architectural</w:t>
            </w:r>
          </w:p>
        </w:tc>
        <w:tc>
          <w:tcPr/>
          <w:p>
            <w:pPr>
              <w:pStyle w:val="Compact"/>
              <w:jc w:val="left"/>
            </w:pPr>
            <w:r>
              <w:t xml:space="preserve">Design constraint</w:t>
            </w:r>
          </w:p>
        </w:tc>
      </w:tr>
    </w:tbl>
    <w:bookmarkEnd w:id="104"/>
    <w:bookmarkStart w:id="105" w:name="notation"/>
    <w:p>
      <w:pPr>
        <w:pStyle w:val="Heading3"/>
      </w:pPr>
      <w:r>
        <w:t xml:space="preserve">3.1.6 Notation</w:t>
      </w:r>
    </w:p>
    <w:p>
      <w:pPr>
        <w:pStyle w:val="FirstParagraph"/>
      </w:pPr>
      <w:r>
        <w:rPr>
          <w:bCs/>
          <w:b/>
        </w:rPr>
        <w:t xml:space="preserve">Table 3.4. Notation used in this chapter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w:t>
            </w:r>
          </w:p>
        </w:tc>
      </w:tr>
      <w:tr>
        <w:tc>
          <w:tcPr/>
          <w:p>
            <w:pPr>
              <w:pStyle w:val="Compact"/>
              <w:jc w:val="left"/>
            </w:pPr>
            <w:r>
              <w:t xml:space="preserve">t, T</w:t>
            </w:r>
          </w:p>
        </w:tc>
        <w:tc>
          <w:tcPr/>
          <w:p>
            <w:pPr>
              <w:pStyle w:val="Compact"/>
              <w:jc w:val="left"/>
            </w:pPr>
            <w:r>
              <w:t xml:space="preserve">Step index within an episode; episode length</w:t>
            </w:r>
          </w:p>
        </w:tc>
      </w:tr>
      <w:tr>
        <w:tc>
          <w:tcPr/>
          <w:p>
            <w:pPr>
              <w:pStyle w:val="Compact"/>
              <w:jc w:val="left"/>
            </w:pPr>
            <w:r>
              <w:t xml:space="preserve">g</w:t>
            </w:r>
          </w:p>
        </w:tc>
        <w:tc>
          <w:tcPr/>
          <w:p>
            <w:pPr>
              <w:pStyle w:val="Compact"/>
              <w:jc w:val="left"/>
            </w:pPr>
            <w:r>
              <w:t xml:space="preserve">User objective of the episode</w:t>
            </w:r>
          </w:p>
        </w:tc>
      </w:tr>
      <w:tr>
        <w:tc>
          <w:tcPr/>
          <w:p>
            <w:pPr>
              <w:pStyle w:val="Compact"/>
              <w:jc w:val="left"/>
            </w:pPr>
            <w:r>
              <w:t xml:space="preserve">c</w:t>
            </w:r>
            <w:r>
              <w:rPr>
                <w:vertAlign w:val="subscript"/>
              </w:rPr>
              <w:t xml:space="preserve">t</w:t>
            </w:r>
          </w:p>
        </w:tc>
        <w:tc>
          <w:tcPr/>
          <w:p>
            <w:pPr>
              <w:pStyle w:val="Compact"/>
              <w:jc w:val="left"/>
            </w:pPr>
            <w:r>
              <w:t xml:space="preserve">Context at step t, as segments with provenance labels</w:t>
            </w:r>
          </w:p>
        </w:tc>
      </w:tr>
      <w:tr>
        <w:tc>
          <w:tcPr/>
          <w:p>
            <w:pPr>
              <w:pStyle w:val="Compact"/>
              <w:jc w:val="left"/>
            </w:pPr>
            <w:r>
              <w:t xml:space="preserve">a</w:t>
            </w:r>
            <w:r>
              <w:rPr>
                <w:vertAlign w:val="subscript"/>
              </w:rPr>
              <w:t xml:space="preserve">t</w:t>
            </w:r>
          </w:p>
        </w:tc>
        <w:tc>
          <w:tcPr/>
          <w:p>
            <w:pPr>
              <w:pStyle w:val="Compact"/>
              <w:jc w:val="left"/>
            </w:pPr>
            <w:r>
              <w:t xml:space="preserve">Proposed action (tool name and arguments) at step t</w:t>
            </w:r>
          </w:p>
        </w:tc>
      </w:tr>
      <w:tr>
        <w:tc>
          <w:tcPr/>
          <w:p>
            <w:pPr>
              <w:pStyle w:val="Compact"/>
              <w:jc w:val="left"/>
            </w:pPr>
            <w:r>
              <w:t xml:space="preserve">H</w:t>
            </w:r>
            <w:r>
              <w:rPr>
                <w:vertAlign w:val="subscript"/>
              </w:rPr>
              <w:t xml:space="preserve">t</w:t>
            </w:r>
          </w:p>
        </w:tc>
        <w:tc>
          <w:tcPr/>
          <w:p>
            <w:pPr>
              <w:pStyle w:val="Compact"/>
              <w:jc w:val="left"/>
            </w:pPr>
            <w:r>
              <w:t xml:space="preserve">Episode history up to step t</w:t>
            </w:r>
          </w:p>
        </w:tc>
      </w:tr>
      <w:tr>
        <w:tc>
          <w:tcPr/>
          <w:p>
            <w:pPr>
              <w:pStyle w:val="Compact"/>
              <w:jc w:val="left"/>
            </w:pPr>
            <w:r>
              <w:t xml:space="preserve">y</w:t>
            </w:r>
            <w:r>
              <w:rPr>
                <w:vertAlign w:val="subscript"/>
              </w:rPr>
              <w:t xml:space="preserve">t</w:t>
            </w:r>
            <w:r>
              <w:t xml:space="preserve"> </w:t>
            </w:r>
            <w:r>
              <w:t xml:space="preserve">∈ {0, 1}</w:t>
            </w:r>
          </w:p>
        </w:tc>
        <w:tc>
          <w:tcPr/>
          <w:p>
            <w:pPr>
              <w:pStyle w:val="Compact"/>
              <w:jc w:val="left"/>
            </w:pPr>
            <w:r>
              <w:t xml:space="preserve">Latent label: 1 if a</w:t>
            </w:r>
            <w:r>
              <w:rPr>
                <w:vertAlign w:val="subscript"/>
              </w:rPr>
              <w:t xml:space="preserve">t</w:t>
            </w:r>
            <w:r>
              <w:t xml:space="preserve"> </w:t>
            </w:r>
            <w:r>
              <w:t xml:space="preserve">is adversarially induced</w:t>
            </w:r>
          </w:p>
        </w:tc>
      </w:tr>
      <w:tr>
        <w:tc>
          <w:tcPr/>
          <w:p>
            <w:pPr>
              <w:pStyle w:val="Compact"/>
              <w:jc w:val="left"/>
            </w:pPr>
            <w:r>
              <w:t xml:space="preserve">x</w:t>
            </w:r>
            <w:r>
              <w:rPr>
                <w:vertAlign w:val="subscript"/>
              </w:rPr>
              <w:t xml:space="preserve">t</w:t>
            </w:r>
            <w:r>
              <w:t xml:space="preserve"> </w:t>
            </w:r>
            <w:r>
              <w:t xml:space="preserve">∈ [0, 1]</w:t>
            </w:r>
            <w:r>
              <w:rPr>
                <w:vertAlign w:val="superscript"/>
              </w:rPr>
              <w:t xml:space="preserve">d</w:t>
            </w:r>
          </w:p>
        </w:tc>
        <w:tc>
          <w:tcPr/>
          <w:p>
            <w:pPr>
              <w:pStyle w:val="Compact"/>
              <w:jc w:val="left"/>
            </w:pPr>
            <w:r>
              <w:t xml:space="preserve">Evidence vector; groups x</w:t>
            </w:r>
            <w:r>
              <w:rPr>
                <w:vertAlign w:val="superscript"/>
              </w:rPr>
              <w:t xml:space="preserve">ctx</w:t>
            </w:r>
            <w:r>
              <w:t xml:space="preserve">, x</w:t>
            </w:r>
            <w:r>
              <w:rPr>
                <w:vertAlign w:val="superscript"/>
              </w:rPr>
              <w:t xml:space="preserve">beh</w:t>
            </w:r>
            <w:r>
              <w:t xml:space="preserve">, x</w:t>
            </w:r>
            <w:r>
              <w:rPr>
                <w:vertAlign w:val="superscript"/>
              </w:rPr>
              <w:t xml:space="preserve">act</w:t>
            </w:r>
            <w:r>
              <w:t xml:space="preserve"> </w:t>
            </w:r>
            <w:r>
              <w:t xml:space="preserve">with index sets I</w:t>
            </w:r>
            <w:r>
              <w:rPr>
                <w:vertAlign w:val="subscript"/>
              </w:rPr>
              <w:t xml:space="preserve">ctx</w:t>
            </w:r>
            <w:r>
              <w:t xml:space="preserve">, I</w:t>
            </w:r>
            <w:r>
              <w:rPr>
                <w:vertAlign w:val="subscript"/>
              </w:rPr>
              <w:t xml:space="preserve">beh</w:t>
            </w:r>
            <w:r>
              <w:t xml:space="preserve">, I</w:t>
            </w:r>
            <w:r>
              <w:rPr>
                <w:vertAlign w:val="subscript"/>
              </w:rPr>
              <w:t xml:space="preserve">act</w:t>
            </w:r>
          </w:p>
        </w:tc>
      </w:tr>
      <w:tr>
        <w:tc>
          <w:tcPr/>
          <w:p>
            <w:pPr>
              <w:pStyle w:val="Compact"/>
              <w:jc w:val="left"/>
            </w:pPr>
            <w:r>
              <w:t xml:space="preserve">β</w:t>
            </w:r>
            <w:r>
              <w:rPr>
                <w:vertAlign w:val="subscript"/>
              </w:rPr>
              <w:t xml:space="preserve">0</w:t>
            </w:r>
            <w:r>
              <w:t xml:space="preserve">, β, λ</w:t>
            </w:r>
          </w:p>
        </w:tc>
        <w:tc>
          <w:tcPr/>
          <w:p>
            <w:pPr>
              <w:pStyle w:val="Compact"/>
              <w:jc w:val="left"/>
            </w:pPr>
            <w:r>
              <w:t xml:space="preserve">Logistic intercept, coefficient vector, ridge strength</w:t>
            </w:r>
          </w:p>
        </w:tc>
      </w:tr>
      <w:tr>
        <w:tc>
          <w:tcPr/>
          <w:p>
            <w:pPr>
              <w:pStyle w:val="Compact"/>
              <w:jc w:val="left"/>
            </w:pPr>
            <w:r>
              <w:t xml:space="preserve">s</w:t>
            </w:r>
            <w:r>
              <w:rPr>
                <w:vertAlign w:val="subscript"/>
              </w:rPr>
              <w:t xml:space="preserve">t</w:t>
            </w:r>
          </w:p>
        </w:tc>
        <w:tc>
          <w:tcPr/>
          <w:p>
            <w:pPr>
              <w:pStyle w:val="Compact"/>
              <w:jc w:val="left"/>
            </w:pPr>
            <w:r>
              <w:t xml:space="preserve">Logit (linear predictor)</w:t>
            </w:r>
          </w:p>
        </w:tc>
      </w:tr>
      <w:tr>
        <w:tc>
          <w:tcPr/>
          <w:p>
            <w:pPr>
              <w:pStyle w:val="Compact"/>
              <w:jc w:val="left"/>
            </w:pPr>
            <w:r>
              <w:t xml:space="preserve">p̃</w:t>
            </w:r>
            <w:r>
              <w:rPr>
                <w:vertAlign w:val="subscript"/>
              </w:rPr>
              <w:t xml:space="preserve">t</w:t>
            </w:r>
            <w:r>
              <w:t xml:space="preserve">, p</w:t>
            </w:r>
            <w:r>
              <w:rPr>
                <w:vertAlign w:val="subscript"/>
              </w:rPr>
              <w:t xml:space="preserve">t</w:t>
            </w:r>
          </w:p>
        </w:tc>
        <w:tc>
          <w:tcPr/>
          <w:p>
            <w:pPr>
              <w:pStyle w:val="Compact"/>
              <w:jc w:val="left"/>
            </w:pPr>
            <w:r>
              <w:t xml:space="preserve">Uncalibrated probability; calibrated probability</w:t>
            </w:r>
          </w:p>
        </w:tc>
      </w:tr>
      <w:tr>
        <w:tc>
          <w:tcPr/>
          <w:p>
            <w:pPr>
              <w:pStyle w:val="Compact"/>
              <w:jc w:val="left"/>
            </w:pPr>
            <w:r>
              <w:t xml:space="preserve">γ</w:t>
            </w:r>
            <w:r>
              <w:rPr>
                <w:vertAlign w:val="subscript"/>
              </w:rPr>
              <w:t xml:space="preserve">1</w:t>
            </w:r>
            <w:r>
              <w:t xml:space="preserve">, γ</w:t>
            </w:r>
            <w:r>
              <w:rPr>
                <w:vertAlign w:val="subscript"/>
              </w:rPr>
              <w:t xml:space="preserve">0</w:t>
            </w:r>
          </w:p>
        </w:tc>
        <w:tc>
          <w:tcPr/>
          <w:p>
            <w:pPr>
              <w:pStyle w:val="Compact"/>
              <w:jc w:val="left"/>
            </w:pPr>
            <w:r>
              <w:t xml:space="preserve">Calibration slope and intercept</w:t>
            </w:r>
          </w:p>
        </w:tc>
      </w:tr>
      <w:tr>
        <w:tc>
          <w:tcPr/>
          <w:p>
            <w:pPr>
              <w:pStyle w:val="Compact"/>
              <w:jc w:val="left"/>
            </w:pPr>
            <w:r>
              <w:t xml:space="preserve">z</w:t>
            </w:r>
            <w:r>
              <w:rPr>
                <w:vertAlign w:val="subscript"/>
              </w:rPr>
              <w:t xml:space="preserve">t</w:t>
            </w:r>
            <w:r>
              <w:t xml:space="preserve">, k</w:t>
            </w:r>
            <w:r>
              <w:rPr>
                <w:vertAlign w:val="subscript"/>
              </w:rPr>
              <w:t xml:space="preserve">t</w:t>
            </w:r>
            <w:r>
              <w:t xml:space="preserve">, κ</w:t>
            </w:r>
          </w:p>
        </w:tc>
        <w:tc>
          <w:tcPr/>
          <w:p>
            <w:pPr>
              <w:pStyle w:val="Compact"/>
              <w:jc w:val="left"/>
            </w:pPr>
            <w:r>
              <w:t xml:space="preserve">Consequence descriptors; consequence tier; tier map</w:t>
            </w:r>
          </w:p>
        </w:tc>
      </w:tr>
      <w:tr>
        <w:tc>
          <w:tcPr/>
          <w:p>
            <w:pPr>
              <w:pStyle w:val="Compact"/>
              <w:jc w:val="left"/>
            </w:pPr>
            <w:r>
              <w:t xml:space="preserve">𝒱</w:t>
            </w:r>
          </w:p>
        </w:tc>
        <w:tc>
          <w:tcPr/>
          <w:p>
            <w:pPr>
              <w:pStyle w:val="Compact"/>
              <w:jc w:val="left"/>
            </w:pPr>
            <w:r>
              <w:t xml:space="preserve">Verdict set {Allow, Modify, Escalate, Block}</w:t>
            </w:r>
          </w:p>
        </w:tc>
      </w:tr>
      <w:tr>
        <w:tc>
          <w:tcPr/>
          <w:p>
            <w:pPr>
              <w:pStyle w:val="Compact"/>
              <w:jc w:val="left"/>
            </w:pPr>
            <w:r>
              <w:t xml:space="preserve">𝒱(a</w:t>
            </w:r>
            <w:r>
              <w:rPr>
                <w:vertAlign w:val="subscript"/>
              </w:rPr>
              <w:t xml:space="preserve">t</w:t>
            </w:r>
            <w:r>
              <w:t xml:space="preserve">)</w:t>
            </w:r>
          </w:p>
        </w:tc>
        <w:tc>
          <w:tcPr/>
          <w:p>
            <w:pPr>
              <w:pStyle w:val="Compact"/>
              <w:jc w:val="left"/>
            </w:pPr>
            <w:r>
              <w:t xml:space="preserve">Verdicts feasible for a</w:t>
            </w:r>
            <w:r>
              <w:rPr>
                <w:vertAlign w:val="subscript"/>
              </w:rPr>
              <w:t xml:space="preserve">t</w:t>
            </w:r>
          </w:p>
        </w:tc>
      </w:tr>
      <w:tr>
        <w:tc>
          <w:tcPr/>
          <w:p>
            <w:pPr>
              <w:pStyle w:val="Compact"/>
              <w:jc w:val="left"/>
            </w:pPr>
            <w:r>
              <w:t xml:space="preserve">v</w:t>
            </w:r>
            <w:r>
              <w:rPr>
                <w:vertAlign w:val="subscript"/>
              </w:rPr>
              <w:t xml:space="preserve">t</w:t>
            </w:r>
          </w:p>
        </w:tc>
        <w:tc>
          <w:tcPr/>
          <w:p>
            <w:pPr>
              <w:pStyle w:val="Compact"/>
              <w:jc w:val="left"/>
            </w:pPr>
            <w:r>
              <w:t xml:space="preserve">Verdict issued at step t</w:t>
            </w:r>
          </w:p>
        </w:tc>
      </w:tr>
      <w:tr>
        <w:tc>
          <w:tcPr/>
          <w:p>
            <w:pPr>
              <w:pStyle w:val="Compact"/>
              <w:jc w:val="left"/>
            </w:pPr>
            <w:r>
              <w:t xml:space="preserve">L(v, y, k)</w:t>
            </w:r>
          </w:p>
        </w:tc>
        <w:tc>
          <w:tcPr/>
          <w:p>
            <w:pPr>
              <w:pStyle w:val="Compact"/>
              <w:jc w:val="left"/>
            </w:pPr>
            <w:r>
              <w:t xml:space="preserve">Loss of verdict v when the label is y and the tier is k</w:t>
            </w:r>
          </w:p>
        </w:tc>
      </w:tr>
      <w:tr>
        <w:tc>
          <w:tcPr/>
          <w:p>
            <w:pPr>
              <w:pStyle w:val="Compact"/>
              <w:jc w:val="left"/>
            </w:pPr>
            <w:r>
              <w:t xml:space="preserve">C</w:t>
            </w:r>
            <w:r>
              <w:rPr>
                <w:vertAlign w:val="subscript"/>
              </w:rPr>
              <w:t xml:space="preserve">miss</w:t>
            </w:r>
            <w:r>
              <w:t xml:space="preserve">(k), C</w:t>
            </w:r>
            <w:r>
              <w:rPr>
                <w:vertAlign w:val="subscript"/>
              </w:rPr>
              <w:t xml:space="preserve">FA</w:t>
            </w:r>
            <w:r>
              <w:t xml:space="preserve">(k), C</w:t>
            </w:r>
            <w:r>
              <w:rPr>
                <w:vertAlign w:val="subscript"/>
              </w:rPr>
              <w:t xml:space="preserve">mod</w:t>
            </w:r>
            <w:r>
              <w:t xml:space="preserve">(k), C</w:t>
            </w:r>
            <w:r>
              <w:rPr>
                <w:vertAlign w:val="subscript"/>
              </w:rPr>
              <w:t xml:space="preserve">esc</w:t>
            </w:r>
          </w:p>
        </w:tc>
        <w:tc>
          <w:tcPr/>
          <w:p>
            <w:pPr>
              <w:pStyle w:val="Compact"/>
              <w:jc w:val="left"/>
            </w:pPr>
            <w:r>
              <w:t xml:space="preserve">Declared costs of a missed attack, a false intervention by Block, Modify on a legitimate action, and escalation</w:t>
            </w:r>
          </w:p>
        </w:tc>
      </w:tr>
      <w:tr>
        <w:tc>
          <w:tcPr/>
          <w:p>
            <w:pPr>
              <w:pStyle w:val="Compact"/>
              <w:jc w:val="left"/>
            </w:pPr>
            <w:r>
              <w:t xml:space="preserve">r</w:t>
            </w:r>
            <w:r>
              <w:rPr>
                <w:vertAlign w:val="subscript"/>
              </w:rPr>
              <w:t xml:space="preserve">mod</w:t>
            </w:r>
            <w:r>
              <w:t xml:space="preserve">(k)</w:t>
            </w:r>
          </w:p>
        </w:tc>
        <w:tc>
          <w:tcPr/>
          <w:p>
            <w:pPr>
              <w:pStyle w:val="Compact"/>
              <w:jc w:val="left"/>
            </w:pPr>
            <w:r>
              <w:t xml:space="preserve">Residual attack-success rate after Modify at tier k (measured)</w:t>
            </w:r>
          </w:p>
        </w:tc>
      </w:tr>
      <w:tr>
        <w:tc>
          <w:tcPr/>
          <w:p>
            <w:pPr>
              <w:pStyle w:val="Compact"/>
              <w:jc w:val="left"/>
            </w:pPr>
            <w:r>
              <w:t xml:space="preserve">R</w:t>
            </w:r>
            <w:r>
              <w:rPr>
                <w:vertAlign w:val="subscript"/>
              </w:rPr>
              <w:t xml:space="preserve">t</w:t>
            </w:r>
            <w:r>
              <w:t xml:space="preserve">(v)</w:t>
            </w:r>
          </w:p>
        </w:tc>
        <w:tc>
          <w:tcPr/>
          <w:p>
            <w:pPr>
              <w:pStyle w:val="Compact"/>
              <w:jc w:val="left"/>
            </w:pPr>
            <w:r>
              <w:t xml:space="preserve">Conditional risk of verdict v at step t</w:t>
            </w:r>
          </w:p>
        </w:tc>
      </w:tr>
      <w:tr>
        <w:tc>
          <w:tcPr/>
          <w:p>
            <w:pPr>
              <w:pStyle w:val="Compact"/>
              <w:jc w:val="left"/>
            </w:pPr>
            <w:r>
              <w:t xml:space="preserve">π</w:t>
            </w:r>
            <w:r>
              <w:rPr>
                <w:vertAlign w:val="subscript"/>
              </w:rPr>
              <w:t xml:space="preserve">v,v′</w:t>
            </w:r>
            <w:r>
              <w:t xml:space="preserve">(k), p</w:t>
            </w:r>
            <w:r>
              <w:rPr>
                <w:vertAlign w:val="superscript"/>
              </w:rPr>
              <w:t xml:space="preserve">*</w:t>
            </w:r>
            <w:r>
              <w:rPr>
                <w:vertAlign w:val="subscript"/>
              </w:rPr>
              <w:t xml:space="preserve">k</w:t>
            </w:r>
          </w:p>
        </w:tc>
        <w:tc>
          <w:tcPr/>
          <w:p>
            <w:pPr>
              <w:pStyle w:val="Compact"/>
              <w:jc w:val="left"/>
            </w:pPr>
            <w:r>
              <w:t xml:space="preserve">Indifference threshold between verdicts v and v′; Allow–Block threshold</w:t>
            </w:r>
          </w:p>
        </w:tc>
      </w:tr>
      <w:tr>
        <w:tc>
          <w:tcPr/>
          <w:p>
            <w:pPr>
              <w:pStyle w:val="Compact"/>
              <w:jc w:val="left"/>
            </w:pPr>
            <w:r>
              <w:t xml:space="preserve">σ(·)</w:t>
            </w:r>
          </w:p>
        </w:tc>
        <w:tc>
          <w:tcPr/>
          <w:p>
            <w:pPr>
              <w:pStyle w:val="Compact"/>
              <w:jc w:val="left"/>
            </w:pPr>
            <w:r>
              <w:t xml:space="preserve">Logistic function, σ(u) = 1 / (1 + exp(−u))</w:t>
            </w:r>
          </w:p>
        </w:tc>
      </w:tr>
      <w:tr>
        <w:tc>
          <w:tcPr/>
          <w:p>
            <w:pPr>
              <w:pStyle w:val="Compact"/>
              <w:jc w:val="left"/>
            </w:pPr>
            <w:r>
              <w:t xml:space="preserve">Π, k</w:t>
            </w:r>
            <w:r>
              <w:rPr>
                <w:vertAlign w:val="subscript"/>
              </w:rPr>
              <w:t xml:space="preserve">D2</w:t>
            </w:r>
          </w:p>
        </w:tc>
        <w:tc>
          <w:tcPr/>
          <w:p>
            <w:pPr>
              <w:pStyle w:val="Compact"/>
              <w:jc w:val="left"/>
            </w:pPr>
            <w:r>
              <w:t xml:space="preserve">Set of prohibited actions; minimum tier for predicate D2</w:t>
            </w:r>
          </w:p>
        </w:tc>
      </w:tr>
      <w:tr>
        <w:tc>
          <w:tcPr/>
          <w:p>
            <w:pPr>
              <w:pStyle w:val="Compact"/>
              <w:jc w:val="left"/>
            </w:pPr>
            <w:r>
              <w:t xml:space="preserve">θ(α), α</w:t>
            </w:r>
            <w:r>
              <w:rPr>
                <w:vertAlign w:val="subscript"/>
              </w:rPr>
              <w:t xml:space="preserve">blk</w:t>
            </w:r>
            <w:r>
              <w:t xml:space="preserve">, α</w:t>
            </w:r>
            <w:r>
              <w:rPr>
                <w:vertAlign w:val="subscript"/>
              </w:rPr>
              <w:t xml:space="preserve">mod</w:t>
            </w:r>
          </w:p>
        </w:tc>
        <w:tc>
          <w:tcPr/>
          <w:p>
            <w:pPr>
              <w:pStyle w:val="Compact"/>
              <w:jc w:val="left"/>
            </w:pPr>
            <w:r>
              <w:t xml:space="preserve">Baseline threshold for false-positive target α; targets for Block and Modify</w:t>
            </w:r>
          </w:p>
        </w:tc>
      </w:tr>
      <w:tr>
        <w:tc>
          <w:tcPr/>
          <w:p>
            <w:pPr>
              <w:pStyle w:val="Compact"/>
              <w:jc w:val="left"/>
            </w:pPr>
            <w:r>
              <w:t xml:space="preserve">𝒯</w:t>
            </w:r>
            <w:r>
              <w:rPr>
                <w:vertAlign w:val="subscript"/>
              </w:rPr>
              <w:t xml:space="preserve">R</w:t>
            </w:r>
          </w:p>
        </w:tc>
        <w:tc>
          <w:tcPr/>
          <w:p>
            <w:pPr>
              <w:pStyle w:val="Compact"/>
              <w:jc w:val="left"/>
            </w:pPr>
            <w:r>
              <w:t xml:space="preserve">Set of tools to which the Modify mechanism applies</w:t>
            </w:r>
          </w:p>
        </w:tc>
      </w:tr>
    </w:tbl>
    <w:p>
      <w:pPr>
        <w:pStyle w:val="BodyText"/>
      </w:pPr>
      <w:r>
        <w:t xml:space="preserve">Symbols used only in the optional sequential analysis are defined in Section 3.11.10. Symbols that appear in a single equation, such as Δ</w:t>
      </w:r>
      <w:r>
        <w:rPr>
          <w:vertAlign w:val="subscript"/>
        </w:rPr>
        <w:t xml:space="preserve">0</w:t>
      </w:r>
      <w:r>
        <w:t xml:space="preserve">, Δ</w:t>
      </w:r>
      <w:r>
        <w:rPr>
          <w:vertAlign w:val="subscript"/>
        </w:rPr>
        <w:t xml:space="preserve">1</w:t>
      </w:r>
      <w:r>
        <w:t xml:space="preserve">, B</w:t>
      </w:r>
      <w:r>
        <w:rPr>
          <w:vertAlign w:val="subscript"/>
        </w:rPr>
        <w:t xml:space="preserve">m</w:t>
      </w:r>
      <w:r>
        <w:t xml:space="preserve">, and the step sets D</w:t>
      </w:r>
      <w:r>
        <w:rPr>
          <w:vertAlign w:val="subscript"/>
        </w:rPr>
        <w:t xml:space="preserve">fit</w:t>
      </w:r>
      <w:r>
        <w:t xml:space="preserve">, D</w:t>
      </w:r>
      <w:r>
        <w:rPr>
          <w:vertAlign w:val="subscript"/>
        </w:rPr>
        <w:t xml:space="preserve">cal</w:t>
      </w:r>
      <w:r>
        <w:t xml:space="preserve">, and D</w:t>
      </w:r>
      <w:r>
        <w:rPr>
          <w:vertAlign w:val="subscript"/>
        </w:rPr>
        <w:t xml:space="preserve">val</w:t>
      </w:r>
      <w:r>
        <w:rPr>
          <w:vertAlign w:val="superscript"/>
        </w:rPr>
        <w:t xml:space="preserve">benign</w:t>
      </w:r>
      <w:r>
        <w:t xml:space="preserve">, are defined where they are used. Each symbol has one meaning throughout the chapter.</w:t>
      </w:r>
    </w:p>
    <w:bookmarkEnd w:id="105"/>
    <w:bookmarkEnd w:id="106"/>
    <w:bookmarkStart w:id="113" w:name="rem-architecture"/>
    <w:p>
      <w:pPr>
        <w:pStyle w:val="Heading2"/>
      </w:pPr>
      <w:r>
        <w:t xml:space="preserve">3.2 REM Architecture</w:t>
      </w:r>
    </w:p>
    <w:bookmarkStart w:id="107" w:name="five-layers"/>
    <w:p>
      <w:pPr>
        <w:pStyle w:val="Heading3"/>
      </w:pPr>
      <w:r>
        <w:t xml:space="preserve">3.2.1 Five layers</w:t>
      </w:r>
    </w:p>
    <w:p>
      <w:pPr>
        <w:pStyle w:val="FirstParagraph"/>
      </w:pPr>
      <w:r>
        <w:t xml:space="preserve">REM is a runtime mediation layer between one agent and its environment. It comprises exactly five layers, as approved in the research proposal:</w:t>
      </w:r>
    </w:p>
    <w:p>
      <w:pPr>
        <w:numPr>
          <w:ilvl w:val="0"/>
          <w:numId w:val="1111"/>
        </w:numPr>
        <w:pStyle w:val="Compact"/>
      </w:pPr>
      <w:r>
        <w:rPr>
          <w:bCs/>
          <w:b/>
        </w:rPr>
        <w:t xml:space="preserve">Input &amp; Context Layer.</w:t>
      </w:r>
      <w:r>
        <w:t xml:space="preserve"> </w:t>
      </w:r>
      <w:r>
        <w:t xml:space="preserve">Captures the information the agent handles and the action it proposes, and labels each context segment with its provenance.</w:t>
      </w:r>
    </w:p>
    <w:p>
      <w:pPr>
        <w:numPr>
          <w:ilvl w:val="0"/>
          <w:numId w:val="1111"/>
        </w:numPr>
        <w:pStyle w:val="Compact"/>
      </w:pPr>
      <w:r>
        <w:rPr>
          <w:bCs/>
          <w:b/>
        </w:rPr>
        <w:t xml:space="preserve">Detection Layer.</w:t>
      </w:r>
      <w:r>
        <w:t xml:space="preserve"> </w:t>
      </w:r>
      <w:r>
        <w:t xml:space="preserve">Computes evidence about untrusted context.</w:t>
      </w:r>
    </w:p>
    <w:p>
      <w:pPr>
        <w:numPr>
          <w:ilvl w:val="0"/>
          <w:numId w:val="1111"/>
        </w:numPr>
        <w:pStyle w:val="Compact"/>
      </w:pPr>
      <w:r>
        <w:rPr>
          <w:bCs/>
          <w:b/>
        </w:rPr>
        <w:t xml:space="preserve">Behavioral Analysis Layer.</w:t>
      </w:r>
      <w:r>
        <w:t xml:space="preserve"> </w:t>
      </w:r>
      <w:r>
        <w:t xml:space="preserve">Computes evidence about the episode history and the proposed action.</w:t>
      </w:r>
    </w:p>
    <w:p>
      <w:pPr>
        <w:numPr>
          <w:ilvl w:val="0"/>
          <w:numId w:val="1111"/>
        </w:numPr>
        <w:pStyle w:val="Compact"/>
      </w:pPr>
      <w:r>
        <w:rPr>
          <w:bCs/>
          <w:b/>
        </w:rPr>
        <w:t xml:space="preserve">Decision Engine Layer.</w:t>
      </w:r>
      <w:r>
        <w:t xml:space="preserve"> </w:t>
      </w:r>
      <w:r>
        <w:t xml:space="preserve">Estimates the probability that the proposed action is adversarially induced, assigns a consequence tier, applies policy predicates, selects a verdict, and writes the audit record.</w:t>
      </w:r>
    </w:p>
    <w:p>
      <w:pPr>
        <w:numPr>
          <w:ilvl w:val="0"/>
          <w:numId w:val="1111"/>
        </w:numPr>
        <w:pStyle w:val="Compact"/>
      </w:pPr>
      <w:r>
        <w:rPr>
          <w:bCs/>
          <w:b/>
        </w:rPr>
        <w:t xml:space="preserve">Mitigation Layer.</w:t>
      </w:r>
      <w:r>
        <w:t xml:space="preserve"> </w:t>
      </w:r>
      <w:r>
        <w:t xml:space="preserve">Executes the mechanism associated with the verdict.</w:t>
      </w:r>
    </w:p>
    <w:p>
      <w:pPr>
        <w:pStyle w:val="FirstParagraph"/>
      </w:pPr>
      <w:r>
        <w:t xml:space="preserve">Offline fitting and recalibration (Section 3.9) are cross-cutting activities performed between deployments. They are not a layer, are not numbered with the layers, and never change REM’s parameters during an episode.</w:t>
      </w:r>
    </w:p>
    <w:bookmarkEnd w:id="107"/>
    <w:bookmarkStart w:id="111" w:name="topology-and-information-flow"/>
    <w:p>
      <w:pPr>
        <w:pStyle w:val="Heading3"/>
      </w:pPr>
      <w:r>
        <w:t xml:space="preserve">3.2.2 Topology and information flow</w:t>
      </w:r>
    </w:p>
    <w:p>
      <w:pPr>
        <w:pStyle w:val="FirstParagraph"/>
      </w:pPr>
      <w:r>
        <w:t xml:space="preserve">At each step, REM executes Layer 1, then Layers 2 and 3 in parallel on Layer 1’s output, then Layer 4, then Layer 5, before the proposed action is released to the environment. The Detection and Behavioral Analysis Layers compute their evidence independently; they are combined only in the Decision Engine. This independence allows an evidence group to be removed in ablation without changing the computation of the other. After an action is released, its tool result re-enters Layer 1 as untrusted content for the next step.</w:t>
      </w:r>
    </w:p>
    <w:p>
      <w:pPr>
        <w:pStyle w:val="CaptionedFigure"/>
      </w:pPr>
      <w:r>
        <w:drawing>
          <wp:inline>
            <wp:extent cx="5334000" cy="2987040"/>
            <wp:effectExtent b="0" l="0" r="0" t="0"/>
            <wp:docPr descr="Figure 3.1. REM architecture as implemented. Five layers at the tool-execution boundary; offline fitting and recalibration are cross-cutting and never run within an episode; the audit record is written for every step and its attribution cannot reach the verdict." title="" id="109" name="Picture"/>
            <a:graphic>
              <a:graphicData uri="http://schemas.openxmlformats.org/drawingml/2006/picture">
                <pic:pic>
                  <pic:nvPicPr>
                    <pic:cNvPr descr="results/pilot_R2/figures/fig_architecture.png" id="110" name="Picture"/>
                    <pic:cNvPicPr>
                      <a:picLocks noChangeArrowheads="1" noChangeAspect="1"/>
                    </pic:cNvPicPr>
                  </pic:nvPicPr>
                  <pic:blipFill>
                    <a:blip r:embed="rId108"/>
                    <a:stretch>
                      <a:fillRect/>
                    </a:stretch>
                  </pic:blipFill>
                  <pic:spPr bwMode="auto">
                    <a:xfrm>
                      <a:off x="0" y="0"/>
                      <a:ext cx="5334000" cy="2987040"/>
                    </a:xfrm>
                    <a:prstGeom prst="rect">
                      <a:avLst/>
                    </a:prstGeom>
                    <a:noFill/>
                    <a:ln w="9525">
                      <a:noFill/>
                      <a:headEnd/>
                      <a:tailEnd/>
                    </a:ln>
                  </pic:spPr>
                </pic:pic>
              </a:graphicData>
            </a:graphic>
          </wp:inline>
        </w:drawing>
      </w:r>
    </w:p>
    <w:p>
      <w:pPr>
        <w:pStyle w:val="ImageCaption"/>
      </w:pPr>
      <w:r>
        <w:t xml:space="preserve">Figure 3.1. REM architecture as implemented. Five layers at the tool-execution boundary; offline fitting and recalibration are cross-cutting and never run within an episode; the audit record is written for every step and its attribution cannot reach the verdict.</w:t>
      </w:r>
    </w:p>
    <w:p>
      <w:pPr>
        <w:pStyle w:val="BodyText"/>
      </w:pPr>
      <w:r>
        <w:t xml:space="preserve">Figure 3.1 shows the runtime path from the proposed tool call through Layers 1–5 to the environment, the return of tool results as untrusted context, the append-only audit record, and the cross-cutting offline fitting. The human reviewer to whom Escalate refers is outside REM. In this thesis no reviewer is present, and escalations are resolved by the two bounds of Section 3.11.7.</w:t>
      </w:r>
    </w:p>
    <w:bookmarkEnd w:id="111"/>
    <w:bookmarkStart w:id="112" w:name="layer-interfaces"/>
    <w:p>
      <w:pPr>
        <w:pStyle w:val="Heading3"/>
      </w:pPr>
      <w:r>
        <w:t xml:space="preserve">3.2.3 Layer interfaces</w:t>
      </w:r>
    </w:p>
    <w:p>
      <w:pPr>
        <w:pStyle w:val="FirstParagraph"/>
      </w:pPr>
      <w:r>
        <w:rPr>
          <w:bCs/>
          <w:b/>
        </w:rPr>
        <w:t xml:space="preserve">Table 3.5. Layer interfaces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Consumes</w:t>
            </w:r>
          </w:p>
        </w:tc>
        <w:tc>
          <w:tcPr/>
          <w:p>
            <w:pPr>
              <w:pStyle w:val="Compact"/>
              <w:jc w:val="left"/>
            </w:pPr>
            <w:r>
              <w:t xml:space="preserve">Produces</w:t>
            </w:r>
          </w:p>
        </w:tc>
      </w:tr>
      <w:tr>
        <w:tc>
          <w:tcPr/>
          <w:p>
            <w:pPr>
              <w:pStyle w:val="Compact"/>
              <w:jc w:val="left"/>
            </w:pPr>
            <w:r>
              <w:t xml:space="preserve">L1 Input &amp; Context</w:t>
            </w:r>
          </w:p>
        </w:tc>
        <w:tc>
          <w:tcPr/>
          <w:p>
            <w:pPr>
              <w:pStyle w:val="Compact"/>
              <w:jc w:val="left"/>
            </w:pPr>
            <w:r>
              <w:t xml:space="preserve">Objective, system prompt, user messages, tool results, proposed action</w:t>
            </w:r>
          </w:p>
        </w:tc>
        <w:tc>
          <w:tcPr/>
          <w:p>
            <w:pPr>
              <w:pStyle w:val="Compact"/>
              <w:jc w:val="left"/>
            </w:pPr>
            <w:r>
              <w:t xml:space="preserve">Labeled context c</w:t>
            </w:r>
            <w:r>
              <w:rPr>
                <w:vertAlign w:val="subscript"/>
              </w:rPr>
              <w:t xml:space="preserve">t</w:t>
            </w:r>
            <w:r>
              <w:t xml:space="preserve">; entities with provenance; held action a</w:t>
            </w:r>
            <w:r>
              <w:rPr>
                <w:vertAlign w:val="subscript"/>
              </w:rPr>
              <w:t xml:space="preserve">t</w:t>
            </w:r>
          </w:p>
        </w:tc>
      </w:tr>
      <w:tr>
        <w:tc>
          <w:tcPr/>
          <w:p>
            <w:pPr>
              <w:pStyle w:val="Compact"/>
              <w:jc w:val="left"/>
            </w:pPr>
            <w:r>
              <w:t xml:space="preserve">L2 Detection</w:t>
            </w:r>
          </w:p>
        </w:tc>
        <w:tc>
          <w:tcPr/>
          <w:p>
            <w:pPr>
              <w:pStyle w:val="Compact"/>
              <w:jc w:val="left"/>
            </w:pPr>
            <w:r>
              <w:t xml:space="preserve">Untrusted segments of c</w:t>
            </w:r>
            <w:r>
              <w:rPr>
                <w:vertAlign w:val="subscript"/>
              </w:rPr>
              <w:t xml:space="preserve">t</w:t>
            </w:r>
          </w:p>
        </w:tc>
        <w:tc>
          <w:tcPr/>
          <w:p>
            <w:pPr>
              <w:pStyle w:val="Compact"/>
              <w:jc w:val="left"/>
            </w:pPr>
            <w:r>
              <w:t xml:space="preserve">Context evidence x</w:t>
            </w:r>
            <w:r>
              <w:rPr>
                <w:vertAlign w:val="superscript"/>
              </w:rPr>
              <w:t xml:space="preserve">ctx</w:t>
            </w:r>
          </w:p>
        </w:tc>
      </w:tr>
      <w:tr>
        <w:tc>
          <w:tcPr/>
          <w:p>
            <w:pPr>
              <w:pStyle w:val="Compact"/>
              <w:jc w:val="left"/>
            </w:pPr>
            <w:r>
              <w:t xml:space="preserve">L3 Behavioral Analysis</w:t>
            </w:r>
          </w:p>
        </w:tc>
        <w:tc>
          <w:tcPr/>
          <w:p>
            <w:pPr>
              <w:pStyle w:val="Compact"/>
              <w:jc w:val="left"/>
            </w:pPr>
            <w:r>
              <w:t xml:space="preserve">H</w:t>
            </w:r>
            <w:r>
              <w:rPr>
                <w:vertAlign w:val="subscript"/>
              </w:rPr>
              <w:t xml:space="preserve">t</w:t>
            </w:r>
            <w:r>
              <w:t xml:space="preserve">, a</w:t>
            </w:r>
            <w:r>
              <w:rPr>
                <w:vertAlign w:val="subscript"/>
              </w:rPr>
              <w:t xml:space="preserve">t</w:t>
            </w:r>
            <w:r>
              <w:t xml:space="preserve">, entities, benign reference transitions, privilege map</w:t>
            </w:r>
          </w:p>
        </w:tc>
        <w:tc>
          <w:tcPr/>
          <w:p>
            <w:pPr>
              <w:pStyle w:val="Compact"/>
              <w:jc w:val="left"/>
            </w:pPr>
            <w:r>
              <w:t xml:space="preserve">Behavioral evidence x</w:t>
            </w:r>
            <w:r>
              <w:rPr>
                <w:vertAlign w:val="superscript"/>
              </w:rPr>
              <w:t xml:space="preserve">beh</w:t>
            </w:r>
            <w:r>
              <w:t xml:space="preserve">; action evidence x</w:t>
            </w:r>
            <w:r>
              <w:rPr>
                <w:vertAlign w:val="superscript"/>
              </w:rPr>
              <w:t xml:space="preserve">act</w:t>
            </w:r>
          </w:p>
        </w:tc>
      </w:tr>
      <w:tr>
        <w:tc>
          <w:tcPr/>
          <w:p>
            <w:pPr>
              <w:pStyle w:val="Compact"/>
              <w:jc w:val="left"/>
            </w:pPr>
            <w:r>
              <w:t xml:space="preserve">L4 Decision Engine</w:t>
            </w:r>
          </w:p>
        </w:tc>
        <w:tc>
          <w:tcPr/>
          <w:p>
            <w:pPr>
              <w:pStyle w:val="Compact"/>
              <w:jc w:val="left"/>
            </w:pPr>
            <w:r>
              <w:t xml:space="preserve">x</w:t>
            </w:r>
            <w:r>
              <w:rPr>
                <w:vertAlign w:val="subscript"/>
              </w:rPr>
              <w:t xml:space="preserve">t</w:t>
            </w:r>
            <w:r>
              <w:t xml:space="preserve">, consequence descriptors z</w:t>
            </w:r>
            <w:r>
              <w:rPr>
                <w:vertAlign w:val="subscript"/>
              </w:rPr>
              <w:t xml:space="preserve">t</w:t>
            </w:r>
            <w:r>
              <w:t xml:space="preserve">, frozen parameters, declared policy</w:t>
            </w:r>
          </w:p>
        </w:tc>
        <w:tc>
          <w:tcPr/>
          <w:p>
            <w:pPr>
              <w:pStyle w:val="Compact"/>
              <w:jc w:val="left"/>
            </w:pPr>
            <w:r>
              <w:t xml:space="preserve">p</w:t>
            </w:r>
            <w:r>
              <w:rPr>
                <w:vertAlign w:val="subscript"/>
              </w:rPr>
              <w:t xml:space="preserve">t</w:t>
            </w:r>
            <w:r>
              <w:t xml:space="preserve">, k</w:t>
            </w:r>
            <w:r>
              <w:rPr>
                <w:vertAlign w:val="subscript"/>
              </w:rPr>
              <w:t xml:space="preserve">t</w:t>
            </w:r>
            <w:r>
              <w:t xml:space="preserve">, R</w:t>
            </w:r>
            <w:r>
              <w:rPr>
                <w:vertAlign w:val="subscript"/>
              </w:rPr>
              <w:t xml:space="preserve">t</w:t>
            </w:r>
            <w:r>
              <w:t xml:space="preserve">(·), verdict v</w:t>
            </w:r>
            <w:r>
              <w:rPr>
                <w:vertAlign w:val="subscript"/>
              </w:rPr>
              <w:t xml:space="preserve">t</w:t>
            </w:r>
            <w:r>
              <w:t xml:space="preserve">, audit record</w:t>
            </w:r>
          </w:p>
        </w:tc>
      </w:tr>
      <w:tr>
        <w:tc>
          <w:tcPr/>
          <w:p>
            <w:pPr>
              <w:pStyle w:val="Compact"/>
              <w:jc w:val="left"/>
            </w:pPr>
            <w:r>
              <w:t xml:space="preserve">L5 Mitigation</w:t>
            </w:r>
          </w:p>
        </w:tc>
        <w:tc>
          <w:tcPr/>
          <w:p>
            <w:pPr>
              <w:pStyle w:val="Compact"/>
              <w:jc w:val="left"/>
            </w:pPr>
            <w:r>
              <w:t xml:space="preserve">v</w:t>
            </w:r>
            <w:r>
              <w:rPr>
                <w:vertAlign w:val="subscript"/>
              </w:rPr>
              <w:t xml:space="preserve">t</w:t>
            </w:r>
            <w:r>
              <w:t xml:space="preserve">, a</w:t>
            </w:r>
            <w:r>
              <w:rPr>
                <w:vertAlign w:val="subscript"/>
              </w:rPr>
              <w:t xml:space="preserve">t</w:t>
            </w:r>
            <w:r>
              <w:t xml:space="preserve">, episode restrictions</w:t>
            </w:r>
          </w:p>
        </w:tc>
        <w:tc>
          <w:tcPr/>
          <w:p>
            <w:pPr>
              <w:pStyle w:val="Compact"/>
              <w:jc w:val="left"/>
            </w:pPr>
            <w:r>
              <w:t xml:space="preserve">Released, restricted, withheld, or refused action</w:t>
            </w:r>
          </w:p>
        </w:tc>
      </w:tr>
    </w:tbl>
    <w:p>
      <w:pPr>
        <w:pStyle w:val="BodyText"/>
      </w:pPr>
      <w:r>
        <w:t xml:space="preserve">The four functions are separated architecturally. Layers 2 and 3 produce evidence and issue no verdicts. Layer 4 performs probability estimation and decision. Layer 5 performs mitigation.</w:t>
      </w:r>
    </w:p>
    <w:bookmarkEnd w:id="112"/>
    <w:bookmarkEnd w:id="113"/>
    <w:bookmarkStart w:id="121" w:name="Xf9cbc052a004adeaa49aadcb1c8037458c7835a"/>
    <w:p>
      <w:pPr>
        <w:pStyle w:val="Heading2"/>
      </w:pPr>
      <w:r>
        <w:t xml:space="preserve">3.3 Threat Model and Financial Action Boundary</w:t>
      </w:r>
    </w:p>
    <w:bookmarkStart w:id="114" w:name="protected-system"/>
    <w:p>
      <w:pPr>
        <w:pStyle w:val="Heading3"/>
      </w:pPr>
      <w:r>
        <w:t xml:space="preserve">3.3.1 Protected system</w:t>
      </w:r>
    </w:p>
    <w:p>
      <w:pPr>
        <w:pStyle w:val="FirstParagraph"/>
      </w:pPr>
      <w:r>
        <w:t xml:space="preserve">The protected system is a single LLM-based agent that pursues a user objective by proposing tool calls. REM treats the agent as opaque: it observes inputs, context, proposed actions, and tool results, but not model parameters or internal reasoning (AS-10). The evaluation instance is an agent operating the AgentDojo banking environment (Debenedetti et al., 2024), described in Section 3.11.2.</w:t>
      </w:r>
    </w:p>
    <w:bookmarkEnd w:id="114"/>
    <w:bookmarkStart w:id="115" w:name="episodes-and-steps"/>
    <w:p>
      <w:pPr>
        <w:pStyle w:val="Heading3"/>
      </w:pPr>
      <w:r>
        <w:t xml:space="preserve">3.3.2 Episodes and steps</w:t>
      </w:r>
    </w:p>
    <w:p>
      <w:pPr>
        <w:pStyle w:val="FirstParagraph"/>
      </w:pPr>
      <w:r>
        <w:t xml:space="preserve">An episode is one execution of the agent on one user objective g. It is a finite sequence of steps t = 1, …, T, where step t is the interval in which the agent proposes action a</w:t>
      </w:r>
      <w:r>
        <w:rPr>
          <w:vertAlign w:val="subscript"/>
        </w:rPr>
        <w:t xml:space="preserve">t</w:t>
      </w:r>
      <w:r>
        <w:t xml:space="preserve">. At step t, REM observes g, the labeled context c</w:t>
      </w:r>
      <w:r>
        <w:rPr>
          <w:vertAlign w:val="subscript"/>
        </w:rPr>
        <w:t xml:space="preserve">t</w:t>
      </w:r>
      <w:r>
        <w:t xml:space="preserve">, the proposed action a</w:t>
      </w:r>
      <w:r>
        <w:rPr>
          <w:vertAlign w:val="subscript"/>
        </w:rPr>
        <w:t xml:space="preserve">t</w:t>
      </w:r>
      <w:r>
        <w:t xml:space="preserve">, and the history H</w:t>
      </w:r>
      <w:r>
        <w:rPr>
          <w:vertAlign w:val="subscript"/>
        </w:rPr>
        <w:t xml:space="preserve">t</w:t>
      </w:r>
      <w:r>
        <w:t xml:space="preserve"> </w:t>
      </w:r>
      <w:r>
        <w:t xml:space="preserve">of prior contexts, actions, verdicts, and tool results.</w:t>
      </w:r>
    </w:p>
    <w:bookmarkEnd w:id="115"/>
    <w:bookmarkStart w:id="116" w:name="trust-boundaries-and-untrusted-content"/>
    <w:p>
      <w:pPr>
        <w:pStyle w:val="Heading3"/>
      </w:pPr>
      <w:r>
        <w:t xml:space="preserve">3.3.3 Trust boundaries and untrusted content</w:t>
      </w:r>
    </w:p>
    <w:p>
      <w:pPr>
        <w:pStyle w:val="FirstParagraph"/>
      </w:pPr>
      <w:r>
        <w:rPr>
          <w:bCs/>
          <w:b/>
        </w:rPr>
        <w:t xml:space="preserve">Table 3.6. Trust boundaries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Boundary</w:t>
            </w:r>
          </w:p>
        </w:tc>
        <w:tc>
          <w:tcPr/>
          <w:p>
            <w:pPr>
              <w:pStyle w:val="Compact"/>
              <w:jc w:val="left"/>
            </w:pPr>
            <w:r>
              <w:t xml:space="preserve">Direction</w:t>
            </w:r>
          </w:p>
        </w:tc>
        <w:tc>
          <w:tcPr/>
          <w:p>
            <w:pPr>
              <w:pStyle w:val="Compact"/>
              <w:jc w:val="left"/>
            </w:pPr>
            <w:r>
              <w:t xml:space="preserve">Treatment in REM</w:t>
            </w:r>
          </w:p>
        </w:tc>
      </w:tr>
      <w:tr>
        <w:tc>
          <w:tcPr/>
          <w:p>
            <w:pPr>
              <w:pStyle w:val="Compact"/>
              <w:jc w:val="left"/>
            </w:pPr>
            <w:r>
              <w:t xml:space="preserve">TB-1</w:t>
            </w:r>
          </w:p>
        </w:tc>
        <w:tc>
          <w:tcPr/>
          <w:p>
            <w:pPr>
              <w:pStyle w:val="Compact"/>
              <w:jc w:val="left"/>
            </w:pPr>
            <w:r>
              <w:t xml:space="preserve">User input</w:t>
            </w:r>
          </w:p>
        </w:tc>
        <w:tc>
          <w:tcPr/>
          <w:p>
            <w:pPr>
              <w:pStyle w:val="Compact"/>
              <w:jc w:val="left"/>
            </w:pPr>
            <w:r>
              <w:t xml:space="preserve">User → agent context</w:t>
            </w:r>
          </w:p>
        </w:tc>
        <w:tc>
          <w:tcPr/>
          <w:p>
            <w:pPr>
              <w:pStyle w:val="Compact"/>
              <w:jc w:val="left"/>
            </w:pPr>
            <w:r>
              <w:t xml:space="preserve">Labeled semi-trusted</w:t>
            </w:r>
          </w:p>
        </w:tc>
      </w:tr>
      <w:tr>
        <w:tc>
          <w:tcPr/>
          <w:p>
            <w:pPr>
              <w:pStyle w:val="Compact"/>
              <w:jc w:val="left"/>
            </w:pPr>
            <w:r>
              <w:t xml:space="preserve">TB-2</w:t>
            </w:r>
          </w:p>
        </w:tc>
        <w:tc>
          <w:tcPr/>
          <w:p>
            <w:pPr>
              <w:pStyle w:val="Compact"/>
              <w:jc w:val="left"/>
            </w:pPr>
            <w:r>
              <w:t xml:space="preserve">Observation</w:t>
            </w:r>
          </w:p>
        </w:tc>
        <w:tc>
          <w:tcPr/>
          <w:p>
            <w:pPr>
              <w:pStyle w:val="Compact"/>
              <w:jc w:val="left"/>
            </w:pPr>
            <w:r>
              <w:t xml:space="preserve">Tool outputs and retrieved content → agent context</w:t>
            </w:r>
          </w:p>
        </w:tc>
        <w:tc>
          <w:tcPr/>
          <w:p>
            <w:pPr>
              <w:pStyle w:val="Compact"/>
              <w:jc w:val="left"/>
            </w:pPr>
            <w:r>
              <w:t xml:space="preserve">Labeled untrusted; primary observation point</w:t>
            </w:r>
          </w:p>
        </w:tc>
      </w:tr>
      <w:tr>
        <w:tc>
          <w:tcPr/>
          <w:p>
            <w:pPr>
              <w:pStyle w:val="Compact"/>
              <w:jc w:val="left"/>
            </w:pPr>
            <w:r>
              <w:t xml:space="preserve">TB-3</w:t>
            </w:r>
          </w:p>
        </w:tc>
        <w:tc>
          <w:tcPr/>
          <w:p>
            <w:pPr>
              <w:pStyle w:val="Compact"/>
              <w:jc w:val="left"/>
            </w:pPr>
            <w:r>
              <w:t xml:space="preserve">Action</w:t>
            </w:r>
          </w:p>
        </w:tc>
        <w:tc>
          <w:tcPr/>
          <w:p>
            <w:pPr>
              <w:pStyle w:val="Compact"/>
              <w:jc w:val="left"/>
            </w:pPr>
            <w:r>
              <w:t xml:space="preserve">Agent → tools and external systems</w:t>
            </w:r>
          </w:p>
        </w:tc>
        <w:tc>
          <w:tcPr/>
          <w:p>
            <w:pPr>
              <w:pStyle w:val="Compact"/>
              <w:jc w:val="left"/>
            </w:pPr>
            <w:r>
              <w:t xml:space="preserve">Primary enforcement point</w:t>
            </w:r>
          </w:p>
        </w:tc>
      </w:tr>
      <w:tr>
        <w:tc>
          <w:tcPr/>
          <w:p>
            <w:pPr>
              <w:pStyle w:val="Compact"/>
              <w:jc w:val="left"/>
            </w:pPr>
            <w:r>
              <w:t xml:space="preserve">TB-4</w:t>
            </w:r>
          </w:p>
        </w:tc>
        <w:tc>
          <w:tcPr/>
          <w:p>
            <w:pPr>
              <w:pStyle w:val="Compact"/>
              <w:jc w:val="left"/>
            </w:pPr>
            <w:r>
              <w:t xml:space="preserve">Memory</w:t>
            </w:r>
          </w:p>
        </w:tc>
        <w:tc>
          <w:tcPr/>
          <w:p>
            <w:pPr>
              <w:pStyle w:val="Compact"/>
              <w:jc w:val="left"/>
            </w:pPr>
            <w:r>
              <w:t xml:space="preserve">Context ↔ persistent store</w:t>
            </w:r>
          </w:p>
        </w:tc>
        <w:tc>
          <w:tcPr/>
          <w:p>
            <w:pPr>
              <w:pStyle w:val="Compact"/>
              <w:jc w:val="left"/>
            </w:pPr>
            <w:r>
              <w:t xml:space="preserve">Provenance retained on read and write (design scope only)</w:t>
            </w:r>
          </w:p>
        </w:tc>
      </w:tr>
    </w:tbl>
    <w:p>
      <w:pPr>
        <w:pStyle w:val="BodyText"/>
      </w:pPr>
      <w:r>
        <w:rPr>
          <w:bCs/>
          <w:b/>
        </w:rPr>
        <w:t xml:space="preserve">Untrusted content</w:t>
      </w:r>
      <w:r>
        <w:t xml:space="preserve"> </w:t>
      </w:r>
      <w:r>
        <w:t xml:space="preserve">is any context segment that entered through TB-2 or TB-4, or that was derived from such a segment. The observation boundary matters because content arriving there enters after the user’s request, which is the route exploited by indirect prompt injection (Greshake et al., 2023; OWASP Gen AI Security Project, 2025). The action boundary matters because it is the last point at which an induced action can be prevented rather than repaired.</w:t>
      </w:r>
    </w:p>
    <w:bookmarkEnd w:id="116"/>
    <w:bookmarkStart w:id="117" w:name="adversary-model"/>
    <w:p>
      <w:pPr>
        <w:pStyle w:val="Heading3"/>
      </w:pPr>
      <w:r>
        <w:t xml:space="preserve">3.3.4 Adversary model</w:t>
      </w:r>
    </w:p>
    <w:p>
      <w:pPr>
        <w:numPr>
          <w:ilvl w:val="0"/>
          <w:numId w:val="1112"/>
        </w:numPr>
        <w:pStyle w:val="Compact"/>
      </w:pPr>
      <w:r>
        <w:rPr>
          <w:bCs/>
          <w:b/>
        </w:rPr>
        <w:t xml:space="preserve">AD-1, content-control adversary (primary, evaluated).</w:t>
      </w:r>
    </w:p>
    <w:p>
      <w:pPr>
        <w:numPr>
          <w:ilvl w:val="1"/>
          <w:numId w:val="1113"/>
        </w:numPr>
        <w:pStyle w:val="Compact"/>
      </w:pPr>
      <w:r>
        <w:rPr>
          <w:iCs/>
          <w:i/>
        </w:rPr>
        <w:t xml:space="preserve">Can:</w:t>
      </w:r>
      <w:r>
        <w:t xml:space="preserve"> </w:t>
      </w:r>
      <w:r>
        <w:t xml:space="preserve">author or modify content that the agent receives through tool outputs, including instruction-like text and values such as account identifiers.</w:t>
      </w:r>
    </w:p>
    <w:p>
      <w:pPr>
        <w:numPr>
          <w:ilvl w:val="1"/>
          <w:numId w:val="1113"/>
        </w:numPr>
        <w:pStyle w:val="Compact"/>
      </w:pPr>
      <w:r>
        <w:rPr>
          <w:iCs/>
          <w:i/>
        </w:rPr>
        <w:t xml:space="preserve">Cannot:</w:t>
      </w:r>
      <w:r>
        <w:t xml:space="preserve"> </w:t>
      </w:r>
      <w:r>
        <w:t xml:space="preserve">access the user channel, observe or modify REM’s parameters, or modify agent or REM code.</w:t>
      </w:r>
    </w:p>
    <w:p>
      <w:pPr>
        <w:numPr>
          <w:ilvl w:val="0"/>
          <w:numId w:val="1112"/>
        </w:numPr>
        <w:pStyle w:val="Compact"/>
      </w:pPr>
      <w:r>
        <w:rPr>
          <w:bCs/>
          <w:b/>
        </w:rPr>
        <w:t xml:space="preserve">AD-2, prompt-channel adversary (design scope only).</w:t>
      </w:r>
      <w:r>
        <w:t xml:space="preserve"> </w:t>
      </w:r>
      <w:r>
        <w:t xml:space="preserve">Can submit crafted input through a compromised user channel. The evaluated banking attacks do not exercise this channel.</w:t>
      </w:r>
    </w:p>
    <w:p>
      <w:pPr>
        <w:pStyle w:val="FirstParagraph"/>
      </w:pPr>
      <w:r>
        <w:rPr>
          <w:bCs/>
          <w:b/>
        </w:rPr>
        <w:t xml:space="preserve">Excluded:</w:t>
      </w:r>
    </w:p>
    <w:p>
      <w:pPr>
        <w:numPr>
          <w:ilvl w:val="0"/>
          <w:numId w:val="1114"/>
        </w:numPr>
        <w:pStyle w:val="Compact"/>
      </w:pPr>
      <w:r>
        <w:t xml:space="preserve">adversaries who modify model weights, agent code, or REM;</w:t>
      </w:r>
    </w:p>
    <w:p>
      <w:pPr>
        <w:numPr>
          <w:ilvl w:val="0"/>
          <w:numId w:val="1114"/>
        </w:numPr>
        <w:pStyle w:val="Compact"/>
      </w:pPr>
      <w:r>
        <w:t xml:space="preserve">infrastructure compromise;</w:t>
      </w:r>
    </w:p>
    <w:p>
      <w:pPr>
        <w:numPr>
          <w:ilvl w:val="0"/>
          <w:numId w:val="1114"/>
        </w:numPr>
        <w:pStyle w:val="Compact"/>
      </w:pPr>
      <w:r>
        <w:t xml:space="preserve">a malicious operator;</w:t>
      </w:r>
    </w:p>
    <w:p>
      <w:pPr>
        <w:numPr>
          <w:ilvl w:val="0"/>
          <w:numId w:val="1114"/>
        </w:numPr>
        <w:pStyle w:val="Compact"/>
      </w:pPr>
      <w:r>
        <w:t xml:space="preserve">adaptive adversaries (AS-6).</w:t>
      </w:r>
    </w:p>
    <w:bookmarkEnd w:id="117"/>
    <w:bookmarkStart w:id="118" w:name="X0a1b2fd52e4b7f8b7a479fd94cc1ddc2410ef78"/>
    <w:p>
      <w:pPr>
        <w:pStyle w:val="Heading3"/>
      </w:pPr>
      <w:r>
        <w:t xml:space="preserve">3.3.5 Indirect injection and adversarially induced actions</w:t>
      </w:r>
    </w:p>
    <w:p>
      <w:pPr>
        <w:pStyle w:val="FirstParagraph"/>
      </w:pPr>
      <w:r>
        <w:t xml:space="preserve">Indirect prompt injection occurs when content from an external source, processed by the agent, alters its behavior (OWASP Gen AI Security Project, 2025). REM’s target event is narrower and defined at the action level.</w:t>
      </w:r>
    </w:p>
    <w:p>
      <w:pPr>
        <w:pStyle w:val="BodyText"/>
      </w:pPr>
      <w:r>
        <w:t xml:space="preserve">A proposed action a</w:t>
      </w:r>
      <w:r>
        <w:rPr>
          <w:vertAlign w:val="subscript"/>
        </w:rPr>
        <w:t xml:space="preserve">t</w:t>
      </w:r>
      <w:r>
        <w:t xml:space="preserve"> </w:t>
      </w:r>
      <w:r>
        <w:t xml:space="preserve">is</w:t>
      </w:r>
      <w:r>
        <w:t xml:space="preserve"> </w:t>
      </w:r>
      <w:r>
        <w:rPr>
          <w:bCs/>
          <w:b/>
        </w:rPr>
        <w:t xml:space="preserve">adversarially induced</w:t>
      </w:r>
      <w:r>
        <w:t xml:space="preserve"> </w:t>
      </w:r>
      <w:r>
        <w:t xml:space="preserve">(y</w:t>
      </w:r>
      <w:r>
        <w:rPr>
          <w:vertAlign w:val="subscript"/>
        </w:rPr>
        <w:t xml:space="preserve">t</w:t>
      </w:r>
      <w:r>
        <w:t xml:space="preserve"> </w:t>
      </w:r>
      <w:r>
        <w:t xml:space="preserve">= 1) if executing it would advance an objective introduced by the adversary rather than the user objective g. The label is not observable at runtime. Actions that are unsafe because of the agent’s own error without adversarial involvement are outside this definition. The operational derivation of y</w:t>
      </w:r>
      <w:r>
        <w:rPr>
          <w:vertAlign w:val="subscript"/>
        </w:rPr>
        <w:t xml:space="preserve">t</w:t>
      </w:r>
      <w:r>
        <w:t xml:space="preserve"> </w:t>
      </w:r>
      <w:r>
        <w:t xml:space="preserve">for evaluation data is given in Section 3.11.3.</w:t>
      </w:r>
    </w:p>
    <w:bookmarkEnd w:id="118"/>
    <w:bookmarkStart w:id="119" w:name="sensitive-financial-actions"/>
    <w:p>
      <w:pPr>
        <w:pStyle w:val="Heading3"/>
      </w:pPr>
      <w:r>
        <w:t xml:space="preserve">3.3.6 Sensitive financial actions</w:t>
      </w:r>
    </w:p>
    <w:p>
      <w:pPr>
        <w:pStyle w:val="FirstParagraph"/>
      </w:pPr>
      <w:r>
        <w:t xml:space="preserve">Table 3.7 groups the tools of the evaluated banking environment by the consequence of an adversarially induced call. The tool names are those registered in the AgentDojo banking suite inspected for this chapter (Section 3.11.2). The grouping is a design classification, not a property reported by the benchmark.</w:t>
      </w:r>
    </w:p>
    <w:p>
      <w:pPr>
        <w:pStyle w:val="BodyText"/>
      </w:pPr>
      <w:r>
        <w:rPr>
          <w:bCs/>
          <w:b/>
        </w:rPr>
        <w:t xml:space="preserve">Table 3.7. Action categories in the banking environment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Tools</w:t>
            </w:r>
          </w:p>
        </w:tc>
        <w:tc>
          <w:tcPr/>
          <w:p>
            <w:pPr>
              <w:pStyle w:val="Compact"/>
              <w:jc w:val="left"/>
            </w:pPr>
            <w:r>
              <w:t xml:space="preserve">Consequence if adversarially induced</w:t>
            </w:r>
          </w:p>
        </w:tc>
      </w:tr>
      <w:tr>
        <w:tc>
          <w:tcPr/>
          <w:p>
            <w:pPr>
              <w:pStyle w:val="Compact"/>
              <w:jc w:val="left"/>
            </w:pPr>
            <w:r>
              <w:t xml:space="preserve">Read</w:t>
            </w:r>
          </w:p>
        </w:tc>
        <w:tc>
          <w:tcPr/>
          <w:p>
            <w:pPr>
              <w:pStyle w:val="Compact"/>
              <w:jc w:val="left"/>
            </w:pPr>
            <w:r>
              <w:t xml:space="preserve">get_balance, get_iban, get_most_recent_transactions, get_scheduled_transactions, get_user_info, read_file</w:t>
            </w:r>
          </w:p>
        </w:tc>
        <w:tc>
          <w:tcPr/>
          <w:p>
            <w:pPr>
              <w:pStyle w:val="Compact"/>
              <w:jc w:val="left"/>
            </w:pPr>
            <w:r>
              <w:t xml:space="preserve">No direct external effect; may expose data later sent elsewhere</w:t>
            </w:r>
          </w:p>
        </w:tc>
      </w:tr>
      <w:tr>
        <w:tc>
          <w:tcPr/>
          <w:p>
            <w:pPr>
              <w:pStyle w:val="Compact"/>
              <w:jc w:val="left"/>
            </w:pPr>
            <w:r>
              <w:t xml:space="preserve">Value transfer</w:t>
            </w:r>
          </w:p>
        </w:tc>
        <w:tc>
          <w:tcPr/>
          <w:p>
            <w:pPr>
              <w:pStyle w:val="Compact"/>
              <w:jc w:val="left"/>
            </w:pPr>
            <w:r>
              <w:t xml:space="preserve">send_money, schedule_transaction</w:t>
            </w:r>
          </w:p>
        </w:tc>
        <w:tc>
          <w:tcPr/>
          <w:p>
            <w:pPr>
              <w:pStyle w:val="Compact"/>
              <w:jc w:val="left"/>
            </w:pPr>
            <w:r>
              <w:t xml:space="preserve">Money sent to an attacker-controlled account</w:t>
            </w:r>
          </w:p>
        </w:tc>
      </w:tr>
      <w:tr>
        <w:tc>
          <w:tcPr/>
          <w:p>
            <w:pPr>
              <w:pStyle w:val="Compact"/>
              <w:jc w:val="left"/>
            </w:pPr>
            <w:r>
              <w:t xml:space="preserve">Payment modification</w:t>
            </w:r>
          </w:p>
        </w:tc>
        <w:tc>
          <w:tcPr/>
          <w:p>
            <w:pPr>
              <w:pStyle w:val="Compact"/>
              <w:jc w:val="left"/>
            </w:pPr>
            <w:r>
              <w:t xml:space="preserve">update_scheduled_transaction</w:t>
            </w:r>
          </w:p>
        </w:tc>
        <w:tc>
          <w:tcPr/>
          <w:p>
            <w:pPr>
              <w:pStyle w:val="Compact"/>
              <w:jc w:val="left"/>
            </w:pPr>
            <w:r>
              <w:t xml:space="preserve">Redirection or alteration of a recurring payment</w:t>
            </w:r>
          </w:p>
        </w:tc>
      </w:tr>
      <w:tr>
        <w:tc>
          <w:tcPr/>
          <w:p>
            <w:pPr>
              <w:pStyle w:val="Compact"/>
              <w:jc w:val="left"/>
            </w:pPr>
            <w:r>
              <w:t xml:space="preserve">Credential change</w:t>
            </w:r>
          </w:p>
        </w:tc>
        <w:tc>
          <w:tcPr/>
          <w:p>
            <w:pPr>
              <w:pStyle w:val="Compact"/>
              <w:jc w:val="left"/>
            </w:pPr>
            <w:r>
              <w:t xml:space="preserve">update_password</w:t>
            </w:r>
          </w:p>
        </w:tc>
        <w:tc>
          <w:tcPr/>
          <w:p>
            <w:pPr>
              <w:pStyle w:val="Compact"/>
              <w:jc w:val="left"/>
            </w:pPr>
            <w:r>
              <w:t xml:space="preserve">Loss of control over the account</w:t>
            </w:r>
          </w:p>
        </w:tc>
      </w:tr>
      <w:tr>
        <w:tc>
          <w:tcPr/>
          <w:p>
            <w:pPr>
              <w:pStyle w:val="Compact"/>
              <w:jc w:val="left"/>
            </w:pPr>
            <w:r>
              <w:t xml:space="preserve">Profile change</w:t>
            </w:r>
          </w:p>
        </w:tc>
        <w:tc>
          <w:tcPr/>
          <w:p>
            <w:pPr>
              <w:pStyle w:val="Compact"/>
              <w:jc w:val="left"/>
            </w:pPr>
            <w:r>
              <w:t xml:space="preserve">update_user_info</w:t>
            </w:r>
          </w:p>
        </w:tc>
        <w:tc>
          <w:tcPr/>
          <w:p>
            <w:pPr>
              <w:pStyle w:val="Compact"/>
              <w:jc w:val="left"/>
            </w:pPr>
            <w:r>
              <w:t xml:space="preserve">Alteration of account holder information</w:t>
            </w:r>
          </w:p>
        </w:tc>
      </w:tr>
    </w:tbl>
    <w:bookmarkEnd w:id="119"/>
    <w:bookmarkStart w:id="120" w:name="security-objectives"/>
    <w:p>
      <w:pPr>
        <w:pStyle w:val="Heading3"/>
      </w:pPr>
      <w:r>
        <w:t xml:space="preserve">3.3.7 Security objectives</w:t>
      </w:r>
    </w:p>
    <w:p>
      <w:pPr>
        <w:pStyle w:val="FirstParagraph"/>
      </w:pPr>
      <w:r>
        <w:t xml:space="preserve">The threat model above states what an adversary can do; the objectives below state what REM must therefore do about it. They are ordered along the path of a single proposed tool call: from the evidence available about it, through the verdict selected for it, to the record left behind and the cost of producing it.</w:t>
      </w:r>
    </w:p>
    <w:p>
      <w:pPr>
        <w:numPr>
          <w:ilvl w:val="0"/>
          <w:numId w:val="1115"/>
        </w:numPr>
        <w:pStyle w:val="Compact"/>
      </w:pPr>
      <w:r>
        <w:rPr>
          <w:bCs/>
          <w:b/>
        </w:rPr>
        <w:t xml:space="preserve">SO-1:</w:t>
      </w:r>
      <w:r>
        <w:t xml:space="preserve"> </w:t>
      </w:r>
      <w:r>
        <w:t xml:space="preserve">Use evidence about untrusted content that enters through TB-2.</w:t>
      </w:r>
    </w:p>
    <w:p>
      <w:pPr>
        <w:numPr>
          <w:ilvl w:val="0"/>
          <w:numId w:val="1115"/>
        </w:numPr>
        <w:pStyle w:val="Compact"/>
      </w:pPr>
      <w:r>
        <w:rPr>
          <w:bCs/>
          <w:b/>
        </w:rPr>
        <w:t xml:space="preserve">SO-2:</w:t>
      </w:r>
      <w:r>
        <w:t xml:space="preserve"> </w:t>
      </w:r>
      <w:r>
        <w:t xml:space="preserve">Detect proposed actions whose arguments originate in untrusted content or that deviate from the episode’s benign pattern.</w:t>
      </w:r>
    </w:p>
    <w:p>
      <w:pPr>
        <w:numPr>
          <w:ilvl w:val="0"/>
          <w:numId w:val="1115"/>
        </w:numPr>
        <w:pStyle w:val="Compact"/>
      </w:pPr>
      <w:r>
        <w:rPr>
          <w:bCs/>
          <w:b/>
        </w:rPr>
        <w:t xml:space="preserve">SO-3:</w:t>
      </w:r>
      <w:r>
        <w:t xml:space="preserve"> </w:t>
      </w:r>
      <w:r>
        <w:t xml:space="preserve">Account for the consequence of the proposed action when selecting a verdict.</w:t>
      </w:r>
    </w:p>
    <w:p>
      <w:pPr>
        <w:numPr>
          <w:ilvl w:val="0"/>
          <w:numId w:val="1115"/>
        </w:numPr>
        <w:pStyle w:val="Compact"/>
      </w:pPr>
      <w:r>
        <w:rPr>
          <w:bCs/>
          <w:b/>
        </w:rPr>
        <w:t xml:space="preserve">SO-4:</w:t>
      </w:r>
      <w:r>
        <w:t xml:space="preserve"> </w:t>
      </w:r>
      <w:r>
        <w:t xml:space="preserve">Provide human escalation as a response.</w:t>
      </w:r>
    </w:p>
    <w:p>
      <w:pPr>
        <w:numPr>
          <w:ilvl w:val="0"/>
          <w:numId w:val="1115"/>
        </w:numPr>
        <w:pStyle w:val="Compact"/>
      </w:pPr>
      <w:r>
        <w:rPr>
          <w:bCs/>
          <w:b/>
        </w:rPr>
        <w:t xml:space="preserve">SO-5:</w:t>
      </w:r>
      <w:r>
        <w:t xml:space="preserve"> </w:t>
      </w:r>
      <w:r>
        <w:t xml:space="preserve">Emit, for every verdict, an audit record from which the verdict can be reproduced.</w:t>
      </w:r>
    </w:p>
    <w:p>
      <w:pPr>
        <w:numPr>
          <w:ilvl w:val="0"/>
          <w:numId w:val="1115"/>
        </w:numPr>
        <w:pStyle w:val="Compact"/>
      </w:pPr>
      <w:r>
        <w:rPr>
          <w:bCs/>
          <w:b/>
        </w:rPr>
        <w:t xml:space="preserve">SO-6:</w:t>
      </w:r>
      <w:r>
        <w:t xml:space="preserve"> </w:t>
      </w:r>
      <w:r>
        <w:t xml:space="preserve">Preserve benign task utility and report per-step latency.</w:t>
      </w:r>
    </w:p>
    <w:bookmarkEnd w:id="120"/>
    <w:bookmarkEnd w:id="121"/>
    <w:bookmarkStart w:id="125" w:name="input-context-layer"/>
    <w:p>
      <w:pPr>
        <w:pStyle w:val="Heading2"/>
      </w:pPr>
      <w:r>
        <w:t xml:space="preserve">3.4 Input &amp; Context Layer</w:t>
      </w:r>
    </w:p>
    <w:p>
      <w:pPr>
        <w:pStyle w:val="FirstParagraph"/>
      </w:pPr>
      <w:r>
        <w:t xml:space="preserve">The Input &amp; Context Layer collects and labels information. It computes no risk evidence.</w:t>
      </w:r>
    </w:p>
    <w:bookmarkStart w:id="122" w:name="context-capture"/>
    <w:p>
      <w:pPr>
        <w:pStyle w:val="Heading3"/>
      </w:pPr>
      <w:r>
        <w:t xml:space="preserve">3.4.1 Context capture</w:t>
      </w:r>
    </w:p>
    <w:p>
      <w:pPr>
        <w:pStyle w:val="FirstParagraph"/>
      </w:pPr>
      <w:r>
        <w:t xml:space="preserve">At step t the layer receives:</w:t>
      </w:r>
    </w:p>
    <w:p>
      <w:pPr>
        <w:numPr>
          <w:ilvl w:val="0"/>
          <w:numId w:val="1116"/>
        </w:numPr>
        <w:pStyle w:val="Compact"/>
      </w:pPr>
      <w:r>
        <w:t xml:space="preserve">the user objective g and user messages (TB-1);</w:t>
      </w:r>
    </w:p>
    <w:p>
      <w:pPr>
        <w:numPr>
          <w:ilvl w:val="0"/>
          <w:numId w:val="1116"/>
        </w:numPr>
        <w:pStyle w:val="Compact"/>
      </w:pPr>
      <w:r>
        <w:t xml:space="preserve">the system prompt;</w:t>
      </w:r>
    </w:p>
    <w:p>
      <w:pPr>
        <w:numPr>
          <w:ilvl w:val="0"/>
          <w:numId w:val="1116"/>
        </w:numPr>
        <w:pStyle w:val="Compact"/>
      </w:pPr>
      <w:r>
        <w:t xml:space="preserve">the results of previously executed tools (TB-2);</w:t>
      </w:r>
    </w:p>
    <w:p>
      <w:pPr>
        <w:numPr>
          <w:ilvl w:val="0"/>
          <w:numId w:val="1116"/>
        </w:numPr>
        <w:pStyle w:val="Compact"/>
      </w:pPr>
      <w:r>
        <w:t xml:space="preserve">the proposed action a</w:t>
      </w:r>
      <w:r>
        <w:rPr>
          <w:vertAlign w:val="subscript"/>
        </w:rPr>
        <w:t xml:space="preserve">t</w:t>
      </w:r>
      <w:r>
        <w:t xml:space="preserve">, captured at TB-3 and held until Layer 5 acts.</w:t>
      </w:r>
    </w:p>
    <w:p>
      <w:pPr>
        <w:pStyle w:val="FirstParagraph"/>
      </w:pPr>
      <w:r>
        <w:t xml:space="preserve">Invisible and formatting characters, such as zero-width characters, are removed from untrusted text before further processing. This is a deterministic hygiene step applied to</w:t>
      </w:r>
      <w:r>
        <w:t xml:space="preserve"> </w:t>
      </w:r>
      <w:r>
        <w:rPr>
          <w:bCs/>
          <w:b/>
        </w:rPr>
        <w:t xml:space="preserve">REM’s analysis copy</w:t>
      </w:r>
      <w:r>
        <w:t xml:space="preserve"> </w:t>
      </w:r>
      <w:r>
        <w:t xml:space="preserve">of the text. The content delivered to the agent is not altered, because REM is non-invasive (AS-1); hygiene therefore protects REM’s feature computation, not the agent. It reduces some encoding-based concealment but does not prevent paraphrase-based evasion.</w:t>
      </w:r>
    </w:p>
    <w:bookmarkEnd w:id="122"/>
    <w:bookmarkStart w:id="123" w:name="provenance-labeling"/>
    <w:p>
      <w:pPr>
        <w:pStyle w:val="Heading3"/>
      </w:pPr>
      <w:r>
        <w:t xml:space="preserve">3.4.2 Provenance labeling</w:t>
      </w:r>
    </w:p>
    <w:p>
      <w:pPr>
        <w:pStyle w:val="FirstParagraph"/>
      </w:pPr>
      <w:r>
        <w:t xml:space="preserve">Each context segment receives one label from the ordered set trusted (system prompt) ≻ semi-trusted (user input) ≻ untrusted (tool output, retrieved content, memory). Content derived from several segments inherits the least-trusted label among them, and processing never promotes content to a more trusted label. This rule is a design definition that preserves the distinction between data and instruction exploited by indirect injection. It asserts no empirical claim.</w:t>
      </w:r>
    </w:p>
    <w:bookmarkEnd w:id="123"/>
    <w:bookmarkStart w:id="124" w:name="entity-extraction"/>
    <w:p>
      <w:pPr>
        <w:pStyle w:val="Heading3"/>
      </w:pPr>
      <w:r>
        <w:t xml:space="preserve">3.4.3 Entity extraction</w:t>
      </w:r>
    </w:p>
    <w:p>
      <w:pPr>
        <w:pStyle w:val="FirstParagraph"/>
      </w:pPr>
      <w:r>
        <w:t xml:space="preserve">The layer extracts security-relevant entities from each segment and from the arguments of a</w:t>
      </w:r>
      <w:r>
        <w:rPr>
          <w:vertAlign w:val="subscript"/>
        </w:rPr>
        <w:t xml:space="preserve">t</w:t>
      </w:r>
      <w:r>
        <w:t xml:space="preserve">, and records the provenance of each occurrence:</w:t>
      </w:r>
    </w:p>
    <w:p>
      <w:pPr>
        <w:numPr>
          <w:ilvl w:val="0"/>
          <w:numId w:val="1117"/>
        </w:numPr>
        <w:pStyle w:val="Compact"/>
      </w:pPr>
      <w:r>
        <w:t xml:space="preserve">account identifiers (such as IBAN-formatted strings);</w:t>
      </w:r>
    </w:p>
    <w:p>
      <w:pPr>
        <w:numPr>
          <w:ilvl w:val="0"/>
          <w:numId w:val="1117"/>
        </w:numPr>
        <w:pStyle w:val="Compact"/>
      </w:pPr>
      <w:r>
        <w:t xml:space="preserve">monetary amounts;</w:t>
      </w:r>
    </w:p>
    <w:p>
      <w:pPr>
        <w:numPr>
          <w:ilvl w:val="0"/>
          <w:numId w:val="1117"/>
        </w:numPr>
        <w:pStyle w:val="Compact"/>
      </w:pPr>
      <w:r>
        <w:t xml:space="preserve">password and credential values;</w:t>
      </w:r>
    </w:p>
    <w:p>
      <w:pPr>
        <w:numPr>
          <w:ilvl w:val="0"/>
          <w:numId w:val="1117"/>
        </w:numPr>
        <w:pStyle w:val="Compact"/>
      </w:pPr>
      <w:r>
        <w:t xml:space="preserve">user-profile values (such as addresses and phone numbers);</w:t>
      </w:r>
    </w:p>
    <w:p>
      <w:pPr>
        <w:numPr>
          <w:ilvl w:val="0"/>
          <w:numId w:val="1117"/>
        </w:numPr>
        <w:pStyle w:val="Compact"/>
      </w:pPr>
      <w:r>
        <w:t xml:space="preserve">tool names mentioned in text.</w:t>
      </w:r>
    </w:p>
    <w:p>
      <w:pPr>
        <w:pStyle w:val="FirstParagraph"/>
      </w:pPr>
      <w:r>
        <w:t xml:space="preserve">The extraction patterns are declared in configuration and are fixed before evaluation. These entities allow Layer 3 to ask whether an argument of the proposed action can be traced to the user objective or to trusted content, or only to untrusted content.</w:t>
      </w:r>
    </w:p>
    <w:bookmarkEnd w:id="124"/>
    <w:bookmarkEnd w:id="125"/>
    <w:bookmarkStart w:id="126" w:name="detection-layer"/>
    <w:p>
      <w:pPr>
        <w:pStyle w:val="Heading2"/>
      </w:pPr>
      <w:r>
        <w:t xml:space="preserve">3.5 Detection Layer</w:t>
      </w:r>
    </w:p>
    <w:p>
      <w:pPr>
        <w:pStyle w:val="FirstParagraph"/>
      </w:pPr>
      <w:r>
        <w:t xml:space="preserve">The Detection Layer computes context evidence from untrusted segments. It issues no verdict.</w:t>
      </w:r>
    </w:p>
    <w:p>
      <w:pPr>
        <w:pStyle w:val="BodyText"/>
      </w:pPr>
      <w:r>
        <w:rPr>
          <w:bCs/>
          <w:b/>
        </w:rPr>
        <w:t xml:space="preserve">Table 3.8. Context evidence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Definition</w:t>
            </w:r>
          </w:p>
        </w:tc>
        <w:tc>
          <w:tcPr/>
          <w:p>
            <w:pPr>
              <w:pStyle w:val="Compact"/>
              <w:jc w:val="left"/>
            </w:pPr>
            <w:r>
              <w:t xml:space="preserve">Type</w:t>
            </w:r>
          </w:p>
        </w:tc>
        <w:tc>
          <w:tcPr/>
          <w:p>
            <w:pPr>
              <w:pStyle w:val="Compact"/>
              <w:jc w:val="left"/>
            </w:pPr>
            <w:r>
              <w:t xml:space="preserve">Availability</w:t>
            </w:r>
          </w:p>
        </w:tc>
      </w:tr>
      <w:tr>
        <w:tc>
          <w:tcPr/>
          <w:p>
            <w:pPr>
              <w:pStyle w:val="Compact"/>
              <w:jc w:val="left"/>
            </w:pPr>
            <w:r>
              <w:t xml:space="preserve">x</w:t>
            </w:r>
            <w:r>
              <w:rPr>
                <w:vertAlign w:val="superscript"/>
              </w:rPr>
              <w:t xml:space="preserve">ctx</w:t>
            </w:r>
            <w:r>
              <w:rPr>
                <w:vertAlign w:val="subscript"/>
              </w:rPr>
              <w:t xml:space="preserve">1</w:t>
            </w:r>
          </w:p>
        </w:tc>
        <w:tc>
          <w:tcPr/>
          <w:p>
            <w:pPr>
              <w:pStyle w:val="Compact"/>
              <w:jc w:val="left"/>
            </w:pPr>
            <w:r>
              <w:t xml:space="preserve">Maximum score of a fixed, pre-trained prompt-injection classifier over untrusted segments added since the previous step</w:t>
            </w:r>
          </w:p>
        </w:tc>
        <w:tc>
          <w:tcPr/>
          <w:p>
            <w:pPr>
              <w:pStyle w:val="Compact"/>
              <w:jc w:val="left"/>
            </w:pPr>
            <w:r>
              <w:t xml:space="preserve">[0, 1]</w:t>
            </w:r>
          </w:p>
        </w:tc>
        <w:tc>
          <w:tcPr/>
          <w:p>
            <w:pPr>
              <w:pStyle w:val="Compact"/>
              <w:jc w:val="left"/>
            </w:pPr>
            <w:r>
              <w:t xml:space="preserve">Derived (classifier choice pending supervisor approval)</w:t>
            </w:r>
          </w:p>
        </w:tc>
      </w:tr>
      <w:tr>
        <w:tc>
          <w:tcPr/>
          <w:p>
            <w:pPr>
              <w:pStyle w:val="Compact"/>
              <w:jc w:val="left"/>
            </w:pPr>
            <w:r>
              <w:t xml:space="preserve">x</w:t>
            </w:r>
            <w:r>
              <w:rPr>
                <w:vertAlign w:val="superscript"/>
              </w:rPr>
              <w:t xml:space="preserve">ctx</w:t>
            </w:r>
            <w:r>
              <w:rPr>
                <w:vertAlign w:val="subscript"/>
              </w:rPr>
              <w:t xml:space="preserve">2</w:t>
            </w:r>
          </w:p>
        </w:tc>
        <w:tc>
          <w:tcPr/>
          <w:p>
            <w:pPr>
              <w:pStyle w:val="Compact"/>
              <w:jc w:val="left"/>
            </w:pPr>
            <w:r>
              <w:t xml:space="preserve">1 if an untrusted segment added since the previous step matches the declared instruction-pattern set; otherwise 0</w:t>
            </w:r>
          </w:p>
        </w:tc>
        <w:tc>
          <w:tcPr/>
          <w:p>
            <w:pPr>
              <w:pStyle w:val="Compact"/>
              <w:jc w:val="left"/>
            </w:pPr>
            <w:r>
              <w:t xml:space="preserve">Binary</w:t>
            </w:r>
          </w:p>
        </w:tc>
        <w:tc>
          <w:tcPr/>
          <w:p>
            <w:pPr>
              <w:pStyle w:val="Compact"/>
              <w:jc w:val="left"/>
            </w:pPr>
            <w:r>
              <w:t xml:space="preserve">Derived (pattern set declared before evaluation)</w:t>
            </w:r>
          </w:p>
        </w:tc>
      </w:tr>
    </w:tbl>
    <w:p>
      <w:pPr>
        <w:pStyle w:val="BodyText"/>
      </w:pPr>
      <w:r>
        <w:t xml:space="preserve">The classifier is used with fixed inference and is not retrained. A classifier distributed with an existing guardrail system, such as PromptGuard 2 in LlamaFirewall (Chennabasappa et al., 2025), is a candidate. The instruction-pattern set contains declared indicators such as imperative instructions addressed to an assistant, references to tool names, and role or delimiter markers.</w:t>
      </w:r>
    </w:p>
    <w:p>
      <w:pPr>
        <w:pStyle w:val="BodyText"/>
      </w:pPr>
      <w:r>
        <w:t xml:space="preserve">Both features are individually evadable, and benchmark-based scores of detectors are fragile (Arp et al., 2022; M. Q. Li et al., 2026). The Detection Layer is therefore not relied upon to be decisive. Its evidence is combined with behavioral and action evidence in the Decision Engine, and its contribution is measured by ablation (Section 3.11.7).</w:t>
      </w:r>
    </w:p>
    <w:bookmarkEnd w:id="126"/>
    <w:bookmarkStart w:id="129" w:name="behavioral-analysis-layer"/>
    <w:p>
      <w:pPr>
        <w:pStyle w:val="Heading2"/>
      </w:pPr>
      <w:r>
        <w:t xml:space="preserve">3.6 Behavioral Analysis Layer</w:t>
      </w:r>
    </w:p>
    <w:p>
      <w:pPr>
        <w:pStyle w:val="FirstParagraph"/>
      </w:pPr>
      <w:r>
        <w:t xml:space="preserve">The Behavioral Analysis Layer maintains the episode history and computes evidence about the trajectory and the proposed action. All reference quantities it uses are estimated offline from benign data and are frozen at runtime.</w:t>
      </w:r>
    </w:p>
    <w:bookmarkStart w:id="127" w:name="step-tracking"/>
    <w:p>
      <w:pPr>
        <w:pStyle w:val="Heading3"/>
      </w:pPr>
      <w:r>
        <w:t xml:space="preserve">3.6.1 Step tracking</w:t>
      </w:r>
    </w:p>
    <w:p>
      <w:pPr>
        <w:pStyle w:val="FirstParagraph"/>
      </w:pPr>
      <w:r>
        <w:t xml:space="preserve">The layer maintains H</w:t>
      </w:r>
      <w:r>
        <w:rPr>
          <w:vertAlign w:val="subscript"/>
        </w:rPr>
        <w:t xml:space="preserve">t</w:t>
      </w:r>
      <w:r>
        <w:t xml:space="preserve">: the sequence of proposed actions, their arguments with provenance, the verdicts issued, and the tool results returned. H</w:t>
      </w:r>
      <w:r>
        <w:rPr>
          <w:vertAlign w:val="subscript"/>
        </w:rPr>
        <w:t xml:space="preserve">t</w:t>
      </w:r>
      <w:r>
        <w:t xml:space="preserve"> </w:t>
      </w:r>
      <w:r>
        <w:t xml:space="preserve">is reset at the start of each episode.</w:t>
      </w:r>
    </w:p>
    <w:bookmarkEnd w:id="127"/>
    <w:bookmarkStart w:id="128" w:name="behavioral-and-action-evidence"/>
    <w:p>
      <w:pPr>
        <w:pStyle w:val="Heading3"/>
      </w:pPr>
      <w:r>
        <w:t xml:space="preserve">3.6.2 Behavioral and action evidence</w:t>
      </w:r>
    </w:p>
    <w:p>
      <w:pPr>
        <w:pStyle w:val="FirstParagraph"/>
      </w:pPr>
      <w:r>
        <w:rPr>
          <w:bCs/>
          <w:b/>
        </w:rPr>
        <w:t xml:space="preserve">Table 3.9. Behavioral and action evidence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Definition</w:t>
            </w:r>
          </w:p>
        </w:tc>
        <w:tc>
          <w:tcPr/>
          <w:p>
            <w:pPr>
              <w:pStyle w:val="Compact"/>
              <w:jc w:val="left"/>
            </w:pPr>
            <w:r>
              <w:t xml:space="preserve">Type</w:t>
            </w:r>
          </w:p>
        </w:tc>
        <w:tc>
          <w:tcPr/>
          <w:p>
            <w:pPr>
              <w:pStyle w:val="Compact"/>
              <w:jc w:val="left"/>
            </w:pPr>
            <w:r>
              <w:t xml:space="preserve">Availability</w:t>
            </w:r>
          </w:p>
        </w:tc>
      </w:tr>
      <w:tr>
        <w:tc>
          <w:tcPr/>
          <w:p>
            <w:pPr>
              <w:pStyle w:val="Compact"/>
              <w:jc w:val="left"/>
            </w:pPr>
            <w:r>
              <w:t xml:space="preserve">x</w:t>
            </w:r>
            <w:r>
              <w:rPr>
                <w:vertAlign w:val="superscript"/>
              </w:rPr>
              <w:t xml:space="preserve">beh</w:t>
            </w:r>
            <w:r>
              <w:rPr>
                <w:vertAlign w:val="subscript"/>
              </w:rPr>
              <w:t xml:space="preserve">1</w:t>
            </w:r>
          </w:p>
        </w:tc>
        <w:tc>
          <w:tcPr/>
          <w:p>
            <w:pPr>
              <w:pStyle w:val="Compact"/>
              <w:jc w:val="left"/>
            </w:pPr>
            <w:r>
              <w:t xml:space="preserve">Post-observation shift: 1 if the most recent tool result was untrusted and had x</w:t>
            </w:r>
            <w:r>
              <w:rPr>
                <w:vertAlign w:val="superscript"/>
              </w:rPr>
              <w:t xml:space="preserve">ctx</w:t>
            </w:r>
            <w:r>
              <w:rPr>
                <w:vertAlign w:val="subscript"/>
              </w:rPr>
              <w:t xml:space="preserve">2</w:t>
            </w:r>
            <w:r>
              <w:t xml:space="preserve"> </w:t>
            </w:r>
            <w:r>
              <w:t xml:space="preserve">= 1; otherwise 0</w:t>
            </w:r>
          </w:p>
        </w:tc>
        <w:tc>
          <w:tcPr/>
          <w:p>
            <w:pPr>
              <w:pStyle w:val="Compact"/>
              <w:jc w:val="left"/>
            </w:pPr>
            <w:r>
              <w:t xml:space="preserve">Binary</w:t>
            </w:r>
          </w:p>
        </w:tc>
        <w:tc>
          <w:tcPr/>
          <w:p>
            <w:pPr>
              <w:pStyle w:val="Compact"/>
              <w:jc w:val="left"/>
            </w:pPr>
            <w:r>
              <w:t xml:space="preserve">Derived from H</w:t>
            </w:r>
            <w:r>
              <w:rPr>
                <w:vertAlign w:val="subscript"/>
              </w:rPr>
              <w:t xml:space="preserve">t</w:t>
            </w:r>
          </w:p>
        </w:tc>
      </w:tr>
      <w:tr>
        <w:tc>
          <w:tcPr/>
          <w:p>
            <w:pPr>
              <w:pStyle w:val="Compact"/>
              <w:jc w:val="left"/>
            </w:pPr>
            <w:r>
              <w:t xml:space="preserve">x</w:t>
            </w:r>
            <w:r>
              <w:rPr>
                <w:vertAlign w:val="superscript"/>
              </w:rPr>
              <w:t xml:space="preserve">beh</w:t>
            </w:r>
            <w:r>
              <w:rPr>
                <w:vertAlign w:val="subscript"/>
              </w:rPr>
              <w:t xml:space="preserve">2</w:t>
            </w:r>
          </w:p>
        </w:tc>
        <w:tc>
          <w:tcPr/>
          <w:p>
            <w:pPr>
              <w:pStyle w:val="Compact"/>
              <w:jc w:val="left"/>
            </w:pPr>
            <w:r>
              <w:t xml:space="preserve">Repeated calls: min(n</w:t>
            </w:r>
            <w:r>
              <w:rPr>
                <w:vertAlign w:val="subscript"/>
              </w:rPr>
              <w:t xml:space="preserve">rep</w:t>
            </w:r>
            <w:r>
              <w:t xml:space="preserve">, n</w:t>
            </w:r>
            <w:r>
              <w:rPr>
                <w:vertAlign w:val="subscript"/>
              </w:rPr>
              <w:t xml:space="preserve">max</w:t>
            </w:r>
            <w:r>
              <w:t xml:space="preserve">) / n</w:t>
            </w:r>
            <w:r>
              <w:rPr>
                <w:vertAlign w:val="subscript"/>
              </w:rPr>
              <w:t xml:space="preserve">max</w:t>
            </w:r>
            <w:r>
              <w:t xml:space="preserve">, where n</w:t>
            </w:r>
            <w:r>
              <w:rPr>
                <w:vertAlign w:val="subscript"/>
              </w:rPr>
              <w:t xml:space="preserve">rep</w:t>
            </w:r>
            <w:r>
              <w:t xml:space="preserve"> </w:t>
            </w:r>
            <w:r>
              <w:t xml:space="preserve">is the number of consecutive calls with the same tool and key arguments and n</w:t>
            </w:r>
            <w:r>
              <w:rPr>
                <w:vertAlign w:val="subscript"/>
              </w:rPr>
              <w:t xml:space="preserve">max</w:t>
            </w:r>
            <w:r>
              <w:t xml:space="preserve"> </w:t>
            </w:r>
            <w:r>
              <w:t xml:space="preserve">is declared</w:t>
            </w:r>
          </w:p>
        </w:tc>
        <w:tc>
          <w:tcPr/>
          <w:p>
            <w:pPr>
              <w:pStyle w:val="Compact"/>
              <w:jc w:val="left"/>
            </w:pPr>
            <w:r>
              <w:t xml:space="preserve">[0, 1]</w:t>
            </w:r>
          </w:p>
        </w:tc>
        <w:tc>
          <w:tcPr/>
          <w:p>
            <w:pPr>
              <w:pStyle w:val="Compact"/>
              <w:jc w:val="left"/>
            </w:pPr>
            <w:r>
              <w:t xml:space="preserve">Derived from H</w:t>
            </w:r>
            <w:r>
              <w:rPr>
                <w:vertAlign w:val="subscript"/>
              </w:rPr>
              <w:t xml:space="preserve">t</w:t>
            </w:r>
          </w:p>
        </w:tc>
      </w:tr>
      <w:tr>
        <w:tc>
          <w:tcPr/>
          <w:p>
            <w:pPr>
              <w:pStyle w:val="Compact"/>
              <w:jc w:val="left"/>
            </w:pPr>
            <w:r>
              <w:t xml:space="preserve">x</w:t>
            </w:r>
            <w:r>
              <w:rPr>
                <w:vertAlign w:val="superscript"/>
              </w:rPr>
              <w:t xml:space="preserve">beh</w:t>
            </w:r>
            <w:r>
              <w:rPr>
                <w:vertAlign w:val="subscript"/>
              </w:rPr>
              <w:t xml:space="preserve">3</w:t>
            </w:r>
          </w:p>
        </w:tc>
        <w:tc>
          <w:tcPr/>
          <w:p>
            <w:pPr>
              <w:pStyle w:val="Compact"/>
              <w:jc w:val="left"/>
            </w:pPr>
            <w:r>
              <w:t xml:space="preserve">Privilege escalation: 1 if the privilege level of a</w:t>
            </w:r>
            <w:r>
              <w:rPr>
                <w:vertAlign w:val="subscript"/>
              </w:rPr>
              <w:t xml:space="preserve">t</w:t>
            </w:r>
            <w:r>
              <w:t xml:space="preserve">’s tool exceeds the highest level used so far in the episode; otherwise 0</w:t>
            </w:r>
          </w:p>
        </w:tc>
        <w:tc>
          <w:tcPr/>
          <w:p>
            <w:pPr>
              <w:pStyle w:val="Compact"/>
              <w:jc w:val="left"/>
            </w:pPr>
            <w:r>
              <w:t xml:space="preserve">Binary</w:t>
            </w:r>
          </w:p>
        </w:tc>
        <w:tc>
          <w:tcPr/>
          <w:p>
            <w:pPr>
              <w:pStyle w:val="Compact"/>
              <w:jc w:val="left"/>
            </w:pPr>
            <w:r>
              <w:t xml:space="preserve">Derived; privilege map declared</w:t>
            </w:r>
          </w:p>
        </w:tc>
      </w:tr>
      <w:tr>
        <w:tc>
          <w:tcPr/>
          <w:p>
            <w:pPr>
              <w:pStyle w:val="Compact"/>
              <w:jc w:val="left"/>
            </w:pPr>
            <w:r>
              <w:t xml:space="preserve">x</w:t>
            </w:r>
            <w:r>
              <w:rPr>
                <w:vertAlign w:val="superscript"/>
              </w:rPr>
              <w:t xml:space="preserve">beh</w:t>
            </w:r>
            <w:r>
              <w:rPr>
                <w:vertAlign w:val="subscript"/>
              </w:rPr>
              <w:t xml:space="preserve">4</w:t>
            </w:r>
          </w:p>
        </w:tc>
        <w:tc>
          <w:tcPr/>
          <w:p>
            <w:pPr>
              <w:pStyle w:val="Compact"/>
              <w:jc w:val="left"/>
            </w:pPr>
            <w:r>
              <w:t xml:space="preserve">Transition deviation: 1 if the pair (previous tool, current tool) does not occur in the benign reference transition set; otherwise 0</w:t>
            </w:r>
          </w:p>
        </w:tc>
        <w:tc>
          <w:tcPr/>
          <w:p>
            <w:pPr>
              <w:pStyle w:val="Compact"/>
              <w:jc w:val="left"/>
            </w:pPr>
            <w:r>
              <w:t xml:space="preserve">Binary</w:t>
            </w:r>
          </w:p>
        </w:tc>
        <w:tc>
          <w:tcPr/>
          <w:p>
            <w:pPr>
              <w:pStyle w:val="Compact"/>
              <w:jc w:val="left"/>
            </w:pPr>
            <w:r>
              <w:t xml:space="preserve">Derived; reference set estimated on benign fitting data</w:t>
            </w:r>
          </w:p>
        </w:tc>
      </w:tr>
      <w:tr>
        <w:tc>
          <w:tcPr/>
          <w:p>
            <w:pPr>
              <w:pStyle w:val="Compact"/>
              <w:jc w:val="left"/>
            </w:pPr>
            <w:r>
              <w:t xml:space="preserve">x</w:t>
            </w:r>
            <w:r>
              <w:rPr>
                <w:vertAlign w:val="superscript"/>
              </w:rPr>
              <w:t xml:space="preserve">act</w:t>
            </w:r>
            <w:r>
              <w:rPr>
                <w:vertAlign w:val="subscript"/>
              </w:rPr>
              <w:t xml:space="preserve">1</w:t>
            </w:r>
          </w:p>
        </w:tc>
        <w:tc>
          <w:tcPr/>
          <w:p>
            <w:pPr>
              <w:pStyle w:val="Compact"/>
              <w:jc w:val="left"/>
            </w:pPr>
            <w:r>
              <w:t xml:space="preserve">Argument provenance: 1 if a key argument of a</w:t>
            </w:r>
            <w:r>
              <w:rPr>
                <w:vertAlign w:val="subscript"/>
              </w:rPr>
              <w:t xml:space="preserve">t</w:t>
            </w:r>
            <w:r>
              <w:t xml:space="preserve"> </w:t>
            </w:r>
            <w:r>
              <w:t xml:space="preserve">(recipient account identifier, amount, password, or profile value) occurs in untrusted content but not in g or trusted content; otherwise 0</w:t>
            </w:r>
          </w:p>
        </w:tc>
        <w:tc>
          <w:tcPr/>
          <w:p>
            <w:pPr>
              <w:pStyle w:val="Compact"/>
              <w:jc w:val="left"/>
            </w:pPr>
            <w:r>
              <w:t xml:space="preserve">Binary</w:t>
            </w:r>
          </w:p>
        </w:tc>
        <w:tc>
          <w:tcPr/>
          <w:p>
            <w:pPr>
              <w:pStyle w:val="Compact"/>
              <w:jc w:val="left"/>
            </w:pPr>
            <w:r>
              <w:t xml:space="preserve">Derived from L1 entities</w:t>
            </w:r>
          </w:p>
        </w:tc>
      </w:tr>
      <w:tr>
        <w:tc>
          <w:tcPr/>
          <w:p>
            <w:pPr>
              <w:pStyle w:val="Compact"/>
              <w:jc w:val="left"/>
            </w:pPr>
            <w:r>
              <w:t xml:space="preserve">x</w:t>
            </w:r>
            <w:r>
              <w:rPr>
                <w:vertAlign w:val="superscript"/>
              </w:rPr>
              <w:t xml:space="preserve">act</w:t>
            </w:r>
            <w:r>
              <w:rPr>
                <w:vertAlign w:val="subscript"/>
              </w:rPr>
              <w:t xml:space="preserve">2</w:t>
            </w:r>
          </w:p>
        </w:tc>
        <w:tc>
          <w:tcPr/>
          <w:p>
            <w:pPr>
              <w:pStyle w:val="Compact"/>
              <w:jc w:val="left"/>
            </w:pPr>
            <w:r>
              <w:t xml:space="preserve">Destination novelty: 1 if the recipient of a</w:t>
            </w:r>
            <w:r>
              <w:rPr>
                <w:vertAlign w:val="subscript"/>
              </w:rPr>
              <w:t xml:space="preserve">t</w:t>
            </w:r>
            <w:r>
              <w:t xml:space="preserve"> </w:t>
            </w:r>
            <w:r>
              <w:t xml:space="preserve">appears neither in g nor among the transactions observed before the episode’s first untrusted ingestion; otherwise 0</w:t>
            </w:r>
          </w:p>
        </w:tc>
        <w:tc>
          <w:tcPr/>
          <w:p>
            <w:pPr>
              <w:pStyle w:val="Compact"/>
              <w:jc w:val="left"/>
            </w:pPr>
            <w:r>
              <w:t xml:space="preserve">Binary</w:t>
            </w:r>
          </w:p>
        </w:tc>
        <w:tc>
          <w:tcPr/>
          <w:p>
            <w:pPr>
              <w:pStyle w:val="Compact"/>
              <w:jc w:val="left"/>
            </w:pPr>
            <w:r>
              <w:t xml:space="preserve">Derived; applicable to value-transfer and payment-modification tools</w:t>
            </w:r>
          </w:p>
        </w:tc>
      </w:tr>
      <w:tr>
        <w:tc>
          <w:tcPr/>
          <w:p>
            <w:pPr>
              <w:pStyle w:val="Compact"/>
              <w:jc w:val="left"/>
            </w:pPr>
            <w:r>
              <w:t xml:space="preserve">x</w:t>
            </w:r>
            <w:r>
              <w:rPr>
                <w:vertAlign w:val="superscript"/>
              </w:rPr>
              <w:t xml:space="preserve">act</w:t>
            </w:r>
            <w:r>
              <w:rPr>
                <w:vertAlign w:val="subscript"/>
              </w:rPr>
              <w:t xml:space="preserve">3</w:t>
            </w:r>
          </w:p>
        </w:tc>
        <w:tc>
          <w:tcPr/>
          <w:p>
            <w:pPr>
              <w:pStyle w:val="Compact"/>
              <w:jc w:val="left"/>
            </w:pPr>
            <w:r>
              <w:t xml:space="preserve">Sensitive egress: 1 if a</w:t>
            </w:r>
            <w:r>
              <w:rPr>
                <w:vertAlign w:val="subscript"/>
              </w:rPr>
              <w:t xml:space="preserve">t</w:t>
            </w:r>
            <w:r>
              <w:t xml:space="preserve"> </w:t>
            </w:r>
            <w:r>
              <w:t xml:space="preserve">sends to an external recipient a value obtained from a sensitive read (account identifier, profile value, or credential); otherwise 0</w:t>
            </w:r>
          </w:p>
        </w:tc>
        <w:tc>
          <w:tcPr/>
          <w:p>
            <w:pPr>
              <w:pStyle w:val="Compact"/>
              <w:jc w:val="left"/>
            </w:pPr>
            <w:r>
              <w:t xml:space="preserve">Binary</w:t>
            </w:r>
          </w:p>
        </w:tc>
        <w:tc>
          <w:tcPr/>
          <w:p>
            <w:pPr>
              <w:pStyle w:val="Compact"/>
              <w:jc w:val="left"/>
            </w:pPr>
            <w:r>
              <w:t xml:space="preserve">Derived from L1 entities and H</w:t>
            </w:r>
            <w:r>
              <w:rPr>
                <w:vertAlign w:val="subscript"/>
              </w:rPr>
              <w:t xml:space="preserve">t</w:t>
            </w:r>
          </w:p>
        </w:tc>
      </w:tr>
    </w:tbl>
    <w:p>
      <w:pPr>
        <w:pStyle w:val="BodyText"/>
      </w:pPr>
      <w:r>
        <w:t xml:space="preserve">All features are bounded in [0, 1] by definition, so no further rescaling is applied. Three design rules govern them:</w:t>
      </w:r>
    </w:p>
    <w:p>
      <w:pPr>
        <w:numPr>
          <w:ilvl w:val="0"/>
          <w:numId w:val="1118"/>
        </w:numPr>
        <w:pStyle w:val="Compact"/>
      </w:pPr>
      <w:r>
        <w:rPr>
          <w:bCs/>
          <w:b/>
        </w:rPr>
        <w:t xml:space="preserve">No identity-based features.</w:t>
      </w:r>
      <w:r>
        <w:t xml:space="preserve"> </w:t>
      </w:r>
      <w:r>
        <w:t xml:space="preserve">No feature may encode a specific account identifier. In the evaluated benchmark, one attacker account identifier is shared by most injection tasks (Section 3.11.2), and a feature keyed on that value would leak the label.</w:t>
      </w:r>
    </w:p>
    <w:p>
      <w:pPr>
        <w:numPr>
          <w:ilvl w:val="0"/>
          <w:numId w:val="1118"/>
        </w:numPr>
        <w:pStyle w:val="Compact"/>
      </w:pPr>
      <w:r>
        <w:rPr>
          <w:bCs/>
          <w:b/>
        </w:rPr>
        <w:t xml:space="preserve">Evidence is kept separate from consequence.</w:t>
      </w:r>
      <w:r>
        <w:t xml:space="preserve"> </w:t>
      </w:r>
      <w:r>
        <w:t xml:space="preserve">Whether a payee appears only in untrusted content is evidence about</w:t>
      </w:r>
      <w:r>
        <w:t xml:space="preserve"> </w:t>
      </w:r>
      <w:r>
        <w:rPr>
          <w:iCs/>
          <w:i/>
        </w:rPr>
        <w:t xml:space="preserve">whether</w:t>
      </w:r>
      <w:r>
        <w:t xml:space="preserve"> </w:t>
      </w:r>
      <w:r>
        <w:t xml:space="preserve">an action is adversarially induced; it belongs in x</w:t>
      </w:r>
      <w:r>
        <w:rPr>
          <w:vertAlign w:val="subscript"/>
        </w:rPr>
        <w:t xml:space="preserve">t</w:t>
      </w:r>
      <w:r>
        <w:t xml:space="preserve">. Whether the action transfers a large amount irreversibly describes</w:t>
      </w:r>
      <w:r>
        <w:t xml:space="preserve"> </w:t>
      </w:r>
      <w:r>
        <w:rPr>
          <w:iCs/>
          <w:i/>
        </w:rPr>
        <w:t xml:space="preserve">what would happen</w:t>
      </w:r>
      <w:r>
        <w:t xml:space="preserve">; it belongs in the consequence descriptors z</w:t>
      </w:r>
      <w:r>
        <w:rPr>
          <w:vertAlign w:val="subscript"/>
        </w:rPr>
        <w:t xml:space="preserve">t</w:t>
      </w:r>
      <w:r>
        <w:t xml:space="preserve"> </w:t>
      </w:r>
      <w:r>
        <w:t xml:space="preserve">(Section 3.7.3) and enters the decision only through the loss.</w:t>
      </w:r>
    </w:p>
    <w:p>
      <w:pPr>
        <w:numPr>
          <w:ilvl w:val="0"/>
          <w:numId w:val="1118"/>
        </w:numPr>
        <w:pStyle w:val="Compact"/>
      </w:pPr>
      <w:r>
        <w:rPr>
          <w:bCs/>
          <w:b/>
        </w:rPr>
        <w:t xml:space="preserve">The feature set is frozen after pilot E0</w:t>
      </w:r>
      <w:r>
        <w:t xml:space="preserve"> </w:t>
      </w:r>
      <w:r>
        <w:t xml:space="preserve">(Section 3.11.8), before any held-out predictions are examined.</w:t>
      </w:r>
    </w:p>
    <w:bookmarkEnd w:id="128"/>
    <w:bookmarkEnd w:id="129"/>
    <w:bookmarkStart w:id="137" w:name="decision-engine-layer"/>
    <w:p>
      <w:pPr>
        <w:pStyle w:val="Heading2"/>
      </w:pPr>
      <w:r>
        <w:t xml:space="preserve">3.7 Decision Engine Layer</w:t>
      </w:r>
    </w:p>
    <w:p>
      <w:pPr>
        <w:pStyle w:val="FirstParagraph"/>
      </w:pPr>
      <w:r>
        <w:t xml:space="preserve">The Decision Engine turns evidence into a verdict in five stages: probability estimation, calibration, consequence assessment, policy predicates, and expected-loss verdict selection. It also writes the audit record. Each equation below states its source and whether it is established from the source, adapted from it, or derived here.</w:t>
      </w:r>
    </w:p>
    <w:bookmarkStart w:id="130" w:name="ridge-logistic-estimation"/>
    <w:p>
      <w:pPr>
        <w:pStyle w:val="Heading3"/>
      </w:pPr>
      <w:r>
        <w:t xml:space="preserve">3.7.1 Ridge logistic estimation</w:t>
      </w:r>
    </w:p>
    <w:p>
      <w:pPr>
        <w:pStyle w:val="FirstParagraph"/>
      </w:pPr>
      <w:r>
        <w:t xml:space="preserve">The probability that the proposed action is adversarially induced is modeled by logistic regression (Cox, 1958):</w:t>
      </w:r>
    </w:p>
    <w:p>
      <w:pPr>
        <w:pStyle w:val="BodyText"/>
      </w:pPr>
      <m:oMathPara>
        <m:oMathParaPr>
          <m:jc m:val="center"/>
        </m:oMathParaPr>
        <m:oMath>
          <m:sSub>
            <m:e>
              <m:r>
                <m:t>s</m:t>
              </m:r>
            </m:e>
            <m:sub>
              <m:r>
                <m:t>t</m:t>
              </m:r>
            </m:sub>
          </m:sSub>
          <m:r>
            <m:rPr>
              <m:sty m:val="p"/>
            </m:rPr>
            <m:t>=</m:t>
          </m:r>
          <m:sSub>
            <m:e>
              <m:r>
                <m:t>β</m:t>
              </m:r>
            </m:e>
            <m:sub>
              <m:r>
                <m:t>0</m:t>
              </m:r>
            </m:sub>
          </m:sSub>
          <m:r>
            <m:rPr>
              <m:sty m:val="p"/>
            </m:rPr>
            <m:t>+</m:t>
          </m:r>
          <m:sSup>
            <m:e>
              <m:r>
                <m:t>β</m:t>
              </m:r>
            </m:e>
            <m:sup>
              <m:r>
                <m:rPr>
                  <m:sty m:val="p"/>
                </m:rPr>
                <m:t>⊤</m:t>
              </m:r>
            </m:sup>
          </m:sSup>
          <m:sSub>
            <m:e>
              <m:r>
                <m:t>x</m:t>
              </m:r>
            </m:e>
            <m:sub>
              <m:r>
                <m:t>t</m:t>
              </m:r>
            </m:sub>
          </m:sSub>
          <m:r>
            <m:rPr>
              <m:sty m:val="p"/>
            </m:rPr>
            <m:t>,</m:t>
          </m:r>
          <m:r>
            <m:t>  </m:t>
          </m:r>
          <m:sSub>
            <m:e>
              <m:acc>
                <m:accPr>
                  <m:chr m:val="̃"/>
                </m:accPr>
                <m:e>
                  <m:r>
                    <m:t>p</m:t>
                  </m:r>
                </m:e>
              </m:acc>
            </m:e>
            <m:sub>
              <m:r>
                <m:t>t</m:t>
              </m:r>
            </m:sub>
          </m:sSub>
          <m:r>
            <m:rPr>
              <m:sty m:val="p"/>
            </m:rPr>
            <m:t>=</m:t>
          </m:r>
          <m:r>
            <m:t>σ</m:t>
          </m:r>
          <m:d>
            <m:dPr>
              <m:begChr m:val="("/>
              <m:endChr m:val=")"/>
              <m:sepChr m:val=""/>
              <m:grow/>
            </m:dPr>
            <m:e>
              <m:sSub>
                <m:e>
                  <m:r>
                    <m:t>s</m:t>
                  </m:r>
                </m:e>
                <m:sub>
                  <m:r>
                    <m:t>t</m:t>
                  </m:r>
                </m:sub>
              </m:sSub>
            </m:e>
          </m:d>
          <m:r>
            <m:rPr>
              <m:sty m:val="p"/>
            </m:rPr>
            <m:t>=</m:t>
          </m:r>
          <m:f>
            <m:fPr>
              <m:type m:val="bar"/>
            </m:fPr>
            <m:num>
              <m:r>
                <m:t>1</m:t>
              </m:r>
            </m:num>
            <m:den>
              <m:r>
                <m:t>1</m:t>
              </m:r>
              <m:r>
                <m:rPr>
                  <m:sty m:val="p"/>
                </m:rPr>
                <m:t>+</m:t>
              </m:r>
              <m:r>
                <m:rPr>
                  <m:sty m:val="p"/>
                </m:rPr>
                <m:t>exp</m:t>
              </m:r>
              <m:d>
                <m:dPr>
                  <m:begChr m:val="("/>
                  <m:endChr m:val=")"/>
                  <m:sepChr m:val=""/>
                  <m:grow/>
                </m:dPr>
                <m:e>
                  <m:r>
                    <m:rPr>
                      <m:sty m:val="p"/>
                    </m:rPr>
                    <m:t>−</m:t>
                  </m:r>
                  <m:sSub>
                    <m:e>
                      <m:r>
                        <m:t>s</m:t>
                      </m:r>
                    </m:e>
                    <m:sub>
                      <m:r>
                        <m:t>t</m:t>
                      </m:r>
                    </m:sub>
                  </m:sSub>
                </m:e>
              </m:d>
            </m:den>
          </m:f>
          <m:r>
            <m:t>  </m:t>
          </m:r>
          <m:d>
            <m:dPr>
              <m:begChr m:val="("/>
              <m:endChr m:val=")"/>
              <m:sepChr m:val=""/>
              <m:grow/>
            </m:dPr>
            <m:e>
              <m:r>
                <m:t>3.1</m:t>
              </m:r>
            </m:e>
          </m:d>
        </m:oMath>
      </m:oMathPara>
    </w:p>
    <w:p>
      <w:pPr>
        <w:pStyle w:val="FirstParagraph"/>
      </w:pPr>
      <w:r>
        <w:t xml:space="preserve">where x</w:t>
      </w:r>
      <w:r>
        <w:rPr>
          <w:vertAlign w:val="subscript"/>
        </w:rPr>
        <w:t xml:space="preserve">t</w:t>
      </w:r>
      <w:r>
        <w:t xml:space="preserve"> </w:t>
      </w:r>
      <w:r>
        <w:t xml:space="preserve">∈ [0, 1]</w:t>
      </w:r>
      <w:r>
        <w:rPr>
          <w:vertAlign w:val="superscript"/>
        </w:rPr>
        <w:t xml:space="preserve">d</w:t>
      </w:r>
      <w:r>
        <w:t xml:space="preserve"> </w:t>
      </w:r>
      <w:r>
        <w:t xml:space="preserve">is the evidence vector [x</w:t>
      </w:r>
      <w:r>
        <w:rPr>
          <w:vertAlign w:val="superscript"/>
        </w:rPr>
        <w:t xml:space="preserve">ctx</w:t>
      </w:r>
      <w:r>
        <w:t xml:space="preserve">; x</w:t>
      </w:r>
      <w:r>
        <w:rPr>
          <w:vertAlign w:val="superscript"/>
        </w:rPr>
        <w:t xml:space="preserve">beh</w:t>
      </w:r>
      <w:r>
        <w:t xml:space="preserve">; x</w:t>
      </w:r>
      <w:r>
        <w:rPr>
          <w:vertAlign w:val="superscript"/>
        </w:rPr>
        <w:t xml:space="preserve">act</w:t>
      </w:r>
      <w:r>
        <w:t xml:space="preserve">], β</w:t>
      </w:r>
      <w:r>
        <w:rPr>
          <w:vertAlign w:val="subscript"/>
        </w:rPr>
        <w:t xml:space="preserve">0</w:t>
      </w:r>
      <w:r>
        <w:t xml:space="preserve"> </w:t>
      </w:r>
      <w:r>
        <w:t xml:space="preserve">∈ ℝ is the intercept, β ∈ ℝ</w:t>
      </w:r>
      <w:r>
        <w:rPr>
          <w:vertAlign w:val="superscript"/>
        </w:rPr>
        <w:t xml:space="preserve">d</w:t>
      </w:r>
      <w:r>
        <w:t xml:space="preserve"> </w:t>
      </w:r>
      <w:r>
        <w:t xml:space="preserve">is the coefficient vector, s</w:t>
      </w:r>
      <w:r>
        <w:rPr>
          <w:vertAlign w:val="subscript"/>
        </w:rPr>
        <w:t xml:space="preserve">t</w:t>
      </w:r>
      <w:r>
        <w:t xml:space="preserve"> </w:t>
      </w:r>
      <w:r>
        <w:t xml:space="preserve">is the logit, and p̃</w:t>
      </w:r>
      <w:r>
        <w:rPr>
          <w:vertAlign w:val="subscript"/>
        </w:rPr>
        <w:t xml:space="preserve">t</w:t>
      </w:r>
      <w:r>
        <w:t xml:space="preserve"> </w:t>
      </w:r>
      <w:r>
        <w:t xml:space="preserve">is the uncalibrated estimate of P(y</w:t>
      </w:r>
      <w:r>
        <w:rPr>
          <w:vertAlign w:val="subscript"/>
        </w:rPr>
        <w:t xml:space="preserve">t</w:t>
      </w:r>
      <w:r>
        <w:t xml:space="preserve"> </w:t>
      </w:r>
      <w:r>
        <w:t xml:space="preserve">= 1 | x</w:t>
      </w:r>
      <w:r>
        <w:rPr>
          <w:vertAlign w:val="subscript"/>
        </w:rPr>
        <w:t xml:space="preserve">t</w:t>
      </w:r>
      <w:r>
        <w:t xml:space="preserve">).</w:t>
      </w:r>
    </w:p>
    <w:p>
      <w:pPr>
        <w:pStyle w:val="BodyText"/>
      </w:pPr>
      <w:r>
        <w:rPr>
          <w:iCs/>
          <w:i/>
        </w:rPr>
        <w:t xml:space="preserve">Role in REM:</w:t>
      </w:r>
      <w:r>
        <w:t xml:space="preserve"> </w:t>
      </w:r>
      <w:r>
        <w:t xml:space="preserve">maps the evidence of Layers 2 and 3 to a score and an uncalibrated probability.</w:t>
      </w:r>
      <w:r>
        <w:t xml:space="preserve"> </w:t>
      </w:r>
      <w:r>
        <w:rPr>
          <w:iCs/>
          <w:i/>
        </w:rPr>
        <w:t xml:space="preserve">Status:</w:t>
      </w:r>
      <w:r>
        <w:t xml:space="preserve"> </w:t>
      </w:r>
      <w:r>
        <w:t xml:space="preserve">established from source (Cox, 1958).</w:t>
      </w:r>
    </w:p>
    <w:p>
      <w:pPr>
        <w:pStyle w:val="BodyText"/>
      </w:pPr>
      <w:r>
        <w:t xml:space="preserve">The parameters are estimated offline by maximizing a ridge-penalized log-likelihood (le Cessie &amp; van Houwelingen, 1992):</w:t>
      </w:r>
    </w:p>
    <w:p>
      <w:pPr>
        <w:pStyle w:val="BodyText"/>
      </w:pPr>
      <m:oMathPara>
        <m:oMathParaPr>
          <m:jc m:val="center"/>
        </m:oMathParaPr>
        <m:oMath>
          <m:d>
            <m:dPr>
              <m:begChr m:val="("/>
              <m:endChr m:val=")"/>
              <m:sepChr m:val=""/>
              <m:grow/>
            </m:dPr>
            <m:e>
              <m:sSub>
                <m:e>
                  <m:acc>
                    <m:accPr>
                      <m:chr m:val="̂"/>
                    </m:accPr>
                    <m:e>
                      <m:r>
                        <m:t>β</m:t>
                      </m:r>
                    </m:e>
                  </m:acc>
                </m:e>
                <m:sub>
                  <m:r>
                    <m:t>0</m:t>
                  </m:r>
                </m:sub>
              </m:sSub>
              <m:r>
                <m:rPr>
                  <m:sty m:val="p"/>
                </m:rPr>
                <m:t>,</m:t>
              </m:r>
              <m:acc>
                <m:accPr>
                  <m:chr m:val="̂"/>
                </m:accPr>
                <m:e>
                  <m:r>
                    <m:t>β</m:t>
                  </m:r>
                </m:e>
              </m:acc>
            </m:e>
          </m:d>
          <m:r>
            <m:rPr>
              <m:sty m:val="p"/>
            </m:rPr>
            <m:t>=</m:t>
          </m:r>
          <m:r>
            <m:rPr>
              <m:sty m:val="p"/>
            </m:rPr>
            <m:t>arg</m:t>
          </m:r>
          <m:limLow>
            <m:e>
              <m:r>
                <m:rPr>
                  <m:sty m:val="p"/>
                </m:rPr>
                <m:t>max</m:t>
              </m:r>
            </m:e>
            <m:lim>
              <m:sSub>
                <m:e>
                  <m:r>
                    <m:t>β</m:t>
                  </m:r>
                </m:e>
                <m:sub>
                  <m:r>
                    <m:t>0</m:t>
                  </m:r>
                </m:sub>
              </m:sSub>
              <m:r>
                <m:rPr>
                  <m:sty m:val="p"/>
                </m:rPr>
                <m:t>,</m:t>
              </m:r>
              <m:r>
                <m:t>β</m:t>
              </m:r>
            </m:lim>
          </m:limLow>
          <m:nary>
            <m:naryPr>
              <m:chr m:val="∑"/>
              <m:limLoc m:val="undOvr"/>
              <m:subHide m:val="off"/>
              <m:supHide m:val="on"/>
            </m:naryPr>
            <m:sub>
              <m:r>
                <m:t>i</m:t>
              </m:r>
              <m:r>
                <m:rPr>
                  <m:sty m:val="p"/>
                </m:rPr>
                <m:t>∈</m:t>
              </m:r>
              <m:sSub>
                <m:e>
                  <m:r>
                    <m:t>D</m:t>
                  </m:r>
                </m:e>
                <m:sub>
                  <m:r>
                    <m:rPr>
                      <m:sty m:val="p"/>
                    </m:rPr>
                    <m:t>f</m:t>
                  </m:r>
                  <m:r>
                    <m:rPr>
                      <m:sty m:val="p"/>
                    </m:rPr>
                    <m:t>i</m:t>
                  </m:r>
                  <m:r>
                    <m:rPr>
                      <m:sty m:val="p"/>
                    </m:rPr>
                    <m:t>t</m:t>
                  </m:r>
                </m:sub>
              </m:sSub>
            </m:sub>
            <m:sup>
              <m:r>
                <m:t>​</m:t>
              </m:r>
            </m:sup>
            <m:e>
              <m:d>
                <m:dPr>
                  <m:begChr m:val="["/>
                  <m:endChr m:val="]"/>
                  <m:sepChr m:val=""/>
                  <m:grow/>
                </m:dPr>
                <m:e>
                  <m:sSub>
                    <m:e>
                      <m:r>
                        <m:t>y</m:t>
                      </m:r>
                    </m:e>
                    <m:sub>
                      <m:r>
                        <m:t>i</m:t>
                      </m:r>
                    </m:sub>
                  </m:sSub>
                  <m:r>
                    <m:rPr>
                      <m:sty m:val="p"/>
                    </m:rPr>
                    <m:t>ln</m:t>
                  </m:r>
                  <m:sSub>
                    <m:e>
                      <m:acc>
                        <m:accPr>
                          <m:chr m:val="̃"/>
                        </m:accPr>
                        <m:e>
                          <m:r>
                            <m:t>p</m:t>
                          </m:r>
                        </m:e>
                      </m:acc>
                    </m:e>
                    <m:sub>
                      <m:r>
                        <m:t>i</m:t>
                      </m:r>
                    </m:sub>
                  </m:sSub>
                  <m:r>
                    <m:rPr>
                      <m:sty m:val="p"/>
                    </m:rPr>
                    <m:t>+</m:t>
                  </m:r>
                  <m:d>
                    <m:dPr>
                      <m:begChr m:val="("/>
                      <m:endChr m:val=")"/>
                      <m:sepChr m:val=""/>
                      <m:grow/>
                    </m:dPr>
                    <m:e>
                      <m:r>
                        <m:t>1</m:t>
                      </m:r>
                      <m:r>
                        <m:rPr>
                          <m:sty m:val="p"/>
                        </m:rPr>
                        <m:t>−</m:t>
                      </m:r>
                      <m:sSub>
                        <m:e>
                          <m:r>
                            <m:t>y</m:t>
                          </m:r>
                        </m:e>
                        <m:sub>
                          <m:r>
                            <m:t>i</m:t>
                          </m:r>
                        </m:sub>
                      </m:sSub>
                    </m:e>
                  </m:d>
                  <m:r>
                    <m:rPr>
                      <m:sty m:val="p"/>
                    </m:rPr>
                    <m:t>ln</m:t>
                  </m:r>
                  <m:d>
                    <m:dPr>
                      <m:begChr m:val="("/>
                      <m:endChr m:val=")"/>
                      <m:sepChr m:val=""/>
                      <m:grow/>
                    </m:dPr>
                    <m:e>
                      <m:r>
                        <m:t>1</m:t>
                      </m:r>
                      <m:r>
                        <m:rPr>
                          <m:sty m:val="p"/>
                        </m:rPr>
                        <m:t>−</m:t>
                      </m:r>
                      <m:sSub>
                        <m:e>
                          <m:acc>
                            <m:accPr>
                              <m:chr m:val="̃"/>
                            </m:accPr>
                            <m:e>
                              <m:r>
                                <m:t>p</m:t>
                              </m:r>
                            </m:e>
                          </m:acc>
                        </m:e>
                        <m:sub>
                          <m:r>
                            <m:t>i</m:t>
                          </m:r>
                        </m:sub>
                      </m:sSub>
                    </m:e>
                  </m:d>
                </m:e>
              </m:d>
            </m:e>
          </m:nary>
          <m:r>
            <m:rPr>
              <m:sty m:val="p"/>
            </m:rPr>
            <m:t>−</m:t>
          </m:r>
          <m:r>
            <m:t>λ</m:t>
          </m:r>
          <m:r>
            <m:rPr>
              <m:sty m:val="p"/>
            </m:rPr>
            <m:t>∥</m:t>
          </m:r>
          <m:r>
            <m:t>β</m:t>
          </m:r>
          <m:sSubSup>
            <m:e>
              <m:r>
                <m:rPr>
                  <m:sty m:val="p"/>
                </m:rPr>
                <m:t>∥</m:t>
              </m:r>
            </m:e>
            <m:sub>
              <m:r>
                <m:t>2</m:t>
              </m:r>
            </m:sub>
            <m:sup>
              <m:r>
                <m:t>2</m:t>
              </m:r>
            </m:sup>
          </m:sSubSup>
          <m:r>
            <m:t>  </m:t>
          </m:r>
          <m:d>
            <m:dPr>
              <m:begChr m:val="("/>
              <m:endChr m:val=")"/>
              <m:sepChr m:val=""/>
              <m:grow/>
            </m:dPr>
            <m:e>
              <m:r>
                <m:t>3.2</m:t>
              </m:r>
            </m:e>
          </m:d>
        </m:oMath>
      </m:oMathPara>
    </w:p>
    <w:p>
      <w:pPr>
        <w:pStyle w:val="FirstParagraph"/>
      </w:pPr>
      <w:r>
        <w:t xml:space="preserve">where D</w:t>
      </w:r>
      <w:r>
        <w:rPr>
          <w:vertAlign w:val="subscript"/>
        </w:rPr>
        <w:t xml:space="preserve">fit</w:t>
      </w:r>
      <w:r>
        <w:t xml:space="preserve"> </w:t>
      </w:r>
      <w:r>
        <w:t xml:space="preserve">is the set of labeled fitting steps, y</w:t>
      </w:r>
      <w:r>
        <w:rPr>
          <w:vertAlign w:val="subscript"/>
        </w:rPr>
        <w:t xml:space="preserve">i</w:t>
      </w:r>
      <w:r>
        <w:t xml:space="preserve"> </w:t>
      </w:r>
      <w:r>
        <w:t xml:space="preserve">∈ {0, 1} are their labels, p̃</w:t>
      </w:r>
      <w:r>
        <w:rPr>
          <w:vertAlign w:val="subscript"/>
        </w:rPr>
        <w:t xml:space="preserve">i</w:t>
      </w:r>
      <w:r>
        <w:t xml:space="preserve"> </w:t>
      </w:r>
      <w:r>
        <w:t xml:space="preserve">is given by Equation 3.1, and λ ≥ 0 controls the strength of the quadratic penalty. The intercept is not penalized.</w:t>
      </w:r>
    </w:p>
    <w:p>
      <w:pPr>
        <w:pStyle w:val="BodyText"/>
      </w:pPr>
      <w:r>
        <w:rPr>
          <w:iCs/>
          <w:i/>
        </w:rPr>
        <w:t xml:space="preserve">Role in REM:</w:t>
      </w:r>
      <w:r>
        <w:t xml:space="preserve"> </w:t>
      </w:r>
      <w:r>
        <w:t xml:space="preserve">produces finite and stable coefficients from small, imbalanced data with binary features.</w:t>
      </w:r>
      <w:r>
        <w:t xml:space="preserve"> </w:t>
      </w:r>
      <w:r>
        <w:rPr>
          <w:iCs/>
          <w:i/>
        </w:rPr>
        <w:t xml:space="preserve">Status:</w:t>
      </w:r>
      <w:r>
        <w:t xml:space="preserve"> </w:t>
      </w:r>
      <w:r>
        <w:t xml:space="preserve">established from source.</w:t>
      </w:r>
    </w:p>
    <w:p>
      <w:pPr>
        <w:pStyle w:val="BodyText"/>
      </w:pPr>
      <w:r>
        <w:t xml:space="preserve">The quadratic penalty is needed for a specific reason. The evidence features are mostly binary, and adversarial steps are scarce (Section 3.11.4). If a single indicator appears only in adversarial fitting steps, the unpenalized maximum-likelihood estimate does not exist as a finite value. The penalty keeps the estimates finite.</w:t>
      </w:r>
    </w:p>
    <w:p>
      <w:pPr>
        <w:pStyle w:val="BodyText"/>
      </w:pPr>
      <w:r>
        <w:rPr>
          <w:bCs/>
          <w:b/>
        </w:rPr>
        <w:t xml:space="preserve">Reference parameterization of λ.</w:t>
      </w:r>
      <w:r>
        <w:t xml:space="preserve"> </w:t>
      </w:r>
      <w:r>
        <w:t xml:space="preserve">This thesis fixes the penalty as written in Equation 3.2, λ‖β‖². The implementation (Chapter 4) minimizes the negative log-likelihood plus (λ</w:t>
      </w:r>
      <w:r>
        <w:rPr>
          <w:vertAlign w:val="subscript"/>
        </w:rPr>
        <w:t xml:space="preserve">impl</w:t>
      </w:r>
      <w:r>
        <w:t xml:space="preserve">/2)‖β‖², so the two parameterizations correspond exactly when λ = λ</w:t>
      </w:r>
      <w:r>
        <w:rPr>
          <w:vertAlign w:val="subscript"/>
        </w:rPr>
        <w:t xml:space="preserve">impl</w:t>
      </w:r>
      <w:r>
        <w:t xml:space="preserve">/2. Because λ is selected from a</w:t>
      </w:r>
      <w:r>
        <w:t xml:space="preserve"> </w:t>
      </w:r>
      <w:r>
        <w:rPr>
          <w:iCs/>
          <w:i/>
        </w:rPr>
        <w:t xml:space="preserve">finite</w:t>
      </w:r>
      <w:r>
        <w:t xml:space="preserve"> </w:t>
      </w:r>
      <w:r>
        <w:t xml:space="preserve">grid, the two scales are equivalent only under this conversion: the declared grid λ</w:t>
      </w:r>
      <w:r>
        <w:rPr>
          <w:vertAlign w:val="subscript"/>
        </w:rPr>
        <w:t xml:space="preserve">impl</w:t>
      </w:r>
      <w:r>
        <w:t xml:space="preserve"> </w:t>
      </w:r>
      <w:r>
        <w:t xml:space="preserve">∈ {0.01, 0.1, 1, 10, 100} is the grid λ ∈ {0.005, 0.05, 0.5, 5, 50} on the scale of Equation 3.2. Every selected value is reported on both scales. The scaling constant in le Cessie and van Houwelingen (1992) has not been checked against the full text; it does not affect the method, which depends only on the stated objective and the declared grid.</w:t>
      </w:r>
    </w:p>
    <w:p>
      <w:pPr>
        <w:pStyle w:val="BodyText"/>
      </w:pPr>
      <w:r>
        <w:t xml:space="preserve">No interaction terms are included by default. Equation 3.1 assumes that the log-odds of adversarial induction are approximately linear in the evidence.</w:t>
      </w:r>
    </w:p>
    <w:bookmarkEnd w:id="130"/>
    <w:bookmarkStart w:id="131" w:name="calibration-on-the-logit"/>
    <w:p>
      <w:pPr>
        <w:pStyle w:val="Heading3"/>
      </w:pPr>
      <w:r>
        <w:t xml:space="preserve">3.7.2 Calibration on the logit</w:t>
      </w:r>
    </w:p>
    <w:p>
      <w:pPr>
        <w:pStyle w:val="FirstParagraph"/>
      </w:pPr>
      <w:r>
        <w:t xml:space="preserve">The uncalibrated probability p̃</w:t>
      </w:r>
      <w:r>
        <w:rPr>
          <w:vertAlign w:val="subscript"/>
        </w:rPr>
        <w:t xml:space="preserve">t</w:t>
      </w:r>
      <w:r>
        <w:t xml:space="preserve"> </w:t>
      </w:r>
      <w:r>
        <w:t xml:space="preserve">need not agree with observed frequencies. Ridge shrinkage and class imbalance can both distort it. Because the decision rule in Section 3.7.5 treats the probability as a probability, REM recalibrates it with a two-parameter logistic map applied to the logit:</w:t>
      </w:r>
    </w:p>
    <w:p>
      <w:pPr>
        <w:pStyle w:val="BodyText"/>
      </w:pPr>
      <m:oMathPara>
        <m:oMathParaPr>
          <m:jc m:val="center"/>
        </m:oMathParaPr>
        <m:oMath>
          <m:sSub>
            <m:e>
              <m:r>
                <m:t>p</m:t>
              </m:r>
            </m:e>
            <m:sub>
              <m:r>
                <m:t>t</m:t>
              </m:r>
            </m:sub>
          </m:sSub>
          <m:r>
            <m:rPr>
              <m:sty m:val="p"/>
            </m:rPr>
            <m:t>=</m:t>
          </m:r>
          <m:r>
            <m:t>σ</m:t>
          </m:r>
          <m:d>
            <m:dPr>
              <m:begChr m:val="("/>
              <m:endChr m:val=")"/>
              <m:sepChr m:val=""/>
              <m:grow/>
            </m:dPr>
            <m:e>
              <m:sSub>
                <m:e>
                  <m:r>
                    <m:t>γ</m:t>
                  </m:r>
                </m:e>
                <m:sub>
                  <m:r>
                    <m:t>1</m:t>
                  </m:r>
                </m:sub>
              </m:sSub>
              <m:sSub>
                <m:e>
                  <m:r>
                    <m:t>s</m:t>
                  </m:r>
                </m:e>
                <m:sub>
                  <m:r>
                    <m:t>t</m:t>
                  </m:r>
                </m:sub>
              </m:sSub>
              <m:r>
                <m:rPr>
                  <m:sty m:val="p"/>
                </m:rPr>
                <m:t>+</m:t>
              </m:r>
              <m:sSub>
                <m:e>
                  <m:r>
                    <m:t>γ</m:t>
                  </m:r>
                </m:e>
                <m:sub>
                  <m:r>
                    <m:t>0</m:t>
                  </m:r>
                </m:sub>
              </m:sSub>
            </m:e>
          </m:d>
          <m:r>
            <m:rPr>
              <m:sty m:val="p"/>
            </m:rPr>
            <m:t>,</m:t>
          </m:r>
          <m:r>
            <m:t>  </m:t>
          </m:r>
          <m:sSub>
            <m:e>
              <m:r>
                <m:t>γ</m:t>
              </m:r>
            </m:e>
            <m:sub>
              <m:r>
                <m:t>1</m:t>
              </m:r>
            </m:sub>
          </m:sSub>
          <m:r>
            <m:rPr>
              <m:sty m:val="p"/>
            </m:rPr>
            <m:t>&gt;</m:t>
          </m:r>
          <m:r>
            <m:t>0</m:t>
          </m:r>
          <m:r>
            <m:t>  </m:t>
          </m:r>
          <m:d>
            <m:dPr>
              <m:begChr m:val="("/>
              <m:endChr m:val=")"/>
              <m:sepChr m:val=""/>
              <m:grow/>
            </m:dPr>
            <m:e>
              <m:r>
                <m:t>3.3</m:t>
              </m:r>
            </m:e>
          </m:d>
        </m:oMath>
      </m:oMathPara>
    </w:p>
    <w:p>
      <w:pPr>
        <w:pStyle w:val="FirstParagraph"/>
      </w:pPr>
      <w:r>
        <w:t xml:space="preserve">where γ</w:t>
      </w:r>
      <w:r>
        <w:rPr>
          <w:vertAlign w:val="subscript"/>
        </w:rPr>
        <w:t xml:space="preserve">1</w:t>
      </w:r>
      <w:r>
        <w:t xml:space="preserve"> </w:t>
      </w:r>
      <w:r>
        <w:t xml:space="preserve">is the calibration slope and γ</w:t>
      </w:r>
      <w:r>
        <w:rPr>
          <w:vertAlign w:val="subscript"/>
        </w:rPr>
        <w:t xml:space="preserve">0</w:t>
      </w:r>
      <w:r>
        <w:t xml:space="preserve"> </w:t>
      </w:r>
      <w:r>
        <w:t xml:space="preserve">is the calibration intercept.</w:t>
      </w:r>
    </w:p>
    <w:p>
      <w:pPr>
        <w:pStyle w:val="BodyText"/>
      </w:pPr>
      <w:r>
        <w:rPr>
          <w:iCs/>
          <w:i/>
        </w:rPr>
        <w:t xml:space="preserve">Role in REM:</w:t>
      </w:r>
      <w:r>
        <w:t xml:space="preserve"> </w:t>
      </w:r>
      <w:r>
        <w:t xml:space="preserve">produces the calibrated probability used by the decision rule.</w:t>
      </w:r>
      <w:r>
        <w:t xml:space="preserve"> </w:t>
      </w:r>
      <w:r>
        <w:rPr>
          <w:iCs/>
          <w:i/>
        </w:rPr>
        <w:t xml:space="preserve">Status:</w:t>
      </w:r>
      <w:r>
        <w:t xml:space="preserve"> </w:t>
      </w:r>
      <w:r>
        <w:t xml:space="preserve">adapted from source. The method is Platt scaling (Platt, 1999). The two-parameter logistic form with parameters fitted by negative log-likelihood on held-out data follows Guo et al. (2017). The map is applied here to the logit of a logistic regression model. The monotonicity condition follows Kull et al. (2017), who require a non-negative slope for a non-decreasing map; REM requires a strictly positive slope so that the ranking of steps is preserved.</w:t>
      </w:r>
    </w:p>
    <w:p>
      <w:pPr>
        <w:pStyle w:val="BodyText"/>
      </w:pPr>
      <w:r>
        <w:t xml:space="preserve">The calibration parameters are fitted by minimizing the negative log-likelihood on held-out logits (Guo et al., 2017):</w:t>
      </w:r>
    </w:p>
    <w:p>
      <w:pPr>
        <w:pStyle w:val="BodyText"/>
      </w:pPr>
      <m:oMathPara>
        <m:oMathParaPr>
          <m:jc m:val="center"/>
        </m:oMathParaPr>
        <m:oMath>
          <m:d>
            <m:dPr>
              <m:begChr m:val="("/>
              <m:endChr m:val=")"/>
              <m:sepChr m:val=""/>
              <m:grow/>
            </m:dPr>
            <m:e>
              <m:sSub>
                <m:e>
                  <m:acc>
                    <m:accPr>
                      <m:chr m:val="̂"/>
                    </m:accPr>
                    <m:e>
                      <m:r>
                        <m:t>γ</m:t>
                      </m:r>
                    </m:e>
                  </m:acc>
                </m:e>
                <m:sub>
                  <m:r>
                    <m:t>1</m:t>
                  </m:r>
                </m:sub>
              </m:sSub>
              <m:r>
                <m:rPr>
                  <m:sty m:val="p"/>
                </m:rPr>
                <m:t>,</m:t>
              </m:r>
              <m:sSub>
                <m:e>
                  <m:acc>
                    <m:accPr>
                      <m:chr m:val="̂"/>
                    </m:accPr>
                    <m:e>
                      <m:r>
                        <m:t>γ</m:t>
                      </m:r>
                    </m:e>
                  </m:acc>
                </m:e>
                <m:sub>
                  <m:r>
                    <m:t>0</m:t>
                  </m:r>
                </m:sub>
              </m:sSub>
            </m:e>
          </m:d>
          <m:r>
            <m:rPr>
              <m:sty m:val="p"/>
            </m:rPr>
            <m:t>=</m:t>
          </m:r>
          <m:r>
            <m:rPr>
              <m:sty m:val="p"/>
            </m:rPr>
            <m:t>arg</m:t>
          </m:r>
          <m:limLow>
            <m:e>
              <m:r>
                <m:rPr>
                  <m:sty m:val="p"/>
                </m:rPr>
                <m:t>min</m:t>
              </m:r>
            </m:e>
            <m:lim>
              <m:sSub>
                <m:e>
                  <m:r>
                    <m:t>γ</m:t>
                  </m:r>
                </m:e>
                <m:sub>
                  <m:r>
                    <m:t>1</m:t>
                  </m:r>
                </m:sub>
              </m:sSub>
              <m:r>
                <m:rPr>
                  <m:sty m:val="p"/>
                </m:rPr>
                <m:t>,</m:t>
              </m:r>
              <m:sSub>
                <m:e>
                  <m:r>
                    <m:t>γ</m:t>
                  </m:r>
                </m:e>
                <m:sub>
                  <m:r>
                    <m:t>0</m:t>
                  </m:r>
                </m:sub>
              </m:sSub>
            </m:lim>
          </m:limLow>
          <m:r>
            <m:t> </m:t>
          </m:r>
          <m:r>
            <m:rPr>
              <m:sty m:val="p"/>
            </m:rPr>
            <m:t>−</m:t>
          </m:r>
          <m:nary>
            <m:naryPr>
              <m:chr m:val="∑"/>
              <m:limLoc m:val="undOvr"/>
              <m:subHide m:val="off"/>
              <m:supHide m:val="on"/>
            </m:naryPr>
            <m:sub>
              <m:r>
                <m:t>i</m:t>
              </m:r>
              <m:r>
                <m:rPr>
                  <m:sty m:val="p"/>
                </m:rPr>
                <m:t>∈</m:t>
              </m:r>
              <m:sSub>
                <m:e>
                  <m:r>
                    <m:t>D</m:t>
                  </m:r>
                </m:e>
                <m:sub>
                  <m:r>
                    <m:rPr>
                      <m:sty m:val="p"/>
                    </m:rPr>
                    <m:t>c</m:t>
                  </m:r>
                  <m:r>
                    <m:rPr>
                      <m:sty m:val="p"/>
                    </m:rPr>
                    <m:t>a</m:t>
                  </m:r>
                  <m:r>
                    <m:rPr>
                      <m:sty m:val="p"/>
                    </m:rPr>
                    <m:t>l</m:t>
                  </m:r>
                </m:sub>
              </m:sSub>
            </m:sub>
            <m:sup>
              <m:r>
                <m:t>​</m:t>
              </m:r>
            </m:sup>
            <m:e>
              <m:d>
                <m:dPr>
                  <m:begChr m:val="["/>
                  <m:endChr m:val="]"/>
                  <m:sepChr m:val=""/>
                  <m:grow/>
                </m:dPr>
                <m:e>
                  <m:sSub>
                    <m:e>
                      <m:r>
                        <m:t>y</m:t>
                      </m:r>
                    </m:e>
                    <m:sub>
                      <m:r>
                        <m:t>i</m:t>
                      </m:r>
                    </m:sub>
                  </m:sSub>
                  <m:r>
                    <m:rPr>
                      <m:sty m:val="p"/>
                    </m:rPr>
                    <m:t>ln</m:t>
                  </m:r>
                  <m:sSub>
                    <m:e>
                      <m:r>
                        <m:t>p</m:t>
                      </m:r>
                    </m:e>
                    <m:sub>
                      <m:r>
                        <m:t>i</m:t>
                      </m:r>
                    </m:sub>
                  </m:sSub>
                  <m:r>
                    <m:rPr>
                      <m:sty m:val="p"/>
                    </m:rPr>
                    <m:t>+</m:t>
                  </m:r>
                  <m:d>
                    <m:dPr>
                      <m:begChr m:val="("/>
                      <m:endChr m:val=")"/>
                      <m:sepChr m:val=""/>
                      <m:grow/>
                    </m:dPr>
                    <m:e>
                      <m:r>
                        <m:t>1</m:t>
                      </m:r>
                      <m:r>
                        <m:rPr>
                          <m:sty m:val="p"/>
                        </m:rPr>
                        <m:t>−</m:t>
                      </m:r>
                      <m:sSub>
                        <m:e>
                          <m:r>
                            <m:t>y</m:t>
                          </m:r>
                        </m:e>
                        <m:sub>
                          <m:r>
                            <m:t>i</m:t>
                          </m:r>
                        </m:sub>
                      </m:sSub>
                    </m:e>
                  </m:d>
                  <m:r>
                    <m:rPr>
                      <m:sty m:val="p"/>
                    </m:rPr>
                    <m:t>ln</m:t>
                  </m:r>
                  <m:d>
                    <m:dPr>
                      <m:begChr m:val="("/>
                      <m:endChr m:val=")"/>
                      <m:sepChr m:val=""/>
                      <m:grow/>
                    </m:dPr>
                    <m:e>
                      <m:r>
                        <m:t>1</m:t>
                      </m:r>
                      <m:r>
                        <m:rPr>
                          <m:sty m:val="p"/>
                        </m:rPr>
                        <m:t>−</m:t>
                      </m:r>
                      <m:sSub>
                        <m:e>
                          <m:r>
                            <m:t>p</m:t>
                          </m:r>
                        </m:e>
                        <m:sub>
                          <m:r>
                            <m:t>i</m:t>
                          </m:r>
                        </m:sub>
                      </m:sSub>
                    </m:e>
                  </m:d>
                </m:e>
              </m:d>
            </m:e>
          </m:nary>
          <m:r>
            <m:t>  </m:t>
          </m:r>
          <m:d>
            <m:dPr>
              <m:begChr m:val="("/>
              <m:endChr m:val=")"/>
              <m:sepChr m:val=""/>
              <m:grow/>
            </m:dPr>
            <m:e>
              <m:r>
                <m:t>3.4</m:t>
              </m:r>
            </m:e>
          </m:d>
        </m:oMath>
      </m:oMathPara>
    </w:p>
    <w:p>
      <w:pPr>
        <w:pStyle w:val="FirstParagraph"/>
      </w:pPr>
      <w:r>
        <w:t xml:space="preserve">where D</w:t>
      </w:r>
      <w:r>
        <w:rPr>
          <w:vertAlign w:val="subscript"/>
        </w:rPr>
        <w:t xml:space="preserve">cal</w:t>
      </w:r>
      <w:r>
        <w:t xml:space="preserve"> </w:t>
      </w:r>
      <w:r>
        <w:t xml:space="preserve">is a set of steps whose logits s</w:t>
      </w:r>
      <w:r>
        <w:rPr>
          <w:vertAlign w:val="subscript"/>
        </w:rPr>
        <w:t xml:space="preserve">i</w:t>
      </w:r>
      <w:r>
        <w:t xml:space="preserve"> </w:t>
      </w:r>
      <w:r>
        <w:t xml:space="preserve">were produced by a model that was not fitted on those steps. Fitting Equation 3.4 on the model’s own training logits would be close to degenerate, so REM uses out-of-fold logits from grouped cross-fitting (Section 3.9).</w:t>
      </w:r>
    </w:p>
    <w:p>
      <w:pPr>
        <w:pStyle w:val="BodyText"/>
      </w:pPr>
      <w:r>
        <w:rPr>
          <w:iCs/>
          <w:i/>
        </w:rPr>
        <w:t xml:space="preserve">Status:</w:t>
      </w:r>
      <w:r>
        <w:t xml:space="preserve"> </w:t>
      </w:r>
      <w:r>
        <w:t xml:space="preserve">established from source (Guo et al., 2017).</w:t>
      </w:r>
    </w:p>
    <w:p>
      <w:pPr>
        <w:pStyle w:val="BodyText"/>
      </w:pPr>
      <w:r>
        <w:rPr>
          <w:bCs/>
          <w:b/>
        </w:rPr>
        <w:t xml:space="preserve">Fitting target.</w:t>
      </w:r>
      <w:r>
        <w:t xml:space="preserve"> </w:t>
      </w:r>
      <w:r>
        <w:t xml:space="preserve">Equation 3.4 fits the calibration map to the observed labels y</w:t>
      </w:r>
      <w:r>
        <w:rPr>
          <w:vertAlign w:val="subscript"/>
        </w:rPr>
        <w:t xml:space="preserve">i</w:t>
      </w:r>
      <w:r>
        <w:t xml:space="preserve">. Platt’s original procedure instead fits against smoothed targets, t₊ = (N₊ + 1)/(N₊ + 2) and t₋ = 1/(N₋ + 2), to reduce overfitting on small calibration sets. This thesis takes Equation 3.4 as the reference definition and evaluates Platt’s smoothed targets as a sensitivity analysis.</w:t>
      </w:r>
    </w:p>
    <w:p>
      <w:pPr>
        <w:pStyle w:val="BodyText"/>
      </w:pPr>
      <w:r>
        <w:t xml:space="preserve">Four properties of this choice are stated.</w:t>
      </w:r>
    </w:p>
    <w:p>
      <w:pPr>
        <w:numPr>
          <w:ilvl w:val="0"/>
          <w:numId w:val="1119"/>
        </w:numPr>
        <w:pStyle w:val="Compact"/>
      </w:pPr>
      <w:r>
        <w:rPr>
          <w:bCs/>
          <w:b/>
        </w:rPr>
        <w:t xml:space="preserve">It changes probabilities, not rankings.</w:t>
      </w:r>
      <w:r>
        <w:t xml:space="preserve"> </w:t>
      </w:r>
      <w:r>
        <w:t xml:space="preserve">With γ</w:t>
      </w:r>
      <w:r>
        <w:rPr>
          <w:vertAlign w:val="subscript"/>
        </w:rPr>
        <w:t xml:space="preserve">1</w:t>
      </w:r>
      <w:r>
        <w:t xml:space="preserve"> </w:t>
      </w:r>
      <w:r>
        <w:t xml:space="preserve">&gt; 0, Equation 3.3 is strictly increasing in s</w:t>
      </w:r>
      <w:r>
        <w:rPr>
          <w:vertAlign w:val="subscript"/>
        </w:rPr>
        <w:t xml:space="preserve">t</w:t>
      </w:r>
      <w:r>
        <w:t xml:space="preserve">. Calibration therefore leaves ROC-AUC, PR-AUC, and any decision based only on the ordering of steps unchanged. If the fitted slope is not positive, calibration is rejected for that fit and the event is reported.</w:t>
      </w:r>
    </w:p>
    <w:p>
      <w:pPr>
        <w:numPr>
          <w:ilvl w:val="0"/>
          <w:numId w:val="1119"/>
        </w:numPr>
        <w:pStyle w:val="Compact"/>
      </w:pPr>
      <w:r>
        <w:rPr>
          <w:bCs/>
          <w:b/>
        </w:rPr>
        <w:t xml:space="preserve">It is the minimal adequate family.</w:t>
      </w:r>
      <w:r>
        <w:t xml:space="preserve"> </w:t>
      </w:r>
      <w:r>
        <w:t xml:space="preserve">Kull et al. (2017) prove that beta calibration with equal shape parameters equals logistic calibration applied to the log-odds of a score. Since p̃</w:t>
      </w:r>
      <w:r>
        <w:rPr>
          <w:vertAlign w:val="subscript"/>
        </w:rPr>
        <w:t xml:space="preserve">t</w:t>
      </w:r>
      <w:r>
        <w:t xml:space="preserve"> </w:t>
      </w:r>
      <w:r>
        <w:t xml:space="preserve">= σ(s</w:t>
      </w:r>
      <w:r>
        <w:rPr>
          <w:vertAlign w:val="subscript"/>
        </w:rPr>
        <w:t xml:space="preserve">t</w:t>
      </w:r>
      <w:r>
        <w:t xml:space="preserve">), the log-odds of p̃</w:t>
      </w:r>
      <w:r>
        <w:rPr>
          <w:vertAlign w:val="subscript"/>
        </w:rPr>
        <w:t xml:space="preserve">t</w:t>
      </w:r>
      <w:r>
        <w:t xml:space="preserve"> </w:t>
      </w:r>
      <w:r>
        <w:t xml:space="preserve">is s</w:t>
      </w:r>
      <w:r>
        <w:rPr>
          <w:vertAlign w:val="subscript"/>
        </w:rPr>
        <w:t xml:space="preserve">t</w:t>
      </w:r>
      <w:r>
        <w:t xml:space="preserve">, so Equation 3.3 is exactly beta calibration with equal shape parameters applied to p̃</w:t>
      </w:r>
      <w:r>
        <w:rPr>
          <w:vertAlign w:val="subscript"/>
        </w:rPr>
        <w:t xml:space="preserve">t</w:t>
      </w:r>
      <w:r>
        <w:t xml:space="preserve">. The identity map is included (γ</w:t>
      </w:r>
      <w:r>
        <w:rPr>
          <w:vertAlign w:val="subscript"/>
        </w:rPr>
        <w:t xml:space="preserve">1</w:t>
      </w:r>
      <w:r>
        <w:t xml:space="preserve"> </w:t>
      </w:r>
      <w:r>
        <w:t xml:space="preserve">= 1, γ</w:t>
      </w:r>
      <w:r>
        <w:rPr>
          <w:vertAlign w:val="subscript"/>
        </w:rPr>
        <w:t xml:space="preserve">0</w:t>
      </w:r>
      <w:r>
        <w:t xml:space="preserve"> </w:t>
      </w:r>
      <w:r>
        <w:t xml:space="preserve">= 0). Full beta calibration adds a third parameter, and isotonic regression is nonparametric; neither is adopted, given the limited calibration data.</w:t>
      </w:r>
    </w:p>
    <w:p>
      <w:pPr>
        <w:numPr>
          <w:ilvl w:val="0"/>
          <w:numId w:val="1119"/>
        </w:numPr>
        <w:pStyle w:val="Compact"/>
      </w:pPr>
      <w:r>
        <w:rPr>
          <w:bCs/>
          <w:b/>
        </w:rPr>
        <w:t xml:space="preserve">It is not a contribution.</w:t>
      </w:r>
      <w:r>
        <w:t xml:space="preserve"> </w:t>
      </w:r>
      <w:r>
        <w:t xml:space="preserve">Calibrated logistic risk scores are already used in agent safety (Hossain et al., 2026).</w:t>
      </w:r>
    </w:p>
    <w:p>
      <w:pPr>
        <w:numPr>
          <w:ilvl w:val="0"/>
          <w:numId w:val="1119"/>
        </w:numPr>
        <w:pStyle w:val="Compact"/>
      </w:pPr>
      <w:r>
        <w:rPr>
          <w:bCs/>
          <w:b/>
        </w:rPr>
        <w:t xml:space="preserve">It does not guarantee good control.</w:t>
      </w:r>
      <w:r>
        <w:t xml:space="preserve"> </w:t>
      </w:r>
      <w:r>
        <w:t xml:space="preserve">C. Zhang et al. (2026) show that recalibrating a scalar risk score can improve calibration error while leaving control regret under threshold routing unchanged, because a scalar probability does not represent whether an intervention would improve the outcome. REM therefore reports calibration quality and control outcomes separately (Section 3.12) and does not claim that calibration improves control.</w:t>
      </w:r>
    </w:p>
    <w:bookmarkEnd w:id="131"/>
    <w:bookmarkStart w:id="132" w:name="consequence-tiers"/>
    <w:p>
      <w:pPr>
        <w:pStyle w:val="Heading3"/>
      </w:pPr>
      <w:r>
        <w:t xml:space="preserve">3.7.3 Consequence tiers</w:t>
      </w:r>
    </w:p>
    <w:p>
      <w:pPr>
        <w:pStyle w:val="FirstParagraph"/>
      </w:pPr>
      <w:r>
        <w:t xml:space="preserve">The consequence of a proposed action is described by descriptors z</w:t>
      </w:r>
      <w:r>
        <w:rPr>
          <w:vertAlign w:val="subscript"/>
        </w:rPr>
        <w:t xml:space="preserve">t</w:t>
      </w:r>
      <w:r>
        <w:t xml:space="preserve"> </w:t>
      </w:r>
      <w:r>
        <w:t xml:space="preserve">obtained from the action itself (Table 3.10). They are mapped to a consequence tier k</w:t>
      </w:r>
      <w:r>
        <w:rPr>
          <w:vertAlign w:val="subscript"/>
        </w:rPr>
        <w:t xml:space="preserve">t</w:t>
      </w:r>
      <w:r>
        <w:t xml:space="preserve"> </w:t>
      </w:r>
      <w:r>
        <w:t xml:space="preserve">= κ(z</w:t>
      </w:r>
      <w:r>
        <w:rPr>
          <w:vertAlign w:val="subscript"/>
        </w:rPr>
        <w:t xml:space="preserve">t</w:t>
      </w:r>
      <w:r>
        <w:t xml:space="preserve">) ∈ {1, …, K} by a declared policy function κ. Consequence descriptors do not enter Equation 3.1; they affect the verdict only through the loss.</w:t>
      </w:r>
    </w:p>
    <w:p>
      <w:pPr>
        <w:pStyle w:val="BodyText"/>
      </w:pPr>
      <w:r>
        <w:rPr>
          <w:bCs/>
          <w:b/>
        </w:rPr>
        <w:t xml:space="preserve">Table 3.10. Consequence descriptors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Descriptor</w:t>
            </w:r>
          </w:p>
        </w:tc>
        <w:tc>
          <w:tcPr/>
          <w:p>
            <w:pPr>
              <w:pStyle w:val="Compact"/>
              <w:jc w:val="left"/>
            </w:pPr>
            <w:r>
              <w:t xml:space="preserve">Meaning</w:t>
            </w:r>
          </w:p>
        </w:tc>
        <w:tc>
          <w:tcPr/>
          <w:p>
            <w:pPr>
              <w:pStyle w:val="Compact"/>
              <w:jc w:val="left"/>
            </w:pPr>
            <w:r>
              <w:t xml:space="preserve">How obtained</w:t>
            </w:r>
          </w:p>
        </w:tc>
        <w:tc>
          <w:tcPr/>
          <w:p>
            <w:pPr>
              <w:pStyle w:val="Compact"/>
              <w:jc w:val="left"/>
            </w:pPr>
            <w:r>
              <w:t xml:space="preserve">Availability</w:t>
            </w:r>
          </w:p>
        </w:tc>
      </w:tr>
      <w:tr>
        <w:tc>
          <w:tcPr/>
          <w:p>
            <w:pPr>
              <w:pStyle w:val="Compact"/>
              <w:jc w:val="left"/>
            </w:pPr>
            <w:r>
              <w:t xml:space="preserve">Action category</w:t>
            </w:r>
          </w:p>
        </w:tc>
        <w:tc>
          <w:tcPr/>
          <w:p>
            <w:pPr>
              <w:pStyle w:val="Compact"/>
              <w:jc w:val="left"/>
            </w:pPr>
            <w:r>
              <w:t xml:space="preserve">Read, value transfer, payment modification, credential change, profile change (Table 3.7)</w:t>
            </w:r>
          </w:p>
        </w:tc>
        <w:tc>
          <w:tcPr/>
          <w:p>
            <w:pPr>
              <w:pStyle w:val="Compact"/>
              <w:jc w:val="left"/>
            </w:pPr>
            <w:r>
              <w:t xml:space="preserve">Tool name</w:t>
            </w:r>
          </w:p>
        </w:tc>
        <w:tc>
          <w:tcPr/>
          <w:p>
            <w:pPr>
              <w:pStyle w:val="Compact"/>
              <w:jc w:val="left"/>
            </w:pPr>
            <w:r>
              <w:t xml:space="preserve">Available</w:t>
            </w:r>
          </w:p>
        </w:tc>
      </w:tr>
      <w:tr>
        <w:tc>
          <w:tcPr/>
          <w:p>
            <w:pPr>
              <w:pStyle w:val="Compact"/>
              <w:jc w:val="left"/>
            </w:pPr>
            <w:r>
              <w:t xml:space="preserve">Amount</w:t>
            </w:r>
          </w:p>
        </w:tc>
        <w:tc>
          <w:tcPr/>
          <w:p>
            <w:pPr>
              <w:pStyle w:val="Compact"/>
              <w:jc w:val="left"/>
            </w:pPr>
            <w:r>
              <w:t xml:space="preserve">Monetary amount of a value-transfer or payment-modification call</w:t>
            </w:r>
          </w:p>
        </w:tc>
        <w:tc>
          <w:tcPr/>
          <w:p>
            <w:pPr>
              <w:pStyle w:val="Compact"/>
              <w:jc w:val="left"/>
            </w:pPr>
            <w:r>
              <w:t xml:space="preserve">Action arguments</w:t>
            </w:r>
          </w:p>
        </w:tc>
        <w:tc>
          <w:tcPr/>
          <w:p>
            <w:pPr>
              <w:pStyle w:val="Compact"/>
              <w:jc w:val="left"/>
            </w:pPr>
            <w:r>
              <w:t xml:space="preserve">Available where the tool takes an amount</w:t>
            </w:r>
          </w:p>
        </w:tc>
      </w:tr>
      <w:tr>
        <w:tc>
          <w:tcPr/>
          <w:p>
            <w:pPr>
              <w:pStyle w:val="Compact"/>
              <w:jc w:val="left"/>
            </w:pPr>
            <w:r>
              <w:t xml:space="preserve">Recurring-payment change</w:t>
            </w:r>
          </w:p>
        </w:tc>
        <w:tc>
          <w:tcPr/>
          <w:p>
            <w:pPr>
              <w:pStyle w:val="Compact"/>
              <w:jc w:val="left"/>
            </w:pPr>
            <w:r>
              <w:t xml:space="preserve">Whether the action alters a scheduled or recurring payment</w:t>
            </w:r>
          </w:p>
        </w:tc>
        <w:tc>
          <w:tcPr/>
          <w:p>
            <w:pPr>
              <w:pStyle w:val="Compact"/>
              <w:jc w:val="left"/>
            </w:pPr>
            <w:r>
              <w:t xml:space="preserve">Tool name</w:t>
            </w:r>
          </w:p>
        </w:tc>
        <w:tc>
          <w:tcPr/>
          <w:p>
            <w:pPr>
              <w:pStyle w:val="Compact"/>
              <w:jc w:val="left"/>
            </w:pPr>
            <w:r>
              <w:t xml:space="preserve">Available</w:t>
            </w:r>
          </w:p>
        </w:tc>
      </w:tr>
      <w:tr>
        <w:tc>
          <w:tcPr/>
          <w:p>
            <w:pPr>
              <w:pStyle w:val="Compact"/>
              <w:jc w:val="left"/>
            </w:pPr>
            <w:r>
              <w:t xml:space="preserve">Credential change</w:t>
            </w:r>
          </w:p>
        </w:tc>
        <w:tc>
          <w:tcPr/>
          <w:p>
            <w:pPr>
              <w:pStyle w:val="Compact"/>
              <w:jc w:val="left"/>
            </w:pPr>
            <w:r>
              <w:t xml:space="preserve">Whether the action changes account credentials</w:t>
            </w:r>
          </w:p>
        </w:tc>
        <w:tc>
          <w:tcPr/>
          <w:p>
            <w:pPr>
              <w:pStyle w:val="Compact"/>
              <w:jc w:val="left"/>
            </w:pPr>
            <w:r>
              <w:t xml:space="preserve">Tool name</w:t>
            </w:r>
          </w:p>
        </w:tc>
        <w:tc>
          <w:tcPr/>
          <w:p>
            <w:pPr>
              <w:pStyle w:val="Compact"/>
              <w:jc w:val="left"/>
            </w:pPr>
            <w:r>
              <w:t xml:space="preserve">Available</w:t>
            </w:r>
          </w:p>
        </w:tc>
      </w:tr>
      <w:tr>
        <w:tc>
          <w:tcPr/>
          <w:p>
            <w:pPr>
              <w:pStyle w:val="Compact"/>
              <w:jc w:val="left"/>
            </w:pPr>
            <w:r>
              <w:t xml:space="preserve">Irreversibility</w:t>
            </w:r>
          </w:p>
        </w:tc>
        <w:tc>
          <w:tcPr/>
          <w:p>
            <w:pPr>
              <w:pStyle w:val="Compact"/>
              <w:jc w:val="left"/>
            </w:pPr>
            <w:r>
              <w:t xml:space="preserve">Whether the effect is treated as irreversible once executed</w:t>
            </w:r>
          </w:p>
        </w:tc>
        <w:tc>
          <w:tcPr/>
          <w:p>
            <w:pPr>
              <w:pStyle w:val="Compact"/>
              <w:jc w:val="left"/>
            </w:pPr>
            <w:r>
              <w:t xml:space="preserve">Declared per tool</w:t>
            </w:r>
          </w:p>
        </w:tc>
        <w:tc>
          <w:tcPr/>
          <w:p>
            <w:pPr>
              <w:pStyle w:val="Compact"/>
              <w:jc w:val="left"/>
            </w:pPr>
            <w:r>
              <w:t xml:space="preserve">Proposed (policy); the benchmark does not simulate settlement</w:t>
            </w:r>
          </w:p>
        </w:tc>
      </w:tr>
    </w:tbl>
    <w:p>
      <w:pPr>
        <w:pStyle w:val="BodyText"/>
      </w:pPr>
      <w:r>
        <w:rPr>
          <w:bCs/>
          <w:b/>
        </w:rPr>
        <w:t xml:space="preserve">Table 3.11. Illustrative consequence tiers (policy pending supervisor approval)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Tier</w:t>
            </w:r>
          </w:p>
        </w:tc>
        <w:tc>
          <w:tcPr/>
          <w:p>
            <w:pPr>
              <w:pStyle w:val="Compact"/>
              <w:jc w:val="left"/>
            </w:pPr>
            <w:r>
              <w:t xml:space="preserve">Illustrative membership</w:t>
            </w:r>
          </w:p>
        </w:tc>
      </w:tr>
      <w:tr>
        <w:tc>
          <w:tcPr/>
          <w:p>
            <w:pPr>
              <w:pStyle w:val="Compact"/>
              <w:jc w:val="left"/>
            </w:pPr>
            <w:r>
              <w:t xml:space="preserve">1</w:t>
            </w:r>
          </w:p>
        </w:tc>
        <w:tc>
          <w:tcPr/>
          <w:p>
            <w:pPr>
              <w:pStyle w:val="Compact"/>
              <w:jc w:val="left"/>
            </w:pPr>
            <w:r>
              <w:t xml:space="preserve">Read tools</w:t>
            </w:r>
          </w:p>
        </w:tc>
      </w:tr>
      <w:tr>
        <w:tc>
          <w:tcPr/>
          <w:p>
            <w:pPr>
              <w:pStyle w:val="Compact"/>
              <w:jc w:val="left"/>
            </w:pPr>
            <w:r>
              <w:t xml:space="preserve">2</w:t>
            </w:r>
          </w:p>
        </w:tc>
        <w:tc>
          <w:tcPr/>
          <w:p>
            <w:pPr>
              <w:pStyle w:val="Compact"/>
              <w:jc w:val="left"/>
            </w:pPr>
            <w:r>
              <w:t xml:space="preserve">Profile change</w:t>
            </w:r>
          </w:p>
        </w:tc>
      </w:tr>
      <w:tr>
        <w:tc>
          <w:tcPr/>
          <w:p>
            <w:pPr>
              <w:pStyle w:val="Compact"/>
              <w:jc w:val="left"/>
            </w:pPr>
            <w:r>
              <w:t xml:space="preserve">3</w:t>
            </w:r>
          </w:p>
        </w:tc>
        <w:tc>
          <w:tcPr/>
          <w:p>
            <w:pPr>
              <w:pStyle w:val="Compact"/>
              <w:jc w:val="left"/>
            </w:pPr>
            <w:r>
              <w:t xml:space="preserve">Value transfer at or below a declared amount limit</w:t>
            </w:r>
          </w:p>
        </w:tc>
      </w:tr>
      <w:tr>
        <w:tc>
          <w:tcPr/>
          <w:p>
            <w:pPr>
              <w:pStyle w:val="Compact"/>
              <w:jc w:val="left"/>
            </w:pPr>
            <w:r>
              <w:t xml:space="preserve">4</w:t>
            </w:r>
          </w:p>
        </w:tc>
        <w:tc>
          <w:tcPr/>
          <w:p>
            <w:pPr>
              <w:pStyle w:val="Compact"/>
              <w:jc w:val="left"/>
            </w:pPr>
            <w:r>
              <w:t xml:space="preserve">Value transfer above the declared limit; payment modification; credential change</w:t>
            </w:r>
          </w:p>
        </w:tc>
      </w:tr>
    </w:tbl>
    <w:p>
      <w:pPr>
        <w:pStyle w:val="BodyText"/>
      </w:pPr>
      <w:r>
        <w:t xml:space="preserve">The quantities used by the Decision Engine fall into three classes, which are kept distinct throughout the thesis.</w:t>
      </w:r>
    </w:p>
    <w:p>
      <w:pPr>
        <w:pStyle w:val="BodyText"/>
      </w:pPr>
      <w:r>
        <w:rPr>
          <w:bCs/>
          <w:b/>
        </w:rPr>
        <w:t xml:space="preserve">Table 3.12. Learned, measured, and policy quantities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Quantities</w:t>
            </w:r>
          </w:p>
        </w:tc>
        <w:tc>
          <w:tcPr/>
          <w:p>
            <w:pPr>
              <w:pStyle w:val="Compact"/>
              <w:jc w:val="left"/>
            </w:pPr>
            <w:r>
              <w:t xml:space="preserve">How determined</w:t>
            </w:r>
          </w:p>
        </w:tc>
      </w:tr>
      <w:tr>
        <w:tc>
          <w:tcPr/>
          <w:p>
            <w:pPr>
              <w:pStyle w:val="Compact"/>
              <w:jc w:val="left"/>
            </w:pPr>
            <w:r>
              <w:t xml:space="preserve">Learned</w:t>
            </w:r>
          </w:p>
        </w:tc>
        <w:tc>
          <w:tcPr/>
          <w:p>
            <w:pPr>
              <w:pStyle w:val="Compact"/>
              <w:jc w:val="left"/>
            </w:pPr>
            <w:r>
              <w:t xml:space="preserve">β</w:t>
            </w:r>
            <w:r>
              <w:rPr>
                <w:vertAlign w:val="subscript"/>
              </w:rPr>
              <w:t xml:space="preserve">0</w:t>
            </w:r>
            <w:r>
              <w:t xml:space="preserve">, β, γ</w:t>
            </w:r>
            <w:r>
              <w:rPr>
                <w:vertAlign w:val="subscript"/>
              </w:rPr>
              <w:t xml:space="preserve">1</w:t>
            </w:r>
            <w:r>
              <w:t xml:space="preserve">, γ</w:t>
            </w:r>
            <w:r>
              <w:rPr>
                <w:vertAlign w:val="subscript"/>
              </w:rPr>
              <w:t xml:space="preserve">0</w:t>
            </w:r>
          </w:p>
        </w:tc>
        <w:tc>
          <w:tcPr/>
          <w:p>
            <w:pPr>
              <w:pStyle w:val="Compact"/>
              <w:jc w:val="left"/>
            </w:pPr>
            <w:r>
              <w:t xml:space="preserve">Fitted on labeled data by Equations 3.2 and 3.4</w:t>
            </w:r>
          </w:p>
        </w:tc>
      </w:tr>
      <w:tr>
        <w:tc>
          <w:tcPr/>
          <w:p>
            <w:pPr>
              <w:pStyle w:val="Compact"/>
              <w:jc w:val="left"/>
            </w:pPr>
            <w:r>
              <w:t xml:space="preserve">Measured</w:t>
            </w:r>
          </w:p>
        </w:tc>
        <w:tc>
          <w:tcPr/>
          <w:p>
            <w:pPr>
              <w:pStyle w:val="Compact"/>
              <w:jc w:val="left"/>
            </w:pPr>
            <w:r>
              <w:t xml:space="preserve">r</w:t>
            </w:r>
            <w:r>
              <w:rPr>
                <w:vertAlign w:val="subscript"/>
              </w:rPr>
              <w:t xml:space="preserve">mod</w:t>
            </w:r>
            <w:r>
              <w:t xml:space="preserve">(k); benign reference mean x̄; benign transition set; utility impact of Modify</w:t>
            </w:r>
          </w:p>
        </w:tc>
        <w:tc>
          <w:tcPr/>
          <w:p>
            <w:pPr>
              <w:pStyle w:val="Compact"/>
              <w:jc w:val="left"/>
            </w:pPr>
            <w:r>
              <w:t xml:space="preserve">Estimated from observe-only and enforcing-mode runs</w:t>
            </w:r>
          </w:p>
        </w:tc>
      </w:tr>
      <w:tr>
        <w:tc>
          <w:tcPr/>
          <w:p>
            <w:pPr>
              <w:pStyle w:val="Compact"/>
              <w:jc w:val="left"/>
            </w:pPr>
            <w:r>
              <w:t xml:space="preserve">Policy</w:t>
            </w:r>
          </w:p>
        </w:tc>
        <w:tc>
          <w:tcPr/>
          <w:p>
            <w:pPr>
              <w:pStyle w:val="Compact"/>
              <w:jc w:val="left"/>
            </w:pPr>
            <w:r>
              <w:t xml:space="preserve">κ, amount limits, C</w:t>
            </w:r>
            <w:r>
              <w:rPr>
                <w:vertAlign w:val="subscript"/>
              </w:rPr>
              <w:t xml:space="preserve">miss</w:t>
            </w:r>
            <w:r>
              <w:t xml:space="preserve">(k), C</w:t>
            </w:r>
            <w:r>
              <w:rPr>
                <w:vertAlign w:val="subscript"/>
              </w:rPr>
              <w:t xml:space="preserve">FA</w:t>
            </w:r>
            <w:r>
              <w:t xml:space="preserve">(k), C</w:t>
            </w:r>
            <w:r>
              <w:rPr>
                <w:vertAlign w:val="subscript"/>
              </w:rPr>
              <w:t xml:space="preserve">mod</w:t>
            </w:r>
            <w:r>
              <w:t xml:space="preserve">(k), C</w:t>
            </w:r>
            <w:r>
              <w:rPr>
                <w:vertAlign w:val="subscript"/>
              </w:rPr>
              <w:t xml:space="preserve">esc</w:t>
            </w:r>
            <w:r>
              <w:t xml:space="preserve">, Π, k</w:t>
            </w:r>
            <w:r>
              <w:rPr>
                <w:vertAlign w:val="subscript"/>
              </w:rPr>
              <w:t xml:space="preserve">D2</w:t>
            </w:r>
            <w:r>
              <w:t xml:space="preserve">, privilege map, tie-breaking order</w:t>
            </w:r>
          </w:p>
        </w:tc>
        <w:tc>
          <w:tcPr/>
          <w:p>
            <w:pPr>
              <w:pStyle w:val="Compact"/>
              <w:jc w:val="left"/>
            </w:pPr>
            <w:r>
              <w:t xml:space="preserve">Declared before evaluation; varied over a declared grid where they affect outcomes</w:t>
            </w:r>
          </w:p>
        </w:tc>
      </w:tr>
    </w:tbl>
    <w:p>
      <w:pPr>
        <w:pStyle w:val="BodyText"/>
      </w:pPr>
      <w:r>
        <w:t xml:space="preserve">Policy quantities encode institutional judgment. They are not presented as empirical findings, and their influence is reported through the loss grid of Section 3.12.3.</w:t>
      </w:r>
    </w:p>
    <w:bookmarkEnd w:id="132"/>
    <w:bookmarkStart w:id="133" w:name="policy-predicates"/>
    <w:p>
      <w:pPr>
        <w:pStyle w:val="Heading3"/>
      </w:pPr>
      <w:r>
        <w:t xml:space="preserve">3.7.4 Policy predicates</w:t>
      </w:r>
    </w:p>
    <w:p>
      <w:pPr>
        <w:pStyle w:val="FirstParagraph"/>
      </w:pPr>
      <w:r>
        <w:t xml:space="preserve">Two deterministic predicates are evaluated before verdict selection.</w:t>
      </w:r>
    </w:p>
    <w:p>
      <w:pPr>
        <w:numPr>
          <w:ilvl w:val="0"/>
          <w:numId w:val="1120"/>
        </w:numPr>
        <w:pStyle w:val="Compact"/>
      </w:pPr>
      <w:r>
        <w:rPr>
          <w:bCs/>
          <w:b/>
        </w:rPr>
        <w:t xml:space="preserve">D1, prohibited action.</w:t>
      </w:r>
      <w:r>
        <w:t xml:space="preserve"> </w:t>
      </w:r>
      <w:r>
        <w:t xml:space="preserve">If a</w:t>
      </w:r>
      <w:r>
        <w:rPr>
          <w:vertAlign w:val="subscript"/>
        </w:rPr>
        <w:t xml:space="preserve">t</w:t>
      </w:r>
      <w:r>
        <w:t xml:space="preserve"> </w:t>
      </w:r>
      <w:r>
        <w:t xml:space="preserve">∈ Π, the verdict is Block irrespective of p</w:t>
      </w:r>
      <w:r>
        <w:rPr>
          <w:vertAlign w:val="subscript"/>
        </w:rPr>
        <w:t xml:space="preserve">t</w:t>
      </w:r>
      <w:r>
        <w:t xml:space="preserve">. A prohibition that a sufficiently low probability could override would not be a prohibition.</w:t>
      </w:r>
    </w:p>
    <w:p>
      <w:pPr>
        <w:numPr>
          <w:ilvl w:val="0"/>
          <w:numId w:val="1120"/>
        </w:numPr>
        <w:pStyle w:val="Compact"/>
      </w:pPr>
      <w:r>
        <w:rPr>
          <w:bCs/>
          <w:b/>
        </w:rPr>
        <w:t xml:space="preserve">D2, missing required evidence.</w:t>
      </w:r>
      <w:r>
        <w:t xml:space="preserve"> </w:t>
      </w:r>
      <w:r>
        <w:t xml:space="preserve">If the evidence required for tier k</w:t>
      </w:r>
      <w:r>
        <w:rPr>
          <w:vertAlign w:val="subscript"/>
        </w:rPr>
        <w:t xml:space="preserve">t</w:t>
      </w:r>
      <w:r>
        <w:t xml:space="preserve"> </w:t>
      </w:r>
      <w:r>
        <w:t xml:space="preserve">cannot be computed (for example, argument provenance is unavailable) and k</w:t>
      </w:r>
      <w:r>
        <w:rPr>
          <w:vertAlign w:val="subscript"/>
        </w:rPr>
        <w:t xml:space="preserve">t</w:t>
      </w:r>
      <w:r>
        <w:t xml:space="preserve"> </w:t>
      </w:r>
      <w:r>
        <w:t xml:space="preserve">≥ k</w:t>
      </w:r>
      <w:r>
        <w:rPr>
          <w:vertAlign w:val="subscript"/>
        </w:rPr>
        <w:t xml:space="preserve">D2</w:t>
      </w:r>
      <w:r>
        <w:t xml:space="preserve">, the verdict is Escalate. Absent evidence is not treated as evidence of safety.</w:t>
      </w:r>
    </w:p>
    <w:p>
      <w:pPr>
        <w:pStyle w:val="FirstParagraph"/>
      </w:pPr>
      <w:r>
        <w:t xml:space="preserve">Π, k</w:t>
      </w:r>
      <w:r>
        <w:rPr>
          <w:vertAlign w:val="subscript"/>
        </w:rPr>
        <w:t xml:space="preserve">D2</w:t>
      </w:r>
      <w:r>
        <w:t xml:space="preserve">, and the evidence required at each tier are declared policy. When a predicate applies, it determines the verdict, the expected-loss rule is not consulted, and the audit record names the predicate as the source of the verdict. Both predicates are disabled in one ablation (Section 3.11.7).</w:t>
      </w:r>
    </w:p>
    <w:p>
      <w:pPr>
        <w:pStyle w:val="BodyText"/>
      </w:pPr>
      <w:r>
        <w:rPr>
          <w:bCs/>
          <w:b/>
        </w:rPr>
        <w:t xml:space="preserve">Order of evaluation and unavailable evidence.</w:t>
      </w:r>
      <w:r>
        <w:t xml:space="preserve"> </w:t>
      </w:r>
      <w:r>
        <w:t xml:space="preserve">Availability of each feature is determined first, from the proposed action alone. D1 and then D2 are applied</w:t>
      </w:r>
      <w:r>
        <w:t xml:space="preserve"> </w:t>
      </w:r>
      <w:r>
        <w:rPr>
          <w:iCs/>
          <w:i/>
        </w:rPr>
        <w:t xml:space="preserve">before</w:t>
      </w:r>
      <w:r>
        <w:t xml:space="preserve"> </w:t>
      </w:r>
      <w:r>
        <w:t xml:space="preserve">any probability enters the decision, so no verdict that a predicate fixes depends on a value computed from unavailable evidence. Two cases follow:</w:t>
      </w:r>
    </w:p>
    <w:p>
      <w:pPr>
        <w:numPr>
          <w:ilvl w:val="0"/>
          <w:numId w:val="1121"/>
        </w:numPr>
        <w:pStyle w:val="Compact"/>
      </w:pPr>
      <w:r>
        <w:rPr>
          <w:bCs/>
          <w:b/>
        </w:rPr>
        <w:t xml:space="preserve">A predicate fixes the verdict.</w:t>
      </w:r>
      <w:r>
        <w:t xml:space="preserve"> </w:t>
      </w:r>
      <w:r>
        <w:t xml:space="preserve">s</w:t>
      </w:r>
      <w:r>
        <w:rPr>
          <w:vertAlign w:val="subscript"/>
        </w:rPr>
        <w:t xml:space="preserve">t</w:t>
      </w:r>
      <w:r>
        <w:t xml:space="preserve"> </w:t>
      </w:r>
      <w:r>
        <w:t xml:space="preserve">and p</w:t>
      </w:r>
      <w:r>
        <w:rPr>
          <w:vertAlign w:val="subscript"/>
        </w:rPr>
        <w:t xml:space="preserve">t</w:t>
      </w:r>
      <w:r>
        <w:t xml:space="preserve"> </w:t>
      </w:r>
      <w:r>
        <w:t xml:space="preserve">may still be computed and stored for audit, but they are marked as not used, and the audit record contains no risk table: the field is recorded as</w:t>
      </w:r>
      <w:r>
        <w:t xml:space="preserve"> </w:t>
      </w:r>
      <w:r>
        <w:rPr>
          <w:iCs/>
          <w:i/>
        </w:rPr>
        <w:t xml:space="preserve">not applicable</w:t>
      </w:r>
      <w:r>
        <w:t xml:space="preserve"> </w:t>
      </w:r>
      <w:r>
        <w:t xml:space="preserve">(Section 3.7.6).</w:t>
      </w:r>
    </w:p>
    <w:p>
      <w:pPr>
        <w:numPr>
          <w:ilvl w:val="0"/>
          <w:numId w:val="1121"/>
        </w:numPr>
        <w:pStyle w:val="Compact"/>
      </w:pPr>
      <w:r>
        <w:rPr>
          <w:bCs/>
          <w:b/>
        </w:rPr>
        <w:t xml:space="preserve">No predicate applies, but a feature is unavailable</w:t>
      </w:r>
      <w:r>
        <w:t xml:space="preserve"> </w:t>
      </w:r>
      <w:r>
        <w:t xml:space="preserve">(possible only below k</w:t>
      </w:r>
      <w:r>
        <w:rPr>
          <w:vertAlign w:val="subscript"/>
        </w:rPr>
        <w:t xml:space="preserve">D2</w:t>
      </w:r>
      <w:r>
        <w:t xml:space="preserve">). The feature takes its</w:t>
      </w:r>
      <w:r>
        <w:t xml:space="preserve"> </w:t>
      </w:r>
      <w:r>
        <w:t xml:space="preserve">“</w:t>
      </w:r>
      <w:r>
        <w:t xml:space="preserve">not observed</w:t>
      </w:r>
      <w:r>
        <w:t xml:space="preserve">”</w:t>
      </w:r>
      <w:r>
        <w:t xml:space="preserve"> </w:t>
      </w:r>
      <w:r>
        <w:t xml:space="preserve">value 0, and the audit record flags the imputation. This is a design definition: an unavailable indicator is treated as not fired, which can only lower the estimated probability. It is therefore used only below the tier at which missing evidence forces escalation.</w:t>
      </w:r>
    </w:p>
    <w:bookmarkEnd w:id="133"/>
    <w:bookmarkStart w:id="134" w:name="expected-loss-verdict-selection"/>
    <w:p>
      <w:pPr>
        <w:pStyle w:val="Heading3"/>
      </w:pPr>
      <w:r>
        <w:t xml:space="preserve">3.7.5 Expected-loss verdict selection</w:t>
      </w:r>
    </w:p>
    <w:p>
      <w:pPr>
        <w:pStyle w:val="FirstParagraph"/>
      </w:pPr>
      <w:r>
        <w:rPr>
          <w:bCs/>
          <w:b/>
        </w:rPr>
        <w:t xml:space="preserve">Loss structure.</w:t>
      </w:r>
      <w:r>
        <w:t xml:space="preserve"> </w:t>
      </w:r>
      <w:r>
        <w:t xml:space="preserve">For each tier k, the loss of issuing verdict v when the label is y is given in Table 3.13.</w:t>
      </w:r>
    </w:p>
    <w:p>
      <w:pPr>
        <w:pStyle w:val="BodyText"/>
      </w:pPr>
      <w:r>
        <w:rPr>
          <w:bCs/>
          <w:b/>
        </w:rPr>
        <w:t xml:space="preserve">Table 3.13. Tier-indexed loss structure L(v, y, 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Verdict v</w:t>
            </w:r>
          </w:p>
        </w:tc>
        <w:tc>
          <w:tcPr/>
          <w:p>
            <w:pPr>
              <w:pStyle w:val="Compact"/>
              <w:jc w:val="left"/>
            </w:pPr>
            <w:r>
              <w:t xml:space="preserve">L(v, 0, k): legitimate action</w:t>
            </w:r>
          </w:p>
        </w:tc>
        <w:tc>
          <w:tcPr/>
          <w:p>
            <w:pPr>
              <w:pStyle w:val="Compact"/>
              <w:jc w:val="left"/>
            </w:pPr>
            <w:r>
              <w:t xml:space="preserve">L(v, 1, k): adversarially induced action</w:t>
            </w:r>
          </w:p>
        </w:tc>
      </w:tr>
      <w:tr>
        <w:tc>
          <w:tcPr/>
          <w:p>
            <w:pPr>
              <w:pStyle w:val="Compact"/>
              <w:jc w:val="left"/>
            </w:pPr>
            <w:r>
              <w:t xml:space="preserve">Allow</w:t>
            </w:r>
          </w:p>
        </w:tc>
        <w:tc>
          <w:tcPr/>
          <w:p>
            <w:pPr>
              <w:pStyle w:val="Compact"/>
              <w:jc w:val="left"/>
            </w:pPr>
            <w:r>
              <w:t xml:space="preserve">0</w:t>
            </w:r>
          </w:p>
        </w:tc>
        <w:tc>
          <w:tcPr/>
          <w:p>
            <w:pPr>
              <w:pStyle w:val="Compact"/>
              <w:jc w:val="left"/>
            </w:pPr>
            <w:r>
              <w:t xml:space="preserve">C</w:t>
            </w:r>
            <w:r>
              <w:rPr>
                <w:vertAlign w:val="subscript"/>
              </w:rPr>
              <w:t xml:space="preserve">miss</w:t>
            </w:r>
            <w:r>
              <w:t xml:space="preserve">(k)</w:t>
            </w:r>
          </w:p>
        </w:tc>
      </w:tr>
      <w:tr>
        <w:tc>
          <w:tcPr/>
          <w:p>
            <w:pPr>
              <w:pStyle w:val="Compact"/>
              <w:jc w:val="left"/>
            </w:pPr>
            <w:r>
              <w:t xml:space="preserve">Modify</w:t>
            </w:r>
          </w:p>
        </w:tc>
        <w:tc>
          <w:tcPr/>
          <w:p>
            <w:pPr>
              <w:pStyle w:val="Compact"/>
              <w:jc w:val="left"/>
            </w:pPr>
            <w:r>
              <w:t xml:space="preserve">C</w:t>
            </w:r>
            <w:r>
              <w:rPr>
                <w:vertAlign w:val="subscript"/>
              </w:rPr>
              <w:t xml:space="preserve">mod</w:t>
            </w:r>
            <w:r>
              <w:t xml:space="preserve">(k)</w:t>
            </w:r>
          </w:p>
        </w:tc>
        <w:tc>
          <w:tcPr/>
          <w:p>
            <w:pPr>
              <w:pStyle w:val="Compact"/>
              <w:jc w:val="left"/>
            </w:pPr>
            <w:r>
              <w:t xml:space="preserve">r</w:t>
            </w:r>
            <w:r>
              <w:rPr>
                <w:vertAlign w:val="subscript"/>
              </w:rPr>
              <w:t xml:space="preserve">mod</w:t>
            </w:r>
            <w:r>
              <w:t xml:space="preserve">(k) · C</w:t>
            </w:r>
            <w:r>
              <w:rPr>
                <w:vertAlign w:val="subscript"/>
              </w:rPr>
              <w:t xml:space="preserve">miss</w:t>
            </w:r>
            <w:r>
              <w:t xml:space="preserve">(k)</w:t>
            </w:r>
          </w:p>
        </w:tc>
      </w:tr>
      <w:tr>
        <w:tc>
          <w:tcPr/>
          <w:p>
            <w:pPr>
              <w:pStyle w:val="Compact"/>
              <w:jc w:val="left"/>
            </w:pPr>
            <w:r>
              <w:t xml:space="preserve">Escalate</w:t>
            </w:r>
          </w:p>
        </w:tc>
        <w:tc>
          <w:tcPr/>
          <w:p>
            <w:pPr>
              <w:pStyle w:val="Compact"/>
              <w:jc w:val="left"/>
            </w:pPr>
            <w:r>
              <w:t xml:space="preserve">C</w:t>
            </w:r>
            <w:r>
              <w:rPr>
                <w:vertAlign w:val="subscript"/>
              </w:rPr>
              <w:t xml:space="preserve">esc</w:t>
            </w:r>
          </w:p>
        </w:tc>
        <w:tc>
          <w:tcPr/>
          <w:p>
            <w:pPr>
              <w:pStyle w:val="Compact"/>
              <w:jc w:val="left"/>
            </w:pPr>
            <w:r>
              <w:t xml:space="preserve">C</w:t>
            </w:r>
            <w:r>
              <w:rPr>
                <w:vertAlign w:val="subscript"/>
              </w:rPr>
              <w:t xml:space="preserve">esc</w:t>
            </w:r>
          </w:p>
        </w:tc>
      </w:tr>
      <w:tr>
        <w:tc>
          <w:tcPr/>
          <w:p>
            <w:pPr>
              <w:pStyle w:val="Compact"/>
              <w:jc w:val="left"/>
            </w:pPr>
            <w:r>
              <w:t xml:space="preserve">Block</w:t>
            </w:r>
          </w:p>
        </w:tc>
        <w:tc>
          <w:tcPr/>
          <w:p>
            <w:pPr>
              <w:pStyle w:val="Compact"/>
              <w:jc w:val="left"/>
            </w:pPr>
            <w:r>
              <w:t xml:space="preserve">C</w:t>
            </w:r>
            <w:r>
              <w:rPr>
                <w:vertAlign w:val="subscript"/>
              </w:rPr>
              <w:t xml:space="preserve">FA</w:t>
            </w:r>
            <w:r>
              <w:t xml:space="preserve">(k)</w:t>
            </w:r>
          </w:p>
        </w:tc>
        <w:tc>
          <w:tcPr/>
          <w:p>
            <w:pPr>
              <w:pStyle w:val="Compact"/>
              <w:jc w:val="left"/>
            </w:pPr>
            <w:r>
              <w:t xml:space="preserve">0</w:t>
            </w:r>
          </w:p>
        </w:tc>
      </w:tr>
    </w:tbl>
    <w:p>
      <w:pPr>
        <w:pStyle w:val="BodyText"/>
      </w:pPr>
      <w:r>
        <w:t xml:space="preserve">All declared costs are non-negative and expressed in common relative units. Correct automatic decisions are assigned zero loss, which is a declared convention.</w:t>
      </w:r>
    </w:p>
    <w:p>
      <w:pPr>
        <w:pStyle w:val="BodyText"/>
      </w:pPr>
      <w:r>
        <w:rPr>
          <w:bCs/>
          <w:b/>
        </w:rPr>
        <w:t xml:space="preserve">Reviewer assumptions.</w:t>
      </w:r>
      <w:r>
        <w:t xml:space="preserve"> </w:t>
      </w:r>
      <w:r>
        <w:t xml:space="preserve">The Escalate entries assign the same loss C</w:t>
      </w:r>
      <w:r>
        <w:rPr>
          <w:vertAlign w:val="subscript"/>
        </w:rPr>
        <w:t xml:space="preserve">esc</w:t>
      </w:r>
      <w:r>
        <w:t xml:space="preserve"> </w:t>
      </w:r>
      <w:r>
        <w:t xml:space="preserve">whatever the label. This assumes a reviewer who:</w:t>
      </w:r>
    </w:p>
    <w:p>
      <w:pPr>
        <w:numPr>
          <w:ilvl w:val="0"/>
          <w:numId w:val="1122"/>
        </w:numPr>
        <w:pStyle w:val="Compact"/>
      </w:pPr>
      <w:r>
        <w:t xml:space="preserve">resolves every escalation correctly (accuracy 1);</w:t>
      </w:r>
    </w:p>
    <w:p>
      <w:pPr>
        <w:numPr>
          <w:ilvl w:val="0"/>
          <w:numId w:val="1122"/>
        </w:numPr>
        <w:pStyle w:val="Compact"/>
      </w:pPr>
      <w:r>
        <w:t xml:space="preserve">does so within the time the transaction allows, with delay and effort priced into C</w:t>
      </w:r>
      <w:r>
        <w:rPr>
          <w:vertAlign w:val="subscript"/>
        </w:rPr>
        <w:t xml:space="preserve">esc</w:t>
      </w:r>
      <w:r>
        <w:t xml:space="preserve">;</w:t>
      </w:r>
    </w:p>
    <w:p>
      <w:pPr>
        <w:numPr>
          <w:ilvl w:val="0"/>
          <w:numId w:val="1122"/>
        </w:numPr>
        <w:pStyle w:val="Compact"/>
      </w:pPr>
      <w:r>
        <w:t xml:space="preserve">is always available.</w:t>
      </w:r>
    </w:p>
    <w:p>
      <w:pPr>
        <w:pStyle w:val="FirstParagraph"/>
      </w:pPr>
      <w:r>
        <w:t xml:space="preserve">The verdict rule is optimal only under these assumptions. They are not tested in this thesis, because no reviewer is present. The rule is instead</w:t>
      </w:r>
      <w:r>
        <w:t xml:space="preserve"> </w:t>
      </w:r>
      <w:r>
        <w:rPr>
          <w:iCs/>
          <w:i/>
        </w:rPr>
        <w:t xml:space="preserve">evaluated</w:t>
      </w:r>
      <w:r>
        <w:t xml:space="preserve"> </w:t>
      </w:r>
      <w:r>
        <w:t xml:space="preserve">under two bounds (Section 3.11.7): an idealized reviewer that satisfies the assumptions, and no reviewer, in which every escalation withholds the action. A policy designed for a perfect reviewer and evaluated without one is expected to withhold legitimate actions; that cost is reported, not hidden. A reviewer with error rate e would add e·C</w:t>
      </w:r>
      <w:r>
        <w:rPr>
          <w:vertAlign w:val="subscript"/>
        </w:rPr>
        <w:t xml:space="preserve">miss</w:t>
      </w:r>
      <w:r>
        <w:t xml:space="preserve">(k) to the adversarial entry and e·C</w:t>
      </w:r>
      <w:r>
        <w:rPr>
          <w:vertAlign w:val="subscript"/>
        </w:rPr>
        <w:t xml:space="preserve">FA</w:t>
      </w:r>
      <w:r>
        <w:t xml:space="preserve">(k) to the legitimate entry of Escalate; such a model is not specified here.</w:t>
      </w:r>
    </w:p>
    <w:p>
      <w:pPr>
        <w:pStyle w:val="BodyText"/>
      </w:pPr>
      <w:r>
        <w:t xml:space="preserve">The adversarial Modify entry is a derivation. Under the stated assumption A-Mod — whether Modify neutralizes an adversarially induced action is independent of x</w:t>
      </w:r>
      <w:r>
        <w:rPr>
          <w:vertAlign w:val="subscript"/>
        </w:rPr>
        <w:t xml:space="preserve">t</w:t>
      </w:r>
      <w:r>
        <w:t xml:space="preserve"> </w:t>
      </w:r>
      <w:r>
        <w:t xml:space="preserve">given the tier, and the attack fails with probability 1 − r</w:t>
      </w:r>
      <w:r>
        <w:rPr>
          <w:vertAlign w:val="subscript"/>
        </w:rPr>
        <w:t xml:space="preserve">mod</w:t>
      </w:r>
      <w:r>
        <w:t xml:space="preserve">(k) — the law of total expectation gives:</w:t>
      </w:r>
    </w:p>
    <w:p>
      <w:pPr>
        <w:pStyle w:val="BodyText"/>
      </w:pPr>
      <m:oMathPara>
        <m:oMathParaPr>
          <m:jc m:val="center"/>
        </m:oMathParaPr>
        <m:oMath>
          <m:r>
            <m:t>L</m:t>
          </m:r>
          <m:d>
            <m:dPr>
              <m:begChr m:val="("/>
              <m:endChr m:val=")"/>
              <m:sepChr m:val=""/>
              <m:grow/>
            </m:dPr>
            <m:e>
              <m:r>
                <m:rPr>
                  <m:sty m:val="p"/>
                </m:rPr>
                <m:t>M</m:t>
              </m:r>
              <m:r>
                <m:rPr>
                  <m:sty m:val="p"/>
                </m:rPr>
                <m:t>o</m:t>
              </m:r>
              <m:r>
                <m:rPr>
                  <m:sty m:val="p"/>
                </m:rPr>
                <m:t>d</m:t>
              </m:r>
              <m:r>
                <m:rPr>
                  <m:sty m:val="p"/>
                </m:rPr>
                <m:t>i</m:t>
              </m:r>
              <m:r>
                <m:rPr>
                  <m:sty m:val="p"/>
                </m:rPr>
                <m:t>f</m:t>
              </m:r>
              <m:r>
                <m:rPr>
                  <m:sty m:val="p"/>
                </m:rPr>
                <m:t>y</m:t>
              </m:r>
              <m:r>
                <m:rPr>
                  <m:sty m:val="p"/>
                </m:rPr>
                <m:t>,</m:t>
              </m:r>
              <m:r>
                <m:t>1</m:t>
              </m:r>
              <m:r>
                <m:rPr>
                  <m:sty m:val="p"/>
                </m:rPr>
                <m:t>,</m:t>
              </m:r>
              <m:r>
                <m:t>k</m:t>
              </m:r>
            </m:e>
          </m:d>
          <m:r>
            <m:rPr>
              <m:sty m:val="p"/>
            </m:rPr>
            <m:t>=</m:t>
          </m:r>
          <m:sSub>
            <m:e>
              <m:r>
                <m:t>r</m:t>
              </m:r>
            </m:e>
            <m:sub>
              <m:r>
                <m:rPr>
                  <m:sty m:val="p"/>
                </m:rPr>
                <m:t>m</m:t>
              </m:r>
              <m:r>
                <m:rPr>
                  <m:sty m:val="p"/>
                </m:rPr>
                <m:t>o</m:t>
              </m:r>
              <m:r>
                <m:rPr>
                  <m:sty m:val="p"/>
                </m:rPr>
                <m:t>d</m:t>
              </m:r>
            </m:sub>
          </m:sSub>
          <m:d>
            <m:dPr>
              <m:begChr m:val="("/>
              <m:endChr m:val=")"/>
              <m:sepChr m:val=""/>
              <m:grow/>
            </m:dPr>
            <m:e>
              <m:r>
                <m:t>k</m:t>
              </m:r>
            </m:e>
          </m:d>
          <m:r>
            <m:t> </m:t>
          </m:r>
          <m:sSub>
            <m:e>
              <m:r>
                <m:t>C</m:t>
              </m:r>
            </m:e>
            <m:sub>
              <m:r>
                <m:rPr>
                  <m:sty m:val="p"/>
                </m:rPr>
                <m:t>m</m:t>
              </m:r>
              <m:r>
                <m:rPr>
                  <m:sty m:val="p"/>
                </m:rPr>
                <m:t>i</m:t>
              </m:r>
              <m:r>
                <m:rPr>
                  <m:sty m:val="p"/>
                </m:rPr>
                <m:t>s</m:t>
              </m:r>
              <m:r>
                <m:rPr>
                  <m:sty m:val="p"/>
                </m:rPr>
                <m:t>s</m:t>
              </m:r>
            </m:sub>
          </m:sSub>
          <m:d>
            <m:dPr>
              <m:begChr m:val="("/>
              <m:endChr m:val=")"/>
              <m:sepChr m:val=""/>
              <m:grow/>
            </m:dPr>
            <m:e>
              <m:r>
                <m:t>k</m:t>
              </m:r>
            </m:e>
          </m:d>
          <m:r>
            <m:rPr>
              <m:sty m:val="p"/>
            </m:rPr>
            <m:t>+</m:t>
          </m:r>
          <m:d>
            <m:dPr>
              <m:begChr m:val="("/>
              <m:endChr m:val=")"/>
              <m:sepChr m:val=""/>
              <m:grow/>
            </m:dPr>
            <m:e>
              <m:r>
                <m:t>1</m:t>
              </m:r>
              <m:r>
                <m:rPr>
                  <m:sty m:val="p"/>
                </m:rPr>
                <m:t>−</m:t>
              </m:r>
              <m:sSub>
                <m:e>
                  <m:r>
                    <m:t>r</m:t>
                  </m:r>
                </m:e>
                <m:sub>
                  <m:r>
                    <m:rPr>
                      <m:sty m:val="p"/>
                    </m:rPr>
                    <m:t>m</m:t>
                  </m:r>
                  <m:r>
                    <m:rPr>
                      <m:sty m:val="p"/>
                    </m:rPr>
                    <m:t>o</m:t>
                  </m:r>
                  <m:r>
                    <m:rPr>
                      <m:sty m:val="p"/>
                    </m:rPr>
                    <m:t>d</m:t>
                  </m:r>
                </m:sub>
              </m:sSub>
              <m:d>
                <m:dPr>
                  <m:begChr m:val="("/>
                  <m:endChr m:val=")"/>
                  <m:sepChr m:val=""/>
                  <m:grow/>
                </m:dPr>
                <m:e>
                  <m:r>
                    <m:t>k</m:t>
                  </m:r>
                </m:e>
              </m:d>
            </m:e>
          </m:d>
          <m:r>
            <m:rPr>
              <m:sty m:val="p"/>
            </m:rPr>
            <m:t>⋅</m:t>
          </m:r>
          <m:r>
            <m:t>0</m:t>
          </m:r>
          <m:r>
            <m:rPr>
              <m:sty m:val="p"/>
            </m:rPr>
            <m:t>=</m:t>
          </m:r>
          <m:sSub>
            <m:e>
              <m:r>
                <m:t>r</m:t>
              </m:r>
            </m:e>
            <m:sub>
              <m:r>
                <m:rPr>
                  <m:sty m:val="p"/>
                </m:rPr>
                <m:t>m</m:t>
              </m:r>
              <m:r>
                <m:rPr>
                  <m:sty m:val="p"/>
                </m:rPr>
                <m:t>o</m:t>
              </m:r>
              <m:r>
                <m:rPr>
                  <m:sty m:val="p"/>
                </m:rPr>
                <m:t>d</m:t>
              </m:r>
            </m:sub>
          </m:sSub>
          <m:d>
            <m:dPr>
              <m:begChr m:val="("/>
              <m:endChr m:val=")"/>
              <m:sepChr m:val=""/>
              <m:grow/>
            </m:dPr>
            <m:e>
              <m:r>
                <m:t>k</m:t>
              </m:r>
            </m:e>
          </m:d>
          <m:r>
            <m:t> </m:t>
          </m:r>
          <m:sSub>
            <m:e>
              <m:r>
                <m:t>C</m:t>
              </m:r>
            </m:e>
            <m:sub>
              <m:r>
                <m:rPr>
                  <m:sty m:val="p"/>
                </m:rPr>
                <m:t>m</m:t>
              </m:r>
              <m:r>
                <m:rPr>
                  <m:sty m:val="p"/>
                </m:rPr>
                <m:t>i</m:t>
              </m:r>
              <m:r>
                <m:rPr>
                  <m:sty m:val="p"/>
                </m:rPr>
                <m:t>s</m:t>
              </m:r>
              <m:r>
                <m:rPr>
                  <m:sty m:val="p"/>
                </m:rPr>
                <m:t>s</m:t>
              </m:r>
            </m:sub>
          </m:sSub>
          <m:d>
            <m:dPr>
              <m:begChr m:val="("/>
              <m:endChr m:val=")"/>
              <m:sepChr m:val=""/>
              <m:grow/>
            </m:dPr>
            <m:e>
              <m:r>
                <m:t>k</m:t>
              </m:r>
            </m:e>
          </m:d>
          <m:r>
            <m:t>  </m:t>
          </m:r>
          <m:d>
            <m:dPr>
              <m:begChr m:val="("/>
              <m:endChr m:val=")"/>
              <m:sepChr m:val=""/>
              <m:grow/>
            </m:dPr>
            <m:e>
              <m:r>
                <m:t>3.5</m:t>
              </m:r>
            </m:e>
          </m:d>
        </m:oMath>
      </m:oMathPara>
    </w:p>
    <w:p>
      <w:pPr>
        <w:pStyle w:val="FirstParagraph"/>
      </w:pPr>
      <w:r>
        <w:t xml:space="preserve">where r</w:t>
      </w:r>
      <w:r>
        <w:rPr>
          <w:vertAlign w:val="subscript"/>
        </w:rPr>
        <w:t xml:space="preserve">mod</w:t>
      </w:r>
      <w:r>
        <w:t xml:space="preserve">(k) ∈ [0, 1] is the residual attack-success rate after Modify at tier k, measured in enforcing-mode runs (Section 3.11.7).</w:t>
      </w:r>
    </w:p>
    <w:p>
      <w:pPr>
        <w:pStyle w:val="BodyText"/>
      </w:pPr>
      <w:r>
        <w:rPr>
          <w:iCs/>
          <w:i/>
        </w:rPr>
        <w:t xml:space="preserve">Status:</w:t>
      </w:r>
      <w:r>
        <w:t xml:space="preserve"> </w:t>
      </w:r>
      <w:r>
        <w:t xml:space="preserve">derived under assumption A-Mod.</w:t>
      </w:r>
    </w:p>
    <w:p>
      <w:pPr>
        <w:pStyle w:val="BodyText"/>
      </w:pPr>
      <w:r>
        <w:rPr>
          <w:bCs/>
          <w:b/>
        </w:rPr>
        <w:t xml:space="preserve">Conditional risk.</w:t>
      </w:r>
      <w:r>
        <w:t xml:space="preserve"> </w:t>
      </w:r>
      <w:r>
        <w:t xml:space="preserve">Elkan (2001) states that the optimal prediction is the one that minimizes expected cost, computed from the conditional probability of each class and the cost of each prediction for each true class. REM applies this criterion to the four verdicts, with losses indexed by the consequence tier and the calibrated probability of Equation 3.3 in place of the true conditional probability:</w:t>
      </w:r>
    </w:p>
    <w:p>
      <w:pPr>
        <w:pStyle w:val="BodyText"/>
      </w:pPr>
      <m:oMathPara>
        <m:oMathParaPr>
          <m:jc m:val="center"/>
        </m:oMathParaPr>
        <m:oMath>
          <m:sSub>
            <m:e>
              <m:r>
                <m:t>R</m:t>
              </m:r>
            </m:e>
            <m:sub>
              <m:r>
                <m:t>t</m:t>
              </m:r>
            </m:sub>
          </m:sSub>
          <m:d>
            <m:dPr>
              <m:begChr m:val="("/>
              <m:endChr m:val=")"/>
              <m:sepChr m:val=""/>
              <m:grow/>
            </m:dPr>
            <m:e>
              <m:r>
                <m:t>v</m:t>
              </m:r>
            </m:e>
          </m:d>
          <m:r>
            <m:rPr>
              <m:sty m:val="p"/>
            </m:rPr>
            <m:t>=</m:t>
          </m:r>
          <m:d>
            <m:dPr>
              <m:begChr m:val="("/>
              <m:endChr m:val=")"/>
              <m:sepChr m:val=""/>
              <m:grow/>
            </m:dPr>
            <m:e>
              <m:r>
                <m:t>1</m:t>
              </m:r>
              <m:r>
                <m:rPr>
                  <m:sty m:val="p"/>
                </m:rPr>
                <m:t>−</m:t>
              </m:r>
              <m:sSub>
                <m:e>
                  <m:r>
                    <m:t>p</m:t>
                  </m:r>
                </m:e>
                <m:sub>
                  <m:r>
                    <m:t>t</m:t>
                  </m:r>
                </m:sub>
              </m:sSub>
            </m:e>
          </m:d>
          <m:r>
            <m:t> </m:t>
          </m:r>
          <m:r>
            <m:t>L</m:t>
          </m:r>
          <m:d>
            <m:dPr>
              <m:begChr m:val="("/>
              <m:endChr m:val=")"/>
              <m:sepChr m:val=""/>
              <m:grow/>
            </m:dPr>
            <m:e>
              <m:r>
                <m:t>v</m:t>
              </m:r>
              <m:r>
                <m:rPr>
                  <m:sty m:val="p"/>
                </m:rPr>
                <m:t>,</m:t>
              </m:r>
              <m:r>
                <m:t>0</m:t>
              </m:r>
              <m:r>
                <m:rPr>
                  <m:sty m:val="p"/>
                </m:rPr>
                <m:t>,</m:t>
              </m:r>
              <m:sSub>
                <m:e>
                  <m:r>
                    <m:t>k</m:t>
                  </m:r>
                </m:e>
                <m:sub>
                  <m:r>
                    <m:t>t</m:t>
                  </m:r>
                </m:sub>
              </m:sSub>
            </m:e>
          </m:d>
          <m:r>
            <m:rPr>
              <m:sty m:val="p"/>
            </m:rPr>
            <m:t>+</m:t>
          </m:r>
          <m:sSub>
            <m:e>
              <m:r>
                <m:t>p</m:t>
              </m:r>
            </m:e>
            <m:sub>
              <m:r>
                <m:t>t</m:t>
              </m:r>
            </m:sub>
          </m:sSub>
          <m:r>
            <m:t> </m:t>
          </m:r>
          <m:r>
            <m:t>L</m:t>
          </m:r>
          <m:d>
            <m:dPr>
              <m:begChr m:val="("/>
              <m:endChr m:val=")"/>
              <m:sepChr m:val=""/>
              <m:grow/>
            </m:dPr>
            <m:e>
              <m:r>
                <m:t>v</m:t>
              </m:r>
              <m:r>
                <m:rPr>
                  <m:sty m:val="p"/>
                </m:rPr>
                <m:t>,</m:t>
              </m:r>
              <m:r>
                <m:t>1</m:t>
              </m:r>
              <m:r>
                <m:rPr>
                  <m:sty m:val="p"/>
                </m:rPr>
                <m:t>,</m:t>
              </m:r>
              <m:sSub>
                <m:e>
                  <m:r>
                    <m:t>k</m:t>
                  </m:r>
                </m:e>
                <m:sub>
                  <m:r>
                    <m:t>t</m:t>
                  </m:r>
                </m:sub>
              </m:sSub>
            </m:e>
          </m:d>
          <m:r>
            <m:rPr>
              <m:sty m:val="p"/>
            </m:rPr>
            <m:t>,</m:t>
          </m:r>
          <m:r>
            <m:t>  </m:t>
          </m:r>
          <m:r>
            <m:t>v</m:t>
          </m:r>
          <m:r>
            <m:rPr>
              <m:sty m:val="p"/>
            </m:rPr>
            <m:t>∈</m:t>
          </m:r>
          <m:r>
            <m:rPr>
              <m:sty m:val="p"/>
              <m:scr m:val="script"/>
            </m:rPr>
            <m:t>V</m:t>
          </m:r>
          <m:d>
            <m:dPr>
              <m:begChr m:val="("/>
              <m:endChr m:val=")"/>
              <m:sepChr m:val=""/>
              <m:grow/>
            </m:dPr>
            <m:e>
              <m:sSub>
                <m:e>
                  <m:r>
                    <m:t>a</m:t>
                  </m:r>
                </m:e>
                <m:sub>
                  <m:r>
                    <m:t>t</m:t>
                  </m:r>
                </m:sub>
              </m:sSub>
            </m:e>
          </m:d>
          <m:r>
            <m:t>  </m:t>
          </m:r>
          <m:d>
            <m:dPr>
              <m:begChr m:val="("/>
              <m:endChr m:val=")"/>
              <m:sepChr m:val=""/>
              <m:grow/>
            </m:dPr>
            <m:e>
              <m:r>
                <m:t>3.6</m:t>
              </m:r>
            </m:e>
          </m:d>
        </m:oMath>
      </m:oMathPara>
    </w:p>
    <w:p>
      <w:pPr>
        <w:pStyle w:val="FirstParagraph"/>
      </w:pPr>
      <w:r>
        <w:t xml:space="preserve">where R</w:t>
      </w:r>
      <w:r>
        <w:rPr>
          <w:vertAlign w:val="subscript"/>
        </w:rPr>
        <w:t xml:space="preserve">t</w:t>
      </w:r>
      <w:r>
        <w:t xml:space="preserve">(v) is the conditional risk of verdict v at step t.</w:t>
      </w:r>
    </w:p>
    <w:p>
      <w:pPr>
        <w:pStyle w:val="BodyText"/>
      </w:pPr>
      <w:r>
        <w:rPr>
          <w:iCs/>
          <w:i/>
        </w:rPr>
        <w:t xml:space="preserve">Status:</w:t>
      </w:r>
      <w:r>
        <w:t xml:space="preserve"> </w:t>
      </w:r>
      <w:r>
        <w:t xml:space="preserve">adapted from source. Elkan’s criterion is stated for predictions of classes. REM extends the set of choices to four verdicts, indexes the losses by consequence tier, and substitutes the calibrated estimate p</w:t>
      </w:r>
      <w:r>
        <w:rPr>
          <w:vertAlign w:val="subscript"/>
        </w:rPr>
        <w:t xml:space="preserve">t</w:t>
      </w:r>
      <w:r>
        <w:t xml:space="preserve"> </w:t>
      </w:r>
      <w:r>
        <w:t xml:space="preserve">for the true posterior. The substitution is justified only to the extent that p</w:t>
      </w:r>
      <w:r>
        <w:rPr>
          <w:vertAlign w:val="subscript"/>
        </w:rPr>
        <w:t xml:space="preserve">t</w:t>
      </w:r>
      <w:r>
        <w:t xml:space="preserve"> </w:t>
      </w:r>
      <w:r>
        <w:t xml:space="preserve">is calibrated.</w:t>
      </w:r>
    </w:p>
    <w:p>
      <w:pPr>
        <w:pStyle w:val="BodyText"/>
      </w:pPr>
      <w:r>
        <w:rPr>
          <w:bCs/>
          <w:b/>
        </w:rPr>
        <w:t xml:space="preserve">Bayes verdict.</w:t>
      </w:r>
      <w:r>
        <w:t xml:space="preserve"> </w:t>
      </w:r>
      <w:r>
        <w:t xml:space="preserve">The verdict is:</w:t>
      </w:r>
    </w:p>
    <w:p>
      <w:pPr>
        <w:pStyle w:val="BodyText"/>
      </w:pPr>
      <m:oMathPara>
        <m:oMathParaPr>
          <m:jc m:val="center"/>
        </m:oMathParaPr>
        <m:oMath>
          <m:sSub>
            <m:e>
              <m:r>
                <m:t>v</m:t>
              </m:r>
            </m:e>
            <m:sub>
              <m:r>
                <m:t>t</m:t>
              </m:r>
            </m:sub>
          </m:sSub>
          <m:r>
            <m:rPr>
              <m:sty m:val="p"/>
            </m:rPr>
            <m:t>=</m:t>
          </m:r>
          <m:r>
            <m:rPr>
              <m:sty m:val="p"/>
            </m:rPr>
            <m:t>arg</m:t>
          </m:r>
          <m:limLow>
            <m:e>
              <m:r>
                <m:rPr>
                  <m:sty m:val="p"/>
                </m:rPr>
                <m:t>min</m:t>
              </m:r>
            </m:e>
            <m:lim>
              <m:r>
                <m:t>v</m:t>
              </m:r>
              <m:r>
                <m:rPr>
                  <m:sty m:val="p"/>
                </m:rPr>
                <m:t>∈</m:t>
              </m:r>
              <m:r>
                <m:rPr>
                  <m:sty m:val="p"/>
                  <m:scr m:val="script"/>
                </m:rPr>
                <m:t>V</m:t>
              </m:r>
              <m:d>
                <m:dPr>
                  <m:begChr m:val="("/>
                  <m:endChr m:val=")"/>
                  <m:sepChr m:val=""/>
                  <m:grow/>
                </m:dPr>
                <m:e>
                  <m:sSub>
                    <m:e>
                      <m:r>
                        <m:t>a</m:t>
                      </m:r>
                    </m:e>
                    <m:sub>
                      <m:r>
                        <m:t>t</m:t>
                      </m:r>
                    </m:sub>
                  </m:sSub>
                </m:e>
              </m:d>
            </m:lim>
          </m:limLow>
          <m:sSub>
            <m:e>
              <m:r>
                <m:t>R</m:t>
              </m:r>
            </m:e>
            <m:sub>
              <m:r>
                <m:t>t</m:t>
              </m:r>
            </m:sub>
          </m:sSub>
          <m:d>
            <m:dPr>
              <m:begChr m:val="("/>
              <m:endChr m:val=")"/>
              <m:sepChr m:val=""/>
              <m:grow/>
            </m:dPr>
            <m:e>
              <m:r>
                <m:t>v</m:t>
              </m:r>
            </m:e>
          </m:d>
          <m:r>
            <m:t>  </m:t>
          </m:r>
          <m:d>
            <m:dPr>
              <m:begChr m:val="("/>
              <m:endChr m:val=")"/>
              <m:sepChr m:val=""/>
              <m:grow/>
            </m:dPr>
            <m:e>
              <m:r>
                <m:t>3.7</m:t>
              </m:r>
            </m:e>
          </m:d>
        </m:oMath>
      </m:oMathPara>
    </w:p>
    <w:p>
      <w:pPr>
        <w:pStyle w:val="FirstParagraph"/>
      </w:pPr>
      <w:r>
        <w:t xml:space="preserve">with ties resolved toward the more restrictive verdict in the declared order Block ⪰ Escalate ⪰ Modify ⪰ Allow.</w:t>
      </w:r>
    </w:p>
    <w:p>
      <w:pPr>
        <w:pStyle w:val="BodyText"/>
      </w:pPr>
      <w:r>
        <w:rPr>
          <w:iCs/>
          <w:i/>
        </w:rPr>
        <w:t xml:space="preserve">Status:</w:t>
      </w:r>
      <w:r>
        <w:t xml:space="preserve"> </w:t>
      </w:r>
      <w:r>
        <w:t xml:space="preserve">adapted from source; the tie-breaking order is a design definition that makes the rule a function. Ties are counted and reported whenever the rule is evaluated, so that the influence of the tie order on any result is visible.</w:t>
      </w:r>
    </w:p>
    <w:p>
      <w:pPr>
        <w:pStyle w:val="BodyText"/>
      </w:pPr>
      <w:r>
        <w:t xml:space="preserve">The feasible set 𝒱(a</w:t>
      </w:r>
      <w:r>
        <w:rPr>
          <w:vertAlign w:val="subscript"/>
        </w:rPr>
        <w:t xml:space="preserve">t</w:t>
      </w:r>
      <w:r>
        <w:t xml:space="preserve">) contains Allow, Escalate, and Block for every action, and Modify only if the tool of a</w:t>
      </w:r>
      <w:r>
        <w:rPr>
          <w:vertAlign w:val="subscript"/>
        </w:rPr>
        <w:t xml:space="preserve">t</w:t>
      </w:r>
      <w:r>
        <w:t xml:space="preserve"> </w:t>
      </w:r>
      <w:r>
        <w:t xml:space="preserve">belongs to the set 𝒯</w:t>
      </w:r>
      <w:r>
        <w:rPr>
          <w:vertAlign w:val="subscript"/>
        </w:rPr>
        <w:t xml:space="preserve">R</w:t>
      </w:r>
      <w:r>
        <w:t xml:space="preserve"> </w:t>
      </w:r>
      <w:r>
        <w:t xml:space="preserve">to which the Modify mechanism applies (Section 3.8).</w:t>
      </w:r>
    </w:p>
    <w:p>
      <w:pPr>
        <w:pStyle w:val="BodyText"/>
      </w:pPr>
      <w:r>
        <w:rPr>
          <w:bCs/>
          <w:b/>
        </w:rPr>
        <w:t xml:space="preserve">Derived thresholds.</w:t>
      </w:r>
      <w:r>
        <w:t xml:space="preserve"> </w:t>
      </w:r>
      <w:r>
        <w:t xml:space="preserve">Each R</w:t>
      </w:r>
      <w:r>
        <w:rPr>
          <w:vertAlign w:val="subscript"/>
        </w:rPr>
        <w:t xml:space="preserve">t</w:t>
      </w:r>
      <w:r>
        <w:t xml:space="preserve">(v) is affine in p</w:t>
      </w:r>
      <w:r>
        <w:rPr>
          <w:vertAlign w:val="subscript"/>
        </w:rPr>
        <w:t xml:space="preserve">t</w:t>
      </w:r>
      <w:r>
        <w:t xml:space="preserve">, so the verdict changes only where two conditional risks are equal. For verdicts v and v′ at tier k, let Δ</w:t>
      </w:r>
      <w:r>
        <w:rPr>
          <w:vertAlign w:val="subscript"/>
        </w:rPr>
        <w:t xml:space="preserve">0</w:t>
      </w:r>
      <w:r>
        <w:t xml:space="preserve"> </w:t>
      </w:r>
      <w:r>
        <w:t xml:space="preserve">= L(v′, 0, k) − L(v, 0, k) and Δ</w:t>
      </w:r>
      <w:r>
        <w:rPr>
          <w:vertAlign w:val="subscript"/>
        </w:rPr>
        <w:t xml:space="preserve">1</w:t>
      </w:r>
      <w:r>
        <w:t xml:space="preserve"> </w:t>
      </w:r>
      <w:r>
        <w:t xml:space="preserve">= L(v, 1, k) − L(v′, 1, k), with Δ</w:t>
      </w:r>
      <w:r>
        <w:rPr>
          <w:vertAlign w:val="subscript"/>
        </w:rPr>
        <w:t xml:space="preserve">0</w:t>
      </w:r>
      <w:r>
        <w:t xml:space="preserve"> </w:t>
      </w:r>
      <w:r>
        <w:t xml:space="preserve">+ Δ</w:t>
      </w:r>
      <w:r>
        <w:rPr>
          <w:vertAlign w:val="subscript"/>
        </w:rPr>
        <w:t xml:space="preserve">1</w:t>
      </w:r>
      <w:r>
        <w:t xml:space="preserve"> </w:t>
      </w:r>
      <w:r>
        <w:t xml:space="preserve">&gt; 0. Setting R(v) = R(v′) in Equation 3.6 and solving for p gives:</w:t>
      </w:r>
    </w:p>
    <w:p>
      <w:pPr>
        <w:pStyle w:val="BodyText"/>
      </w:pPr>
      <m:oMathPara>
        <m:oMathParaPr>
          <m:jc m:val="center"/>
        </m:oMathParaPr>
        <m:oMath>
          <m:sSub>
            <m:e>
              <m:r>
                <m:t>π</m:t>
              </m:r>
            </m:e>
            <m:sub>
              <m:r>
                <m:t>v</m:t>
              </m:r>
              <m:r>
                <m:rPr>
                  <m:sty m:val="p"/>
                </m:rPr>
                <m:t>,</m:t>
              </m:r>
              <m:r>
                <m:t>v</m:t>
              </m:r>
              <m:r>
                <m:rPr>
                  <m:sty m:val="p"/>
                </m:rPr>
                <m:t>′</m:t>
              </m:r>
            </m:sub>
          </m:sSub>
          <m:d>
            <m:dPr>
              <m:begChr m:val="("/>
              <m:endChr m:val=")"/>
              <m:sepChr m:val=""/>
              <m:grow/>
            </m:dPr>
            <m:e>
              <m:r>
                <m:t>k</m:t>
              </m:r>
            </m:e>
          </m:d>
          <m:r>
            <m:rPr>
              <m:sty m:val="p"/>
            </m:rPr>
            <m:t>=</m:t>
          </m:r>
          <m:f>
            <m:fPr>
              <m:type m:val="bar"/>
            </m:fPr>
            <m:num>
              <m:sSub>
                <m:e>
                  <m:r>
                    <m:t>Δ</m:t>
                  </m:r>
                </m:e>
                <m:sub>
                  <m:r>
                    <m:t>0</m:t>
                  </m:r>
                </m:sub>
              </m:sSub>
            </m:num>
            <m:den>
              <m:sSub>
                <m:e>
                  <m:r>
                    <m:t>Δ</m:t>
                  </m:r>
                </m:e>
                <m:sub>
                  <m:r>
                    <m:t>0</m:t>
                  </m:r>
                </m:sub>
              </m:sSub>
              <m:r>
                <m:rPr>
                  <m:sty m:val="p"/>
                </m:rPr>
                <m:t>+</m:t>
              </m:r>
              <m:sSub>
                <m:e>
                  <m:r>
                    <m:t>Δ</m:t>
                  </m:r>
                </m:e>
                <m:sub>
                  <m:r>
                    <m:t>1</m:t>
                  </m:r>
                </m:sub>
              </m:sSub>
            </m:den>
          </m:f>
          <m:r>
            <m:t>  </m:t>
          </m:r>
          <m:d>
            <m:dPr>
              <m:begChr m:val="("/>
              <m:endChr m:val=")"/>
              <m:sepChr m:val=""/>
              <m:grow/>
            </m:dPr>
            <m:e>
              <m:r>
                <m:t>3.8</m:t>
              </m:r>
            </m:e>
          </m:d>
        </m:oMath>
      </m:oMathPara>
    </w:p>
    <w:p>
      <w:pPr>
        <w:pStyle w:val="FirstParagraph"/>
      </w:pPr>
      <w:r>
        <w:rPr>
          <w:iCs/>
          <w:i/>
        </w:rPr>
        <w:t xml:space="preserve">Status:</w:t>
      </w:r>
      <w:r>
        <w:t xml:space="preserve"> </w:t>
      </w:r>
      <w:r>
        <w:t xml:space="preserve">derived from Equation 3.6.</w:t>
      </w:r>
    </w:p>
    <w:p>
      <w:pPr>
        <w:pStyle w:val="BodyText"/>
      </w:pPr>
      <w:r>
        <w:t xml:space="preserve">Derivation: R(v) − R(v′) = −Δ</w:t>
      </w:r>
      <w:r>
        <w:rPr>
          <w:vertAlign w:val="subscript"/>
        </w:rPr>
        <w:t xml:space="preserve">0</w:t>
      </w:r>
      <w:r>
        <w:t xml:space="preserve"> </w:t>
      </w:r>
      <w:r>
        <w:t xml:space="preserve">+ p(Δ</w:t>
      </w:r>
      <w:r>
        <w:rPr>
          <w:vertAlign w:val="subscript"/>
        </w:rPr>
        <w:t xml:space="preserve">0</w:t>
      </w:r>
      <w:r>
        <w:t xml:space="preserve"> </w:t>
      </w:r>
      <w:r>
        <w:t xml:space="preserve">+ Δ</w:t>
      </w:r>
      <w:r>
        <w:rPr>
          <w:vertAlign w:val="subscript"/>
        </w:rPr>
        <w:t xml:space="preserve">1</w:t>
      </w:r>
      <w:r>
        <w:t xml:space="preserve">). This is zero at p = π</w:t>
      </w:r>
      <w:r>
        <w:rPr>
          <w:vertAlign w:val="subscript"/>
        </w:rPr>
        <w:t xml:space="preserve">v,v′</w:t>
      </w:r>
      <w:r>
        <w:t xml:space="preserve">(k), negative below it (v is preferred), and positive above it (v′ is preferred).</w:t>
      </w:r>
    </w:p>
    <w:p>
      <w:pPr>
        <w:pStyle w:val="BodyText"/>
      </w:pPr>
      <w:r>
        <w:t xml:space="preserve">For v = Allow and v′ = Block, Δ</w:t>
      </w:r>
      <w:r>
        <w:rPr>
          <w:vertAlign w:val="subscript"/>
        </w:rPr>
        <w:t xml:space="preserve">0</w:t>
      </w:r>
      <w:r>
        <w:t xml:space="preserve"> </w:t>
      </w:r>
      <w:r>
        <w:t xml:space="preserve">= C</w:t>
      </w:r>
      <w:r>
        <w:rPr>
          <w:vertAlign w:val="subscript"/>
        </w:rPr>
        <w:t xml:space="preserve">FA</w:t>
      </w:r>
      <w:r>
        <w:t xml:space="preserve">(k) and Δ</w:t>
      </w:r>
      <w:r>
        <w:rPr>
          <w:vertAlign w:val="subscript"/>
        </w:rPr>
        <w:t xml:space="preserve">1</w:t>
      </w:r>
      <w:r>
        <w:t xml:space="preserve"> </w:t>
      </w:r>
      <w:r>
        <w:t xml:space="preserve">= C</w:t>
      </w:r>
      <w:r>
        <w:rPr>
          <w:vertAlign w:val="subscript"/>
        </w:rPr>
        <w:t xml:space="preserve">miss</w:t>
      </w:r>
      <w:r>
        <w:t xml:space="preserve">(k), so:</w:t>
      </w:r>
    </w:p>
    <w:p>
      <w:pPr>
        <w:pStyle w:val="BodyText"/>
      </w:pPr>
      <m:oMathPara>
        <m:oMathParaPr>
          <m:jc m:val="center"/>
        </m:oMathParaPr>
        <m:oMath>
          <m:sSubSup>
            <m:e>
              <m:r>
                <m:t>p</m:t>
              </m:r>
            </m:e>
            <m:sub>
              <m:r>
                <m:t>k</m:t>
              </m:r>
            </m:sub>
            <m:sup>
              <m:r>
                <m:rPr>
                  <m:sty m:val="p"/>
                </m:rPr>
                <m:t>*</m:t>
              </m:r>
            </m:sup>
          </m:sSubSup>
          <m:r>
            <m:rPr>
              <m:sty m:val="p"/>
            </m:rPr>
            <m:t>=</m:t>
          </m:r>
          <m:f>
            <m:fPr>
              <m:type m:val="bar"/>
            </m:fPr>
            <m:num>
              <m:sSub>
                <m:e>
                  <m:r>
                    <m:t>C</m:t>
                  </m:r>
                </m:e>
                <m:sub>
                  <m:r>
                    <m:rPr>
                      <m:sty m:val="p"/>
                    </m:rPr>
                    <m:t>F</m:t>
                  </m:r>
                  <m:r>
                    <m:rPr>
                      <m:sty m:val="p"/>
                    </m:rPr>
                    <m:t>A</m:t>
                  </m:r>
                </m:sub>
              </m:sSub>
              <m:d>
                <m:dPr>
                  <m:begChr m:val="("/>
                  <m:endChr m:val=")"/>
                  <m:sepChr m:val=""/>
                  <m:grow/>
                </m:dPr>
                <m:e>
                  <m:r>
                    <m:t>k</m:t>
                  </m:r>
                </m:e>
              </m:d>
            </m:num>
            <m:den>
              <m:sSub>
                <m:e>
                  <m:r>
                    <m:t>C</m:t>
                  </m:r>
                </m:e>
                <m:sub>
                  <m:r>
                    <m:rPr>
                      <m:sty m:val="p"/>
                    </m:rPr>
                    <m:t>F</m:t>
                  </m:r>
                  <m:r>
                    <m:rPr>
                      <m:sty m:val="p"/>
                    </m:rPr>
                    <m:t>A</m:t>
                  </m:r>
                </m:sub>
              </m:sSub>
              <m:d>
                <m:dPr>
                  <m:begChr m:val="("/>
                  <m:endChr m:val=")"/>
                  <m:sepChr m:val=""/>
                  <m:grow/>
                </m:dPr>
                <m:e>
                  <m:r>
                    <m:t>k</m:t>
                  </m:r>
                </m:e>
              </m:d>
              <m:r>
                <m:rPr>
                  <m:sty m:val="p"/>
                </m:rPr>
                <m:t>+</m:t>
              </m:r>
              <m:sSub>
                <m:e>
                  <m:r>
                    <m:t>C</m:t>
                  </m:r>
                </m:e>
                <m:sub>
                  <m:r>
                    <m:rPr>
                      <m:sty m:val="p"/>
                    </m:rPr>
                    <m:t>m</m:t>
                  </m:r>
                  <m:r>
                    <m:rPr>
                      <m:sty m:val="p"/>
                    </m:rPr>
                    <m:t>i</m:t>
                  </m:r>
                  <m:r>
                    <m:rPr>
                      <m:sty m:val="p"/>
                    </m:rPr>
                    <m:t>s</m:t>
                  </m:r>
                  <m:r>
                    <m:rPr>
                      <m:sty m:val="p"/>
                    </m:rPr>
                    <m:t>s</m:t>
                  </m:r>
                </m:sub>
              </m:sSub>
              <m:d>
                <m:dPr>
                  <m:begChr m:val="("/>
                  <m:endChr m:val=")"/>
                  <m:sepChr m:val=""/>
                  <m:grow/>
                </m:dPr>
                <m:e>
                  <m:r>
                    <m:t>k</m:t>
                  </m:r>
                </m:e>
              </m:d>
            </m:den>
          </m:f>
          <m:r>
            <m:t>  </m:t>
          </m:r>
          <m:d>
            <m:dPr>
              <m:begChr m:val="("/>
              <m:endChr m:val=")"/>
              <m:sepChr m:val=""/>
              <m:grow/>
            </m:dPr>
            <m:e>
              <m:r>
                <m:t>3.9</m:t>
              </m:r>
            </m:e>
          </m:d>
        </m:oMath>
      </m:oMathPara>
    </w:p>
    <w:p>
      <w:pPr>
        <w:pStyle w:val="FirstParagraph"/>
      </w:pPr>
      <w:r>
        <w:rPr>
          <w:iCs/>
          <w:i/>
        </w:rPr>
        <w:t xml:space="preserve">Status:</w:t>
      </w:r>
      <w:r>
        <w:t xml:space="preserve"> </w:t>
      </w:r>
      <w:r>
        <w:t xml:space="preserve">derived from Equation 3.8. It has the form of the standard two-class cost-sensitive threshold for zero-cost correct decisions, which Elkan (2001) obtains from the same expected-cost criterion; the printed threshold expression in that paper could not be inspected directly during verification, so the derivation above stands on Equation 3.8 alone.</w:t>
      </w:r>
    </w:p>
    <w:p>
      <w:pPr>
        <w:pStyle w:val="BodyText"/>
      </w:pPr>
      <w:r>
        <w:t xml:space="preserve">Thresholds are therefore consequences of declared costs rather than independently chosen constants. The question</w:t>
      </w:r>
      <w:r>
        <w:t xml:space="preserve"> </w:t>
      </w:r>
      <w:r>
        <w:t xml:space="preserve">“</w:t>
      </w:r>
      <w:r>
        <w:t xml:space="preserve">why this threshold?</w:t>
      </w:r>
      <w:r>
        <w:t xml:space="preserve">”</w:t>
      </w:r>
      <w:r>
        <w:t xml:space="preserve"> </w:t>
      </w:r>
      <w:r>
        <w:t xml:space="preserve">becomes</w:t>
      </w:r>
      <w:r>
        <w:t xml:space="preserve"> </w:t>
      </w:r>
      <w:r>
        <w:t xml:space="preserve">“</w:t>
      </w:r>
      <w:r>
        <w:t xml:space="preserve">why this cost ratio?</w:t>
      </w:r>
      <w:r>
        <w:t xml:space="preserve">”</w:t>
      </w:r>
      <w:r>
        <w:t xml:space="preserve">, which the loss grid of Section 3.12.3 addresses.</w:t>
      </w:r>
    </w:p>
    <w:p>
      <w:pPr>
        <w:pStyle w:val="BodyText"/>
      </w:pPr>
      <w:r>
        <w:rPr>
          <w:bCs/>
          <w:b/>
        </w:rPr>
        <w:t xml:space="preserve">When escalation can be selected.</w:t>
      </w:r>
      <w:r>
        <w:t xml:space="preserve"> </w:t>
      </w:r>
      <w:r>
        <w:t xml:space="preserve">Chow (1970) analyzed the tradeoff between recognition error and rejection, which is the classical basis for withholding an automatic decision. In REM, Escalate is not implemented as a separate rejection test; it is one of the verdicts inside Equation 3.7. For the verdict set {Allow, Escalate, Block} at tier k, Escalate is selected for some probability if and only if:</w:t>
      </w:r>
    </w:p>
    <w:p>
      <w:pPr>
        <w:pStyle w:val="BodyText"/>
      </w:pPr>
      <m:oMathPara>
        <m:oMathParaPr>
          <m:jc m:val="center"/>
        </m:oMathParaPr>
        <m:oMath>
          <m:sSub>
            <m:e>
              <m:r>
                <m:t>C</m:t>
              </m:r>
            </m:e>
            <m:sub>
              <m:r>
                <m:rPr>
                  <m:sty m:val="p"/>
                </m:rPr>
                <m:t>e</m:t>
              </m:r>
              <m:r>
                <m:rPr>
                  <m:sty m:val="p"/>
                </m:rPr>
                <m:t>s</m:t>
              </m:r>
              <m:r>
                <m:rPr>
                  <m:sty m:val="p"/>
                </m:rPr>
                <m:t>c</m:t>
              </m:r>
            </m:sub>
          </m:sSub>
          <m:r>
            <m:rPr>
              <m:sty m:val="p"/>
            </m:rPr>
            <m:t>&lt;</m:t>
          </m:r>
          <m:f>
            <m:fPr>
              <m:type m:val="bar"/>
            </m:fPr>
            <m:num>
              <m:sSub>
                <m:e>
                  <m:r>
                    <m:t>C</m:t>
                  </m:r>
                </m:e>
                <m:sub>
                  <m:r>
                    <m:rPr>
                      <m:sty m:val="p"/>
                    </m:rPr>
                    <m:t>F</m:t>
                  </m:r>
                  <m:r>
                    <m:rPr>
                      <m:sty m:val="p"/>
                    </m:rPr>
                    <m:t>A</m:t>
                  </m:r>
                </m:sub>
              </m:sSub>
              <m:d>
                <m:dPr>
                  <m:begChr m:val="("/>
                  <m:endChr m:val=")"/>
                  <m:sepChr m:val=""/>
                  <m:grow/>
                </m:dPr>
                <m:e>
                  <m:r>
                    <m:t>k</m:t>
                  </m:r>
                </m:e>
              </m:d>
              <m:r>
                <m:t> </m:t>
              </m:r>
              <m:sSub>
                <m:e>
                  <m:r>
                    <m:t>C</m:t>
                  </m:r>
                </m:e>
                <m:sub>
                  <m:r>
                    <m:rPr>
                      <m:sty m:val="p"/>
                    </m:rPr>
                    <m:t>m</m:t>
                  </m:r>
                  <m:r>
                    <m:rPr>
                      <m:sty m:val="p"/>
                    </m:rPr>
                    <m:t>i</m:t>
                  </m:r>
                  <m:r>
                    <m:rPr>
                      <m:sty m:val="p"/>
                    </m:rPr>
                    <m:t>s</m:t>
                  </m:r>
                  <m:r>
                    <m:rPr>
                      <m:sty m:val="p"/>
                    </m:rPr>
                    <m:t>s</m:t>
                  </m:r>
                </m:sub>
              </m:sSub>
              <m:d>
                <m:dPr>
                  <m:begChr m:val="("/>
                  <m:endChr m:val=")"/>
                  <m:sepChr m:val=""/>
                  <m:grow/>
                </m:dPr>
                <m:e>
                  <m:r>
                    <m:t>k</m:t>
                  </m:r>
                </m:e>
              </m:d>
            </m:num>
            <m:den>
              <m:sSub>
                <m:e>
                  <m:r>
                    <m:t>C</m:t>
                  </m:r>
                </m:e>
                <m:sub>
                  <m:r>
                    <m:rPr>
                      <m:sty m:val="p"/>
                    </m:rPr>
                    <m:t>F</m:t>
                  </m:r>
                  <m:r>
                    <m:rPr>
                      <m:sty m:val="p"/>
                    </m:rPr>
                    <m:t>A</m:t>
                  </m:r>
                </m:sub>
              </m:sSub>
              <m:d>
                <m:dPr>
                  <m:begChr m:val="("/>
                  <m:endChr m:val=")"/>
                  <m:sepChr m:val=""/>
                  <m:grow/>
                </m:dPr>
                <m:e>
                  <m:r>
                    <m:t>k</m:t>
                  </m:r>
                </m:e>
              </m:d>
              <m:r>
                <m:rPr>
                  <m:sty m:val="p"/>
                </m:rPr>
                <m:t>+</m:t>
              </m:r>
              <m:sSub>
                <m:e>
                  <m:r>
                    <m:t>C</m:t>
                  </m:r>
                </m:e>
                <m:sub>
                  <m:r>
                    <m:rPr>
                      <m:sty m:val="p"/>
                    </m:rPr>
                    <m:t>m</m:t>
                  </m:r>
                  <m:r>
                    <m:rPr>
                      <m:sty m:val="p"/>
                    </m:rPr>
                    <m:t>i</m:t>
                  </m:r>
                  <m:r>
                    <m:rPr>
                      <m:sty m:val="p"/>
                    </m:rPr>
                    <m:t>s</m:t>
                  </m:r>
                  <m:r>
                    <m:rPr>
                      <m:sty m:val="p"/>
                    </m:rPr>
                    <m:t>s</m:t>
                  </m:r>
                </m:sub>
              </m:sSub>
              <m:d>
                <m:dPr>
                  <m:begChr m:val="("/>
                  <m:endChr m:val=")"/>
                  <m:sepChr m:val=""/>
                  <m:grow/>
                </m:dPr>
                <m:e>
                  <m:r>
                    <m:t>k</m:t>
                  </m:r>
                </m:e>
              </m:d>
            </m:den>
          </m:f>
          <m:r>
            <m:t>  </m:t>
          </m:r>
          <m:d>
            <m:dPr>
              <m:begChr m:val="("/>
              <m:endChr m:val=")"/>
              <m:sepChr m:val=""/>
              <m:grow/>
            </m:dPr>
            <m:e>
              <m:r>
                <m:t>3.10</m:t>
              </m:r>
            </m:e>
          </m:d>
        </m:oMath>
      </m:oMathPara>
    </w:p>
    <w:p>
      <w:pPr>
        <w:pStyle w:val="FirstParagraph"/>
      </w:pPr>
      <w:r>
        <w:rPr>
          <w:iCs/>
          <w:i/>
        </w:rPr>
        <w:t xml:space="preserve">Status:</w:t>
      </w:r>
      <w:r>
        <w:t xml:space="preserve"> </w:t>
      </w:r>
      <w:r>
        <w:t xml:space="preserve">derived from Equations 3.6, 3.7, and 3.9.</w:t>
      </w:r>
    </w:p>
    <w:p>
      <w:pPr>
        <w:pStyle w:val="BodyText"/>
      </w:pPr>
      <w:r>
        <w:t xml:space="preserve">Derivation: R(Allow) = p · C</w:t>
      </w:r>
      <w:r>
        <w:rPr>
          <w:vertAlign w:val="subscript"/>
        </w:rPr>
        <w:t xml:space="preserve">miss</w:t>
      </w:r>
      <w:r>
        <w:t xml:space="preserve">(k) increases in p and R(Block) = (1 − p) · C</w:t>
      </w:r>
      <w:r>
        <w:rPr>
          <w:vertAlign w:val="subscript"/>
        </w:rPr>
        <w:t xml:space="preserve">FA</w:t>
      </w:r>
      <w:r>
        <w:t xml:space="preserve">(k) decreases in p. Their minimum is largest at p</w:t>
      </w:r>
      <w:r>
        <w:rPr>
          <w:vertAlign w:val="superscript"/>
        </w:rPr>
        <w:t xml:space="preserve">*</w:t>
      </w:r>
      <w:r>
        <w:rPr>
          <w:vertAlign w:val="subscript"/>
        </w:rPr>
        <w:t xml:space="preserve">k</w:t>
      </w:r>
      <w:r>
        <w:t xml:space="preserve">, where it equals C</w:t>
      </w:r>
      <w:r>
        <w:rPr>
          <w:vertAlign w:val="subscript"/>
        </w:rPr>
        <w:t xml:space="preserve">FA</w:t>
      </w:r>
      <w:r>
        <w:t xml:space="preserve">(k) · C</w:t>
      </w:r>
      <w:r>
        <w:rPr>
          <w:vertAlign w:val="subscript"/>
        </w:rPr>
        <w:t xml:space="preserve">miss</w:t>
      </w:r>
      <w:r>
        <w:t xml:space="preserve">(k) / (C</w:t>
      </w:r>
      <w:r>
        <w:rPr>
          <w:vertAlign w:val="subscript"/>
        </w:rPr>
        <w:t xml:space="preserve">FA</w:t>
      </w:r>
      <w:r>
        <w:t xml:space="preserve">(k) + C</w:t>
      </w:r>
      <w:r>
        <w:rPr>
          <w:vertAlign w:val="subscript"/>
        </w:rPr>
        <w:t xml:space="preserve">miss</w:t>
      </w:r>
      <w:r>
        <w:t xml:space="preserve">(k)). The constant C</w:t>
      </w:r>
      <w:r>
        <w:rPr>
          <w:vertAlign w:val="subscript"/>
        </w:rPr>
        <w:t xml:space="preserve">esc</w:t>
      </w:r>
      <w:r>
        <w:t xml:space="preserve"> </w:t>
      </w:r>
      <w:r>
        <w:t xml:space="preserve">lies strictly below this minimum for some p if and only if Equation 3.10 holds; at equality, ties resolve toward Block.</w:t>
      </w:r>
    </w:p>
    <w:p>
      <w:pPr>
        <w:pStyle w:val="BodyText"/>
      </w:pPr>
      <w:r>
        <w:t xml:space="preserve">When Modify is also feasible, Equation 3.10 remains a necessary condition, because adding a verdict can only lower the minimum risk. In the symmetric case C</w:t>
      </w:r>
      <w:r>
        <w:rPr>
          <w:vertAlign w:val="subscript"/>
        </w:rPr>
        <w:t xml:space="preserve">FA</w:t>
      </w:r>
      <w:r>
        <w:t xml:space="preserve">(k) = C</w:t>
      </w:r>
      <w:r>
        <w:rPr>
          <w:vertAlign w:val="subscript"/>
        </w:rPr>
        <w:t xml:space="preserve">miss</w:t>
      </w:r>
      <w:r>
        <w:t xml:space="preserve">(k) = C, Equation 3.10 reduces to C</w:t>
      </w:r>
      <w:r>
        <w:rPr>
          <w:vertAlign w:val="subscript"/>
        </w:rPr>
        <w:t xml:space="preserve">esc</w:t>
      </w:r>
      <w:r>
        <w:t xml:space="preserve"> </w:t>
      </w:r>
      <w:r>
        <w:t xml:space="preserve">&lt; C/2: deferral is selected only when it costs less than half an error.</w:t>
      </w:r>
    </w:p>
    <w:p>
      <w:pPr>
        <w:pStyle w:val="BodyText"/>
      </w:pPr>
      <w:r>
        <w:rPr>
          <w:bCs/>
          <w:b/>
        </w:rPr>
        <w:t xml:space="preserve">Dominance check.</w:t>
      </w:r>
      <w:r>
        <w:t xml:space="preserve"> </w:t>
      </w:r>
      <w:r>
        <w:t xml:space="preserve">Before a loss structure is used, it is checked for dominated verdicts. For example, R(Modify) − R(Block) = (1 − p)(C</w:t>
      </w:r>
      <w:r>
        <w:rPr>
          <w:vertAlign w:val="subscript"/>
        </w:rPr>
        <w:t xml:space="preserve">mod</w:t>
      </w:r>
      <w:r>
        <w:t xml:space="preserve">(k) − C</w:t>
      </w:r>
      <w:r>
        <w:rPr>
          <w:vertAlign w:val="subscript"/>
        </w:rPr>
        <w:t xml:space="preserve">FA</w:t>
      </w:r>
      <w:r>
        <w:t xml:space="preserve">(k)) + p · r</w:t>
      </w:r>
      <w:r>
        <w:rPr>
          <w:vertAlign w:val="subscript"/>
        </w:rPr>
        <w:t xml:space="preserve">mod</w:t>
      </w:r>
      <w:r>
        <w:t xml:space="preserve">(k) · C</w:t>
      </w:r>
      <w:r>
        <w:rPr>
          <w:vertAlign w:val="subscript"/>
        </w:rPr>
        <w:t xml:space="preserve">miss</w:t>
      </w:r>
      <w:r>
        <w:t xml:space="preserve">(k), which is non-negative for every p whenever C</w:t>
      </w:r>
      <w:r>
        <w:rPr>
          <w:vertAlign w:val="subscript"/>
        </w:rPr>
        <w:t xml:space="preserve">mod</w:t>
      </w:r>
      <w:r>
        <w:t xml:space="preserve">(k) ≥ C</w:t>
      </w:r>
      <w:r>
        <w:rPr>
          <w:vertAlign w:val="subscript"/>
        </w:rPr>
        <w:t xml:space="preserve">FA</w:t>
      </w:r>
      <w:r>
        <w:t xml:space="preserve">(k). In that case Modify can never be selected at tier k. A declaration that makes a verdict unreachable, by this check or by Equation 3.10, is reported as such rather than silently producing a smaller verdict set.</w:t>
      </w:r>
    </w:p>
    <w:bookmarkEnd w:id="134"/>
    <w:bookmarkStart w:id="135" w:name="explainability-and-audit-record"/>
    <w:p>
      <w:pPr>
        <w:pStyle w:val="Heading3"/>
      </w:pPr>
      <w:r>
        <w:t xml:space="preserve">3.7.6 Explainability and audit record</w:t>
      </w:r>
    </w:p>
    <w:p>
      <w:pPr>
        <w:pStyle w:val="FirstParagraph"/>
      </w:pPr>
      <w:r>
        <w:t xml:space="preserve">For every verdict the Decision Engine writes an audit record containing:</w:t>
      </w:r>
    </w:p>
    <w:p>
      <w:pPr>
        <w:numPr>
          <w:ilvl w:val="0"/>
          <w:numId w:val="1123"/>
        </w:numPr>
        <w:pStyle w:val="Compact"/>
      </w:pPr>
      <w:r>
        <w:t xml:space="preserve">the identity of the proposed action: tool name and a digest of its arguments, recorded</w:t>
      </w:r>
      <w:r>
        <w:t xml:space="preserve"> </w:t>
      </w:r>
      <w:r>
        <w:rPr>
          <w:iCs/>
          <w:i/>
        </w:rPr>
        <w:t xml:space="preserve">before</w:t>
      </w:r>
      <w:r>
        <w:t xml:space="preserve"> </w:t>
      </w:r>
      <w:r>
        <w:t xml:space="preserve">any mitigation alters the step. Raw argument values, which may include credentials, are not stored;</w:t>
      </w:r>
    </w:p>
    <w:p>
      <w:pPr>
        <w:numPr>
          <w:ilvl w:val="0"/>
          <w:numId w:val="1123"/>
        </w:numPr>
        <w:pStyle w:val="Compact"/>
      </w:pPr>
      <w:r>
        <w:t xml:space="preserve">the evidence vector x</w:t>
      </w:r>
      <w:r>
        <w:rPr>
          <w:vertAlign w:val="subscript"/>
        </w:rPr>
        <w:t xml:space="preserve">t</w:t>
      </w:r>
      <w:r>
        <w:t xml:space="preserve"> </w:t>
      </w:r>
      <w:r>
        <w:t xml:space="preserve">with its availability flags, the logit s</w:t>
      </w:r>
      <w:r>
        <w:rPr>
          <w:vertAlign w:val="subscript"/>
        </w:rPr>
        <w:t xml:space="preserve">t</w:t>
      </w:r>
      <w:r>
        <w:t xml:space="preserve">, and the probabilities p̃</w:t>
      </w:r>
      <w:r>
        <w:rPr>
          <w:vertAlign w:val="subscript"/>
        </w:rPr>
        <w:t xml:space="preserve">t</w:t>
      </w:r>
      <w:r>
        <w:t xml:space="preserve"> </w:t>
      </w:r>
      <w:r>
        <w:t xml:space="preserve">and p</w:t>
      </w:r>
      <w:r>
        <w:rPr>
          <w:vertAlign w:val="subscript"/>
        </w:rPr>
        <w:t xml:space="preserve">t</w:t>
      </w:r>
      <w:r>
        <w:t xml:space="preserve">, with a flag stating whether p</w:t>
      </w:r>
      <w:r>
        <w:rPr>
          <w:vertAlign w:val="subscript"/>
        </w:rPr>
        <w:t xml:space="preserve">t</w:t>
      </w:r>
      <w:r>
        <w:t xml:space="preserve"> </w:t>
      </w:r>
      <w:r>
        <w:t xml:space="preserve">was used for the verdict;</w:t>
      </w:r>
    </w:p>
    <w:p>
      <w:pPr>
        <w:numPr>
          <w:ilvl w:val="0"/>
          <w:numId w:val="1123"/>
        </w:numPr>
        <w:pStyle w:val="Compact"/>
      </w:pPr>
      <w:r>
        <w:t xml:space="preserve">the tier k</w:t>
      </w:r>
      <w:r>
        <w:rPr>
          <w:vertAlign w:val="subscript"/>
        </w:rPr>
        <w:t xml:space="preserve">t</w:t>
      </w:r>
      <w:r>
        <w:t xml:space="preserve"> </w:t>
      </w:r>
      <w:r>
        <w:t xml:space="preserve">and the conditional risks R</w:t>
      </w:r>
      <w:r>
        <w:rPr>
          <w:vertAlign w:val="subscript"/>
        </w:rPr>
        <w:t xml:space="preserve">t</w:t>
      </w:r>
      <w:r>
        <w:t xml:space="preserve">(v), or</w:t>
      </w:r>
      <w:r>
        <w:t xml:space="preserve"> </w:t>
      </w:r>
      <w:r>
        <w:rPr>
          <w:iCs/>
          <w:i/>
        </w:rPr>
        <w:t xml:space="preserve">not applicable</w:t>
      </w:r>
      <w:r>
        <w:t xml:space="preserve"> </w:t>
      </w:r>
      <w:r>
        <w:t xml:space="preserve">when D1 or D2 fixed the verdict;</w:t>
      </w:r>
    </w:p>
    <w:p>
      <w:pPr>
        <w:numPr>
          <w:ilvl w:val="0"/>
          <w:numId w:val="1123"/>
        </w:numPr>
        <w:pStyle w:val="Compact"/>
      </w:pPr>
      <w:r>
        <w:t xml:space="preserve">the verdict v</w:t>
      </w:r>
      <w:r>
        <w:rPr>
          <w:vertAlign w:val="subscript"/>
        </w:rPr>
        <w:t xml:space="preserve">t</w:t>
      </w:r>
      <w:r>
        <w:t xml:space="preserve"> </w:t>
      </w:r>
      <w:r>
        <w:t xml:space="preserve">and its source (D1, D2, or the expected-loss rule), and the mitigation applied;</w:t>
      </w:r>
    </w:p>
    <w:p>
      <w:pPr>
        <w:numPr>
          <w:ilvl w:val="0"/>
          <w:numId w:val="1123"/>
        </w:numPr>
        <w:pStyle w:val="Compact"/>
      </w:pPr>
      <w:r>
        <w:t xml:space="preserve">the model, calibration, and policy versions;</w:t>
      </w:r>
    </w:p>
    <w:p>
      <w:pPr>
        <w:numPr>
          <w:ilvl w:val="0"/>
          <w:numId w:val="1123"/>
        </w:numPr>
        <w:pStyle w:val="Compact"/>
      </w:pPr>
      <w:r>
        <w:t xml:space="preserve">a linear attribution of the logit.</w:t>
      </w:r>
    </w:p>
    <w:p>
      <w:pPr>
        <w:pStyle w:val="FirstParagraph"/>
      </w:pPr>
      <w:r>
        <w:t xml:space="preserve">The attribution follows the linear case of Shapley-value attribution given by Lundberg and Lee (2017):</w:t>
      </w:r>
    </w:p>
    <w:p>
      <w:pPr>
        <w:pStyle w:val="BodyText"/>
      </w:pPr>
      <m:oMathPara>
        <m:oMathParaPr>
          <m:jc m:val="center"/>
        </m:oMathParaPr>
        <m:oMath>
          <m:sSub>
            <m:e>
              <m:r>
                <m:t>ϕ</m:t>
              </m:r>
            </m:e>
            <m:sub>
              <m:r>
                <m:t>t</m:t>
              </m:r>
              <m:r>
                <m:rPr>
                  <m:sty m:val="p"/>
                </m:rPr>
                <m:t>,</m:t>
              </m:r>
              <m:r>
                <m:t>i</m:t>
              </m:r>
            </m:sub>
          </m:sSub>
          <m:r>
            <m:rPr>
              <m:sty m:val="p"/>
            </m:rPr>
            <m:t>=</m:t>
          </m:r>
          <m:sSub>
            <m:e>
              <m:r>
                <m:t>β</m:t>
              </m:r>
            </m:e>
            <m:sub>
              <m:r>
                <m:t>i</m:t>
              </m:r>
            </m:sub>
          </m:sSub>
          <m:r>
            <m:t> </m:t>
          </m:r>
          <m:d>
            <m:dPr>
              <m:begChr m:val="("/>
              <m:endChr m:val=")"/>
              <m:sepChr m:val=""/>
              <m:grow/>
            </m:dPr>
            <m:e>
              <m:sSub>
                <m:e>
                  <m:r>
                    <m:t>x</m:t>
                  </m:r>
                </m:e>
                <m:sub>
                  <m:r>
                    <m:t>t</m:t>
                  </m:r>
                  <m:r>
                    <m:rPr>
                      <m:sty m:val="p"/>
                    </m:rPr>
                    <m:t>,</m:t>
                  </m:r>
                  <m:r>
                    <m:t>i</m:t>
                  </m:r>
                </m:sub>
              </m:sSub>
              <m:r>
                <m:rPr>
                  <m:sty m:val="p"/>
                </m:rPr>
                <m:t>−</m:t>
              </m:r>
              <m:sSub>
                <m:e>
                  <m:acc>
                    <m:accPr>
                      <m:chr m:val="‾"/>
                    </m:accPr>
                    <m:e>
                      <m:r>
                        <m:t>x</m:t>
                      </m:r>
                    </m:e>
                  </m:acc>
                </m:e>
                <m:sub>
                  <m:r>
                    <m:t>i</m:t>
                  </m:r>
                </m:sub>
              </m:sSub>
            </m:e>
          </m:d>
          <m:r>
            <m:rPr>
              <m:sty m:val="p"/>
            </m:rPr>
            <m:t>,</m:t>
          </m:r>
          <m:r>
            <m:t> </m:t>
          </m:r>
          <m:r>
            <m:t>i</m:t>
          </m:r>
          <m:r>
            <m:rPr>
              <m:sty m:val="p"/>
            </m:rPr>
            <m:t>=</m:t>
          </m:r>
          <m:r>
            <m:t>1</m:t>
          </m:r>
          <m:r>
            <m:rPr>
              <m:sty m:val="p"/>
            </m:rPr>
            <m:t>,</m:t>
          </m:r>
          <m:r>
            <m:rPr>
              <m:sty m:val="p"/>
            </m:rPr>
            <m:t>…</m:t>
          </m:r>
          <m:r>
            <m:rPr>
              <m:sty m:val="p"/>
            </m:rPr>
            <m:t>,</m:t>
          </m:r>
          <m:r>
            <m:t>d</m:t>
          </m:r>
          <m:r>
            <m:rPr>
              <m:sty m:val="p"/>
            </m:rPr>
            <m:t>;</m:t>
          </m:r>
          <m:r>
            <m:t>  </m:t>
          </m:r>
          <m:sSub>
            <m:e>
              <m:r>
                <m:t>ϕ</m:t>
              </m:r>
            </m:e>
            <m:sub>
              <m:r>
                <m:t>0</m:t>
              </m:r>
            </m:sub>
          </m:sSub>
          <m:r>
            <m:rPr>
              <m:sty m:val="p"/>
            </m:rPr>
            <m:t>=</m:t>
          </m:r>
          <m:sSub>
            <m:e>
              <m:r>
                <m:t>β</m:t>
              </m:r>
            </m:e>
            <m:sub>
              <m:r>
                <m:t>0</m:t>
              </m:r>
            </m:sub>
          </m:sSub>
          <m:r>
            <m:rPr>
              <m:sty m:val="p"/>
            </m:rPr>
            <m:t>+</m:t>
          </m:r>
          <m:sSup>
            <m:e>
              <m:r>
                <m:t>β</m:t>
              </m:r>
            </m:e>
            <m:sup>
              <m:r>
                <m:rPr>
                  <m:sty m:val="p"/>
                </m:rPr>
                <m:t>⊤</m:t>
              </m:r>
            </m:sup>
          </m:sSup>
          <m:acc>
            <m:accPr>
              <m:chr m:val="‾"/>
            </m:accPr>
            <m:e>
              <m:r>
                <m:t>x</m:t>
              </m:r>
            </m:e>
          </m:acc>
          <m:r>
            <m:t>  </m:t>
          </m:r>
          <m:d>
            <m:dPr>
              <m:begChr m:val="("/>
              <m:endChr m:val=")"/>
              <m:sepChr m:val=""/>
              <m:grow/>
            </m:dPr>
            <m:e>
              <m:r>
                <m:t>3.11</m:t>
              </m:r>
            </m:e>
          </m:d>
        </m:oMath>
      </m:oMathPara>
    </w:p>
    <w:p>
      <w:pPr>
        <w:pStyle w:val="FirstParagraph"/>
      </w:pPr>
      <w:r>
        <w:t xml:space="preserve">where x̄ is the mean evidence vector over benign fitting steps, φ</w:t>
      </w:r>
      <w:r>
        <w:rPr>
          <w:vertAlign w:val="subscript"/>
        </w:rPr>
        <w:t xml:space="preserve">t,i</w:t>
      </w:r>
      <w:r>
        <w:t xml:space="preserve"> </w:t>
      </w:r>
      <w:r>
        <w:t xml:space="preserve">is the contribution of feature i to the logit relative to that benign reference, and φ</w:t>
      </w:r>
      <w:r>
        <w:rPr>
          <w:vertAlign w:val="subscript"/>
        </w:rPr>
        <w:t xml:space="preserve">0</w:t>
      </w:r>
      <w:r>
        <w:t xml:space="preserve"> </w:t>
      </w:r>
      <w:r>
        <w:t xml:space="preserve">is the logit at the reference.</w:t>
      </w:r>
    </w:p>
    <w:p>
      <w:pPr>
        <w:pStyle w:val="BodyText"/>
      </w:pPr>
      <w:r>
        <w:rPr>
          <w:iCs/>
          <w:i/>
        </w:rPr>
        <w:t xml:space="preserve">Status:</w:t>
      </w:r>
      <w:r>
        <w:t xml:space="preserve"> </w:t>
      </w:r>
      <w:r>
        <w:t xml:space="preserve">adapted from source. Lundberg and Lee (2017) state the linear case under feature independence with printed indices that do not match between the two sides of the expression and with base value equal to the model intercept. REM uses the index-consistent form and sets the base value to the logit at the reference point, which is the value required by their local-accuracy property when the reference mean is not zero.</w:t>
      </w:r>
    </w:p>
    <w:p>
      <w:pPr>
        <w:pStyle w:val="BodyText"/>
      </w:pPr>
      <w:r>
        <w:t xml:space="preserve">The decomposition is exact:</w:t>
      </w:r>
    </w:p>
    <w:p>
      <w:pPr>
        <w:pStyle w:val="BodyText"/>
      </w:pPr>
      <m:oMathPara>
        <m:oMathParaPr>
          <m:jc m:val="center"/>
        </m:oMathParaPr>
        <m:oMath>
          <m:sSub>
            <m:e>
              <m:r>
                <m:t>ϕ</m:t>
              </m:r>
            </m:e>
            <m:sub>
              <m:r>
                <m:t>0</m:t>
              </m:r>
            </m:sub>
          </m:sSub>
          <m:r>
            <m:rPr>
              <m:sty m:val="p"/>
            </m:rPr>
            <m:t>+</m:t>
          </m:r>
          <m:nary>
            <m:naryPr>
              <m:chr m:val="∑"/>
              <m:limLoc m:val="undOvr"/>
              <m:subHide m:val="off"/>
              <m:supHide m:val="off"/>
            </m:naryPr>
            <m:sub>
              <m:r>
                <m:t>i</m:t>
              </m:r>
              <m:r>
                <m:rPr>
                  <m:sty m:val="p"/>
                </m:rPr>
                <m:t>=</m:t>
              </m:r>
              <m:r>
                <m:t>1</m:t>
              </m:r>
            </m:sub>
            <m:sup>
              <m:r>
                <m:t>d</m:t>
              </m:r>
            </m:sup>
            <m:e>
              <m:sSub>
                <m:e>
                  <m:r>
                    <m:t>ϕ</m:t>
                  </m:r>
                </m:e>
                <m:sub>
                  <m:r>
                    <m:t>t</m:t>
                  </m:r>
                  <m:r>
                    <m:rPr>
                      <m:sty m:val="p"/>
                    </m:rPr>
                    <m:t>,</m:t>
                  </m:r>
                  <m:r>
                    <m:t>i</m:t>
                  </m:r>
                </m:sub>
              </m:sSub>
            </m:e>
          </m:nary>
          <m:r>
            <m:rPr>
              <m:sty m:val="p"/>
            </m:rPr>
            <m:t>=</m:t>
          </m:r>
          <m:sSub>
            <m:e>
              <m:r>
                <m:t>s</m:t>
              </m:r>
            </m:e>
            <m:sub>
              <m:r>
                <m:t>t</m:t>
              </m:r>
            </m:sub>
          </m:sSub>
          <m:r>
            <m:t>  </m:t>
          </m:r>
          <m:d>
            <m:dPr>
              <m:begChr m:val="("/>
              <m:endChr m:val=")"/>
              <m:sepChr m:val=""/>
              <m:grow/>
            </m:dPr>
            <m:e>
              <m:r>
                <m:t>3.12</m:t>
              </m:r>
            </m:e>
          </m:d>
        </m:oMath>
      </m:oMathPara>
    </w:p>
    <w:p>
      <w:pPr>
        <w:pStyle w:val="FirstParagraph"/>
      </w:pPr>
      <w:r>
        <w:rPr>
          <w:iCs/>
          <w:i/>
        </w:rPr>
        <w:t xml:space="preserve">Status:</w:t>
      </w:r>
      <w:r>
        <w:t xml:space="preserve"> </w:t>
      </w:r>
      <w:r>
        <w:t xml:space="preserve">derived. Summing Equation 3.11 gives β</w:t>
      </w:r>
      <w:r>
        <w:rPr>
          <w:vertAlign w:val="subscript"/>
        </w:rPr>
        <w:t xml:space="preserve">0</w:t>
      </w:r>
      <w:r>
        <w:t xml:space="preserve"> </w:t>
      </w:r>
      <w:r>
        <w:t xml:space="preserve">+ β</w:t>
      </w:r>
      <w:r>
        <w:rPr>
          <w:vertAlign w:val="superscript"/>
        </w:rPr>
        <w:t xml:space="preserve">⊤</w:t>
      </w:r>
      <w:r>
        <w:t xml:space="preserve">x̄ + β</w:t>
      </w:r>
      <w:r>
        <w:rPr>
          <w:vertAlign w:val="superscript"/>
        </w:rPr>
        <w:t xml:space="preserve">⊤</w:t>
      </w:r>
      <w:r>
        <w:t xml:space="preserve">x</w:t>
      </w:r>
      <w:r>
        <w:rPr>
          <w:vertAlign w:val="subscript"/>
        </w:rPr>
        <w:t xml:space="preserve">t</w:t>
      </w:r>
      <w:r>
        <w:t xml:space="preserve"> </w:t>
      </w:r>
      <w:r>
        <w:t xml:space="preserve">− β</w:t>
      </w:r>
      <w:r>
        <w:rPr>
          <w:vertAlign w:val="superscript"/>
        </w:rPr>
        <w:t xml:space="preserve">⊤</w:t>
      </w:r>
      <w:r>
        <w:t xml:space="preserve">x̄ = s</w:t>
      </w:r>
      <w:r>
        <w:rPr>
          <w:vertAlign w:val="subscript"/>
        </w:rPr>
        <w:t xml:space="preserve">t</w:t>
      </w:r>
      <w:r>
        <w:t xml:space="preserve">. This is the local-accuracy property of Lundberg and Lee (2017) for a linear model, and REM checks it as a correctness invariant.</w:t>
      </w:r>
    </w:p>
    <w:p>
      <w:pPr>
        <w:pStyle w:val="BodyText"/>
      </w:pPr>
      <w:r>
        <w:t xml:space="preserve">For reporting by evidence group, REM defines:</w:t>
      </w:r>
    </w:p>
    <w:p>
      <w:pPr>
        <w:pStyle w:val="BodyText"/>
      </w:pPr>
      <m:oMathPara>
        <m:oMathParaPr>
          <m:jc m:val="center"/>
        </m:oMathParaPr>
        <m:oMath>
          <m:sSub>
            <m:e>
              <m:r>
                <m:t>Φ</m:t>
              </m:r>
            </m:e>
            <m:sub>
              <m:r>
                <m:t>J</m:t>
              </m:r>
            </m:sub>
          </m:sSub>
          <m:r>
            <m:rPr>
              <m:sty m:val="p"/>
            </m:rPr>
            <m:t>=</m:t>
          </m:r>
          <m:nary>
            <m:naryPr>
              <m:chr m:val="∑"/>
              <m:limLoc m:val="undOvr"/>
              <m:subHide m:val="off"/>
              <m:supHide m:val="on"/>
            </m:naryPr>
            <m:sub>
              <m:r>
                <m:t>i</m:t>
              </m:r>
              <m:r>
                <m:rPr>
                  <m:sty m:val="p"/>
                </m:rPr>
                <m:t>∈</m:t>
              </m:r>
              <m:sSub>
                <m:e>
                  <m:r>
                    <m:t>I</m:t>
                  </m:r>
                </m:e>
                <m:sub>
                  <m:r>
                    <m:t>J</m:t>
                  </m:r>
                </m:sub>
              </m:sSub>
            </m:sub>
            <m:sup>
              <m:r>
                <m:t>​</m:t>
              </m:r>
            </m:sup>
            <m:e>
              <m:sSub>
                <m:e>
                  <m:r>
                    <m:t>ϕ</m:t>
                  </m:r>
                </m:e>
                <m:sub>
                  <m:r>
                    <m:t>t</m:t>
                  </m:r>
                  <m:r>
                    <m:rPr>
                      <m:sty m:val="p"/>
                    </m:rPr>
                    <m:t>,</m:t>
                  </m:r>
                  <m:r>
                    <m:t>i</m:t>
                  </m:r>
                </m:sub>
              </m:sSub>
            </m:e>
          </m:nary>
          <m:r>
            <m:rPr>
              <m:sty m:val="p"/>
            </m:rPr>
            <m:t>,</m:t>
          </m:r>
          <m:r>
            <m:t>  </m:t>
          </m:r>
          <m:r>
            <m:t>J</m:t>
          </m:r>
          <m:r>
            <m:rPr>
              <m:sty m:val="p"/>
            </m:rPr>
            <m:t>∈</m:t>
          </m:r>
          <m:r>
            <m:rPr>
              <m:sty m:val="p"/>
            </m:rPr>
            <m:t>{</m:t>
          </m:r>
          <m:r>
            <m:rPr>
              <m:sty m:val="p"/>
            </m:rPr>
            <m:t>c</m:t>
          </m:r>
          <m:r>
            <m:rPr>
              <m:sty m:val="p"/>
            </m:rPr>
            <m:t>t</m:t>
          </m:r>
          <m:r>
            <m:rPr>
              <m:sty m:val="p"/>
            </m:rPr>
            <m:t>x</m:t>
          </m:r>
          <m:r>
            <m:rPr>
              <m:sty m:val="p"/>
            </m:rPr>
            <m:t>,</m:t>
          </m:r>
          <m:r>
            <m:rPr>
              <m:sty m:val="p"/>
            </m:rPr>
            <m:t>b</m:t>
          </m:r>
          <m:r>
            <m:rPr>
              <m:sty m:val="p"/>
            </m:rPr>
            <m:t>e</m:t>
          </m:r>
          <m:r>
            <m:rPr>
              <m:sty m:val="p"/>
            </m:rPr>
            <m:t>h</m:t>
          </m:r>
          <m:r>
            <m:rPr>
              <m:sty m:val="p"/>
            </m:rPr>
            <m:t>,</m:t>
          </m:r>
          <m:r>
            <m:rPr>
              <m:sty m:val="p"/>
            </m:rPr>
            <m:t>a</m:t>
          </m:r>
          <m:r>
            <m:rPr>
              <m:sty m:val="p"/>
            </m:rPr>
            <m:t>c</m:t>
          </m:r>
          <m:r>
            <m:rPr>
              <m:sty m:val="p"/>
            </m:rPr>
            <m:t>t</m:t>
          </m:r>
          <m:r>
            <m:rPr>
              <m:sty m:val="p"/>
            </m:rPr>
            <m:t>}</m:t>
          </m:r>
          <m:r>
            <m:t>  </m:t>
          </m:r>
          <m:d>
            <m:dPr>
              <m:begChr m:val="("/>
              <m:endChr m:val=")"/>
              <m:sepChr m:val=""/>
              <m:grow/>
            </m:dPr>
            <m:e>
              <m:r>
                <m:t>3.13</m:t>
              </m:r>
            </m:e>
          </m:d>
        </m:oMath>
      </m:oMathPara>
    </w:p>
    <w:p>
      <w:pPr>
        <w:pStyle w:val="FirstParagraph"/>
      </w:pPr>
      <w:r>
        <w:rPr>
          <w:iCs/>
          <w:i/>
        </w:rPr>
        <w:t xml:space="preserve">Status:</w:t>
      </w:r>
      <w:r>
        <w:t xml:space="preserve"> </w:t>
      </w:r>
      <w:r>
        <w:t xml:space="preserve">design definition. Because the groups partition the features, Φ</w:t>
      </w:r>
      <w:r>
        <w:rPr>
          <w:vertAlign w:val="subscript"/>
        </w:rPr>
        <w:t xml:space="preserve">ctx</w:t>
      </w:r>
      <w:r>
        <w:t xml:space="preserve"> </w:t>
      </w:r>
      <w:r>
        <w:t xml:space="preserve">+ Φ</w:t>
      </w:r>
      <w:r>
        <w:rPr>
          <w:vertAlign w:val="subscript"/>
        </w:rPr>
        <w:t xml:space="preserve">beh</w:t>
      </w:r>
      <w:r>
        <w:t xml:space="preserve"> </w:t>
      </w:r>
      <w:r>
        <w:t xml:space="preserve">+ Φ</w:t>
      </w:r>
      <w:r>
        <w:rPr>
          <w:vertAlign w:val="subscript"/>
        </w:rPr>
        <w:t xml:space="preserve">act</w:t>
      </w:r>
      <w:r>
        <w:t xml:space="preserve"> </w:t>
      </w:r>
      <w:r>
        <w:t xml:space="preserve">= s</w:t>
      </w:r>
      <w:r>
        <w:rPr>
          <w:vertAlign w:val="subscript"/>
        </w:rPr>
        <w:t xml:space="preserve">t</w:t>
      </w:r>
      <w:r>
        <w:t xml:space="preserve"> </w:t>
      </w:r>
      <w:r>
        <w:t xml:space="preserve">− φ</w:t>
      </w:r>
      <w:r>
        <w:rPr>
          <w:vertAlign w:val="subscript"/>
        </w:rPr>
        <w:t xml:space="preserve">0</w:t>
      </w:r>
      <w:r>
        <w:t xml:space="preserve">.</w:t>
      </w:r>
    </w:p>
    <w:p>
      <w:pPr>
        <w:pStyle w:val="BodyText"/>
      </w:pPr>
      <w:r>
        <w:t xml:space="preserve">Four qualifications apply:</w:t>
      </w:r>
    </w:p>
    <w:p>
      <w:pPr>
        <w:numPr>
          <w:ilvl w:val="0"/>
          <w:numId w:val="1124"/>
        </w:numPr>
        <w:pStyle w:val="Compact"/>
      </w:pPr>
      <w:r>
        <w:rPr>
          <w:bCs/>
          <w:b/>
        </w:rPr>
        <w:t xml:space="preserve">The attribution never influences the verdict.</w:t>
      </w:r>
      <w:r>
        <w:t xml:space="preserve"> </w:t>
      </w:r>
      <w:r>
        <w:t xml:space="preserve">It is an audit component only.</w:t>
      </w:r>
    </w:p>
    <w:p>
      <w:pPr>
        <w:numPr>
          <w:ilvl w:val="0"/>
          <w:numId w:val="1124"/>
        </w:numPr>
        <w:pStyle w:val="Compact"/>
      </w:pPr>
      <w:r>
        <w:rPr>
          <w:bCs/>
          <w:b/>
        </w:rPr>
        <w:t xml:space="preserve">It decomposes the logit, not the calibrated probability.</w:t>
      </w:r>
      <w:r>
        <w:t xml:space="preserve"> </w:t>
      </w:r>
      <w:r>
        <w:t xml:space="preserve">On the calibrated logit scale each contribution is multiplied by γ</w:t>
      </w:r>
      <w:r>
        <w:rPr>
          <w:vertAlign w:val="subscript"/>
        </w:rPr>
        <w:t xml:space="preserve">1</w:t>
      </w:r>
      <w:r>
        <w:t xml:space="preserve">, which preserves relative contributions because γ</w:t>
      </w:r>
      <w:r>
        <w:rPr>
          <w:vertAlign w:val="subscript"/>
        </w:rPr>
        <w:t xml:space="preserve">1</w:t>
      </w:r>
      <w:r>
        <w:t xml:space="preserve"> </w:t>
      </w:r>
      <w:r>
        <w:t xml:space="preserve">&gt; 0.</w:t>
      </w:r>
    </w:p>
    <w:p>
      <w:pPr>
        <w:numPr>
          <w:ilvl w:val="0"/>
          <w:numId w:val="1124"/>
        </w:numPr>
        <w:pStyle w:val="Compact"/>
      </w:pPr>
      <w:r>
        <w:rPr>
          <w:bCs/>
          <w:b/>
        </w:rPr>
        <w:t xml:space="preserve">Correlation limits interpretation, not the identity.</w:t>
      </w:r>
      <w:r>
        <w:t xml:space="preserve"> </w:t>
      </w:r>
      <w:r>
        <w:t xml:space="preserve">The independence assumption affects the interpretation of each φ</w:t>
      </w:r>
      <w:r>
        <w:rPr>
          <w:vertAlign w:val="subscript"/>
        </w:rPr>
        <w:t xml:space="preserve">t,i</w:t>
      </w:r>
      <w:r>
        <w:t xml:space="preserve"> </w:t>
      </w:r>
      <w:r>
        <w:t xml:space="preserve">as a Shapley value when features are correlated; it does not affect the identity of Equation 3.12.</w:t>
      </w:r>
    </w:p>
    <w:p>
      <w:pPr>
        <w:numPr>
          <w:ilvl w:val="0"/>
          <w:numId w:val="1124"/>
        </w:numPr>
        <w:pStyle w:val="Compact"/>
      </w:pPr>
      <w:r>
        <w:rPr>
          <w:bCs/>
          <w:b/>
        </w:rPr>
        <w:t xml:space="preserve">It is not a contribution.</w:t>
      </w:r>
      <w:r>
        <w:t xml:space="preserve"> </w:t>
      </w:r>
      <w:r>
        <w:t xml:space="preserve">Auditable decision records are provided by several existing systems (Hossain et al., 2026; C. Yang, 2026). Because the attribution is determined by the logged x</w:t>
      </w:r>
      <w:r>
        <w:rPr>
          <w:vertAlign w:val="subscript"/>
        </w:rPr>
        <w:t xml:space="preserve">t</w:t>
      </w:r>
      <w:r>
        <w:t xml:space="preserve"> </w:t>
      </w:r>
      <w:r>
        <w:t xml:space="preserve">and the frozen parameters, it can equally be computed at audit time.</w:t>
      </w:r>
    </w:p>
    <w:bookmarkEnd w:id="135"/>
    <w:bookmarkStart w:id="136" w:name="consequence-independent-baseline-policy"/>
    <w:p>
      <w:pPr>
        <w:pStyle w:val="Heading3"/>
      </w:pPr>
      <w:r>
        <w:t xml:space="preserve">3.7.7 Consequence-independent baseline policy</w:t>
      </w:r>
    </w:p>
    <w:p>
      <w:pPr>
        <w:pStyle w:val="FirstParagraph"/>
      </w:pPr>
      <w:r>
        <w:t xml:space="preserve">The baseline uses the same estimator and calibration but a decision rule that ignores consequence. Its thresholds are selected as operating points on benign validation steps:</w:t>
      </w:r>
    </w:p>
    <w:p>
      <w:pPr>
        <w:pStyle w:val="BodyText"/>
      </w:pPr>
      <m:oMathPara>
        <m:oMathParaPr>
          <m:jc m:val="center"/>
        </m:oMathParaPr>
        <m:oMath>
          <m:r>
            <m:t>θ</m:t>
          </m:r>
          <m:d>
            <m:dPr>
              <m:begChr m:val="("/>
              <m:endChr m:val=")"/>
              <m:sepChr m:val=""/>
              <m:grow/>
            </m:dPr>
            <m:e>
              <m:r>
                <m:t>α</m:t>
              </m:r>
            </m:e>
          </m:d>
          <m:r>
            <m:rPr>
              <m:sty m:val="p"/>
            </m:rPr>
            <m:t>=</m:t>
          </m:r>
          <m:r>
            <m:rPr>
              <m:sty m:val="p"/>
            </m:rPr>
            <m:t>min</m:t>
          </m:r>
          <m:r>
            <m:rPr>
              <m:sty m:val="p"/>
            </m:rPr>
            <m:t>{</m:t>
          </m:r>
          <m:r>
            <m:t>θ</m:t>
          </m:r>
          <m:r>
            <m:rPr>
              <m:sty m:val="p"/>
            </m:rPr>
            <m:t>:</m:t>
          </m:r>
          <m:sSub>
            <m:e>
              <m:r>
                <m:rPr>
                  <m:sty m:val="p"/>
                </m:rPr>
                <m:t>F</m:t>
              </m:r>
              <m:r>
                <m:rPr>
                  <m:sty m:val="p"/>
                </m:rPr>
                <m:t>P</m:t>
              </m:r>
              <m:r>
                <m:rPr>
                  <m:sty m:val="p"/>
                </m:rPr>
                <m:t>R</m:t>
              </m:r>
            </m:e>
            <m:sub>
              <m:r>
                <m:rPr>
                  <m:sty m:val="p"/>
                </m:rPr>
                <m:t>v</m:t>
              </m:r>
              <m:r>
                <m:rPr>
                  <m:sty m:val="p"/>
                </m:rPr>
                <m:t>a</m:t>
              </m:r>
              <m:r>
                <m:rPr>
                  <m:sty m:val="p"/>
                </m:rPr>
                <m:t>l</m:t>
              </m:r>
            </m:sub>
          </m:sSub>
          <m:d>
            <m:dPr>
              <m:begChr m:val="("/>
              <m:endChr m:val=")"/>
              <m:sepChr m:val=""/>
              <m:grow/>
            </m:dPr>
            <m:e>
              <m:r>
                <m:t>θ</m:t>
              </m:r>
            </m:e>
          </m:d>
          <m:r>
            <m:rPr>
              <m:sty m:val="p"/>
            </m:rPr>
            <m:t>≤</m:t>
          </m:r>
          <m:r>
            <m:t>α</m:t>
          </m:r>
          <m:r>
            <m:rPr>
              <m:sty m:val="p"/>
            </m:rPr>
            <m:t>}</m:t>
          </m:r>
          <m:r>
            <m:rPr>
              <m:sty m:val="p"/>
            </m:rPr>
            <m:t>,</m:t>
          </m:r>
          <m:r>
            <m:t>  </m:t>
          </m:r>
          <m:sSub>
            <m:e>
              <m:r>
                <m:rPr>
                  <m:sty m:val="p"/>
                </m:rPr>
                <m:t>F</m:t>
              </m:r>
              <m:r>
                <m:rPr>
                  <m:sty m:val="p"/>
                </m:rPr>
                <m:t>P</m:t>
              </m:r>
              <m:r>
                <m:rPr>
                  <m:sty m:val="p"/>
                </m:rPr>
                <m:t>R</m:t>
              </m:r>
            </m:e>
            <m:sub>
              <m:r>
                <m:rPr>
                  <m:sty m:val="p"/>
                </m:rPr>
                <m:t>v</m:t>
              </m:r>
              <m:r>
                <m:rPr>
                  <m:sty m:val="p"/>
                </m:rPr>
                <m:t>a</m:t>
              </m:r>
              <m:r>
                <m:rPr>
                  <m:sty m:val="p"/>
                </m:rPr>
                <m:t>l</m:t>
              </m:r>
            </m:sub>
          </m:sSub>
          <m:d>
            <m:dPr>
              <m:begChr m:val="("/>
              <m:endChr m:val=")"/>
              <m:sepChr m:val=""/>
              <m:grow/>
            </m:dPr>
            <m:e>
              <m:r>
                <m:t>θ</m:t>
              </m:r>
            </m:e>
          </m:d>
          <m:r>
            <m:rPr>
              <m:sty m:val="p"/>
            </m:rPr>
            <m:t>=</m:t>
          </m:r>
          <m:f>
            <m:fPr>
              <m:type m:val="bar"/>
            </m:fPr>
            <m:num>
              <m:d>
                <m:dPr>
                  <m:begChr m:val="|"/>
                  <m:endChr m:val="|"/>
                  <m:sepChr m:val=""/>
                  <m:grow/>
                </m:dPr>
                <m:e>
                  <m:r>
                    <m:rPr>
                      <m:sty m:val="p"/>
                    </m:rPr>
                    <m:t>{</m:t>
                  </m:r>
                  <m:r>
                    <m:t>i</m:t>
                  </m:r>
                  <m:r>
                    <m:rPr>
                      <m:sty m:val="p"/>
                    </m:rPr>
                    <m:t>∈</m:t>
                  </m:r>
                  <m:sSubSup>
                    <m:e>
                      <m:r>
                        <m:t>D</m:t>
                      </m:r>
                    </m:e>
                    <m:sub>
                      <m:r>
                        <m:rPr>
                          <m:sty m:val="p"/>
                        </m:rPr>
                        <m:t>v</m:t>
                      </m:r>
                      <m:r>
                        <m:rPr>
                          <m:sty m:val="p"/>
                        </m:rPr>
                        <m:t>a</m:t>
                      </m:r>
                      <m:r>
                        <m:rPr>
                          <m:sty m:val="p"/>
                        </m:rPr>
                        <m:t>l</m:t>
                      </m:r>
                    </m:sub>
                    <m:sup>
                      <m:r>
                        <m:rPr>
                          <m:sty m:val="p"/>
                        </m:rPr>
                        <m:t>b</m:t>
                      </m:r>
                      <m:r>
                        <m:rPr>
                          <m:sty m:val="p"/>
                        </m:rPr>
                        <m:t>e</m:t>
                      </m:r>
                      <m:r>
                        <m:rPr>
                          <m:sty m:val="p"/>
                        </m:rPr>
                        <m:t>n</m:t>
                      </m:r>
                      <m:r>
                        <m:rPr>
                          <m:sty m:val="p"/>
                        </m:rPr>
                        <m:t>i</m:t>
                      </m:r>
                      <m:r>
                        <m:rPr>
                          <m:sty m:val="p"/>
                        </m:rPr>
                        <m:t>g</m:t>
                      </m:r>
                      <m:r>
                        <m:rPr>
                          <m:sty m:val="p"/>
                        </m:rPr>
                        <m:t>n</m:t>
                      </m:r>
                    </m:sup>
                  </m:sSubSup>
                  <m:r>
                    <m:rPr>
                      <m:sty m:val="p"/>
                    </m:rPr>
                    <m:t>:</m:t>
                  </m:r>
                  <m:sSub>
                    <m:e>
                      <m:r>
                        <m:t>p</m:t>
                      </m:r>
                    </m:e>
                    <m:sub>
                      <m:r>
                        <m:t>i</m:t>
                      </m:r>
                    </m:sub>
                  </m:sSub>
                  <m:r>
                    <m:rPr>
                      <m:sty m:val="p"/>
                    </m:rPr>
                    <m:t>≥</m:t>
                  </m:r>
                  <m:r>
                    <m:t>θ</m:t>
                  </m:r>
                  <m:r>
                    <m:rPr>
                      <m:sty m:val="p"/>
                    </m:rPr>
                    <m:t>}</m:t>
                  </m:r>
                </m:e>
              </m:d>
            </m:num>
            <m:den>
              <m:d>
                <m:dPr>
                  <m:begChr m:val="|"/>
                  <m:endChr m:val="|"/>
                  <m:sepChr m:val=""/>
                  <m:grow/>
                </m:dPr>
                <m:e>
                  <m:sSubSup>
                    <m:e>
                      <m:r>
                        <m:t>D</m:t>
                      </m:r>
                    </m:e>
                    <m:sub>
                      <m:r>
                        <m:rPr>
                          <m:sty m:val="p"/>
                        </m:rPr>
                        <m:t>v</m:t>
                      </m:r>
                      <m:r>
                        <m:rPr>
                          <m:sty m:val="p"/>
                        </m:rPr>
                        <m:t>a</m:t>
                      </m:r>
                      <m:r>
                        <m:rPr>
                          <m:sty m:val="p"/>
                        </m:rPr>
                        <m:t>l</m:t>
                      </m:r>
                    </m:sub>
                    <m:sup>
                      <m:r>
                        <m:rPr>
                          <m:sty m:val="p"/>
                        </m:rPr>
                        <m:t>b</m:t>
                      </m:r>
                      <m:r>
                        <m:rPr>
                          <m:sty m:val="p"/>
                        </m:rPr>
                        <m:t>e</m:t>
                      </m:r>
                      <m:r>
                        <m:rPr>
                          <m:sty m:val="p"/>
                        </m:rPr>
                        <m:t>n</m:t>
                      </m:r>
                      <m:r>
                        <m:rPr>
                          <m:sty m:val="p"/>
                        </m:rPr>
                        <m:t>i</m:t>
                      </m:r>
                      <m:r>
                        <m:rPr>
                          <m:sty m:val="p"/>
                        </m:rPr>
                        <m:t>g</m:t>
                      </m:r>
                      <m:r>
                        <m:rPr>
                          <m:sty m:val="p"/>
                        </m:rPr>
                        <m:t>n</m:t>
                      </m:r>
                    </m:sup>
                  </m:sSubSup>
                </m:e>
              </m:d>
            </m:den>
          </m:f>
          <m:r>
            <m:t>  </m:t>
          </m:r>
          <m:d>
            <m:dPr>
              <m:begChr m:val="("/>
              <m:endChr m:val=")"/>
              <m:sepChr m:val=""/>
              <m:grow/>
            </m:dPr>
            <m:e>
              <m:r>
                <m:t>3.14</m:t>
              </m:r>
            </m:e>
          </m:d>
        </m:oMath>
      </m:oMathPara>
    </w:p>
    <w:p>
      <w:pPr>
        <w:pStyle w:val="FirstParagraph"/>
      </w:pPr>
      <w:r>
        <w:t xml:space="preserve">where α is a declared false-positive target, D</w:t>
      </w:r>
      <w:r>
        <w:rPr>
          <w:vertAlign w:val="subscript"/>
        </w:rPr>
        <w:t xml:space="preserve">val</w:t>
      </w:r>
      <w:r>
        <w:rPr>
          <w:vertAlign w:val="superscript"/>
        </w:rPr>
        <w:t xml:space="preserve">benign</w:t>
      </w:r>
      <w:r>
        <w:t xml:space="preserve"> </w:t>
      </w:r>
      <w:r>
        <w:t xml:space="preserve">is the set of benign validation steps in the relevant cross-fitting fold, and θ ranges over the observed probabilities.</w:t>
      </w:r>
    </w:p>
    <w:p>
      <w:pPr>
        <w:pStyle w:val="BodyText"/>
      </w:pPr>
      <w:r>
        <w:t xml:space="preserve">The baseline verdict is:</w:t>
      </w:r>
    </w:p>
    <w:p>
      <w:pPr>
        <w:numPr>
          <w:ilvl w:val="0"/>
          <w:numId w:val="1125"/>
        </w:numPr>
        <w:pStyle w:val="Compact"/>
      </w:pPr>
      <w:r>
        <w:rPr>
          <w:bCs/>
          <w:b/>
        </w:rPr>
        <w:t xml:space="preserve">Block</w:t>
      </w:r>
      <w:r>
        <w:t xml:space="preserve"> </w:t>
      </w:r>
      <w:r>
        <w:t xml:space="preserve">if p</w:t>
      </w:r>
      <w:r>
        <w:rPr>
          <w:vertAlign w:val="subscript"/>
        </w:rPr>
        <w:t xml:space="preserve">t</w:t>
      </w:r>
      <w:r>
        <w:t xml:space="preserve"> </w:t>
      </w:r>
      <w:r>
        <w:t xml:space="preserve">≥ θ(α</w:t>
      </w:r>
      <w:r>
        <w:rPr>
          <w:vertAlign w:val="subscript"/>
        </w:rPr>
        <w:t xml:space="preserve">blk</w:t>
      </w:r>
      <w:r>
        <w:t xml:space="preserve">);</w:t>
      </w:r>
    </w:p>
    <w:p>
      <w:pPr>
        <w:numPr>
          <w:ilvl w:val="0"/>
          <w:numId w:val="1125"/>
        </w:numPr>
        <w:pStyle w:val="Compact"/>
      </w:pPr>
      <w:r>
        <w:rPr>
          <w:bCs/>
          <w:b/>
        </w:rPr>
        <w:t xml:space="preserve">Modify</w:t>
      </w:r>
      <w:r>
        <w:t xml:space="preserve"> </w:t>
      </w:r>
      <w:r>
        <w:t xml:space="preserve">if θ(α</w:t>
      </w:r>
      <w:r>
        <w:rPr>
          <w:vertAlign w:val="subscript"/>
        </w:rPr>
        <w:t xml:space="preserve">mod</w:t>
      </w:r>
      <w:r>
        <w:t xml:space="preserve">) ≤ p</w:t>
      </w:r>
      <w:r>
        <w:rPr>
          <w:vertAlign w:val="subscript"/>
        </w:rPr>
        <w:t xml:space="preserve">t</w:t>
      </w:r>
      <w:r>
        <w:t xml:space="preserve"> </w:t>
      </w:r>
      <w:r>
        <w:t xml:space="preserve">&lt; θ(α</w:t>
      </w:r>
      <w:r>
        <w:rPr>
          <w:vertAlign w:val="subscript"/>
        </w:rPr>
        <w:t xml:space="preserve">blk</w:t>
      </w:r>
      <w:r>
        <w:t xml:space="preserve">) and Modify is feasible, otherwise Block;</w:t>
      </w:r>
    </w:p>
    <w:p>
      <w:pPr>
        <w:numPr>
          <w:ilvl w:val="0"/>
          <w:numId w:val="1125"/>
        </w:numPr>
        <w:pStyle w:val="Compact"/>
      </w:pPr>
      <w:r>
        <w:rPr>
          <w:bCs/>
          <w:b/>
        </w:rPr>
        <w:t xml:space="preserve">Allow</w:t>
      </w:r>
      <w:r>
        <w:t xml:space="preserve"> </w:t>
      </w:r>
      <w:r>
        <w:t xml:space="preserve">otherwise.</w:t>
      </w:r>
    </w:p>
    <w:p>
      <w:pPr>
        <w:pStyle w:val="FirstParagraph"/>
      </w:pPr>
      <w:r>
        <w:t xml:space="preserve">The targets satisfy α</w:t>
      </w:r>
      <w:r>
        <w:rPr>
          <w:vertAlign w:val="subscript"/>
        </w:rPr>
        <w:t xml:space="preserve">mod</w:t>
      </w:r>
      <w:r>
        <w:t xml:space="preserve"> </w:t>
      </w:r>
      <w:r>
        <w:t xml:space="preserve">&gt; α</w:t>
      </w:r>
      <w:r>
        <w:rPr>
          <w:vertAlign w:val="subscript"/>
        </w:rPr>
        <w:t xml:space="preserve">blk</w:t>
      </w:r>
      <w:r>
        <w:t xml:space="preserve">. Predicates D1 and D2 apply as in Section 3.7.4, so the baseline issues Escalate only through D2. In implementation the candidate set for θ also includes a value just above the largest benign probability, so that α = 0 can be met.</w:t>
      </w:r>
    </w:p>
    <w:p>
      <w:pPr>
        <w:pStyle w:val="BodyText"/>
      </w:pPr>
      <w:r>
        <w:rPr>
          <w:iCs/>
          <w:i/>
        </w:rPr>
        <w:t xml:space="preserve">Status:</w:t>
      </w:r>
      <w:r>
        <w:t xml:space="preserve"> </w:t>
      </w:r>
      <w:r>
        <w:t xml:space="preserve">design definition.</w:t>
      </w:r>
    </w:p>
    <w:p>
      <w:pPr>
        <w:pStyle w:val="BodyText"/>
      </w:pPr>
      <w:r>
        <w:rPr>
          <w:bCs/>
          <w:b/>
        </w:rPr>
        <w:t xml:space="preserve">What the comparison isolates.</w:t>
      </w:r>
      <w:r>
        <w:t xml:space="preserve"> </w:t>
      </w:r>
      <w:r>
        <w:t xml:space="preserve">REM and the baseline share the estimator, the calibration and the predicates. They differ in two respects: REM’s losses depend on the consequence tier, and REM’s expected-loss rule can choose Escalate, whereas the baseline can escalate only through D2. A difference between them therefore reflects both consequence tiers and the extra escalation opportunity, not tiers alone. A third configuration separates the two:</w:t>
      </w:r>
      <w:r>
        <w:t xml:space="preserve"> </w:t>
      </w:r>
      <w:r>
        <w:rPr>
          <w:bCs/>
          <w:b/>
        </w:rPr>
        <w:t xml:space="preserve">REM without expected-loss Escalate</w:t>
      </w:r>
      <w:r>
        <w:t xml:space="preserve">, in which Escalate is removed from the set 𝒱(a</w:t>
      </w:r>
      <w:r>
        <w:rPr>
          <w:vertAlign w:val="subscript"/>
        </w:rPr>
        <w:t xml:space="preserve">t</w:t>
      </w:r>
      <w:r>
        <w:t xml:space="preserve">) used by Equation 3.7 but D2 is kept, gives REM exactly the baseline’s opportunity to escalate.</w:t>
      </w:r>
    </w:p>
    <w:p>
      <w:pPr>
        <w:pStyle w:val="BodyText"/>
      </w:pPr>
      <w:r>
        <w:t xml:space="preserve">Because Equation 3.14 selects thresholds by ranking, a strictly increasing recalibration re-selects equivalent thresholds and leaves the baseline’s verdicts unchanged. Cost-derived thresholds such as Equation 3.9 are fixed in probability units and can change after recalibration. This contrast is used in the ablation of Section 3.11.7 and is consistent with the finding of C. Zhang et al. (2026) that recalibration need not change threshold-routed control.</w:t>
      </w:r>
    </w:p>
    <w:bookmarkEnd w:id="136"/>
    <w:bookmarkEnd w:id="137"/>
    <w:bookmarkStart w:id="138" w:name="mitigation-layer"/>
    <w:p>
      <w:pPr>
        <w:pStyle w:val="Heading2"/>
      </w:pPr>
      <w:r>
        <w:t xml:space="preserve">3.8 Mitigation Layer</w:t>
      </w:r>
    </w:p>
    <w:p>
      <w:pPr>
        <w:pStyle w:val="FirstParagraph"/>
      </w:pPr>
      <w:r>
        <w:t xml:space="preserve">The Mitigation Layer executes, deterministically, the mechanism associated with each verdict. It never initiates an action on the agent’s behalf.</w:t>
      </w:r>
    </w:p>
    <w:p>
      <w:pPr>
        <w:pStyle w:val="BodyText"/>
      </w:pPr>
      <w:r>
        <w:rPr>
          <w:bCs/>
          <w:b/>
        </w:rPr>
        <w:t xml:space="preserve">Table 3.14. Verdict-to-mitigation mapping: reference (step-level) semantics and the episode-level variant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Verdict</w:t>
            </w:r>
          </w:p>
        </w:tc>
        <w:tc>
          <w:tcPr/>
          <w:p>
            <w:pPr>
              <w:pStyle w:val="Compact"/>
              <w:jc w:val="left"/>
            </w:pPr>
            <w:r>
              <w:t xml:space="preserve">Step-level semantics (reference)</w:t>
            </w:r>
          </w:p>
        </w:tc>
        <w:tc>
          <w:tcPr/>
          <w:p>
            <w:pPr>
              <w:pStyle w:val="Compact"/>
              <w:jc w:val="left"/>
            </w:pPr>
            <w:r>
              <w:t xml:space="preserve">Episode-level variant</w:t>
            </w:r>
          </w:p>
        </w:tc>
      </w:tr>
      <w:tr>
        <w:tc>
          <w:tcPr/>
          <w:p>
            <w:pPr>
              <w:pStyle w:val="Compact"/>
              <w:jc w:val="left"/>
            </w:pPr>
            <w:r>
              <w:t xml:space="preserve">Allow</w:t>
            </w:r>
          </w:p>
        </w:tc>
        <w:tc>
          <w:tcPr/>
          <w:p>
            <w:pPr>
              <w:pStyle w:val="Compact"/>
              <w:jc w:val="left"/>
            </w:pPr>
            <w:r>
              <w:t xml:space="preserve">a</w:t>
            </w:r>
            <w:r>
              <w:rPr>
                <w:vertAlign w:val="subscript"/>
              </w:rPr>
              <w:t xml:space="preserve">t</w:t>
            </w:r>
            <w:r>
              <w:t xml:space="preserve"> </w:t>
            </w:r>
            <w:r>
              <w:t xml:space="preserve">is released across TB-3 and the event is logged.</w:t>
            </w:r>
          </w:p>
        </w:tc>
        <w:tc>
          <w:tcPr/>
          <w:p>
            <w:pPr>
              <w:pStyle w:val="Compact"/>
              <w:jc w:val="left"/>
            </w:pPr>
            <w:r>
              <w:t xml:space="preserve">Same, unless the tool is restricted in S, in which case a</w:t>
            </w:r>
            <w:r>
              <w:rPr>
                <w:vertAlign w:val="subscript"/>
              </w:rPr>
              <w:t xml:space="preserve">t</w:t>
            </w:r>
            <w:r>
              <w:t xml:space="preserve"> </w:t>
            </w:r>
            <w:r>
              <w:t xml:space="preserve">is refused.</w:t>
            </w:r>
          </w:p>
        </w:tc>
      </w:tr>
      <w:tr>
        <w:tc>
          <w:tcPr/>
          <w:p>
            <w:pPr>
              <w:pStyle w:val="Compact"/>
              <w:jc w:val="left"/>
            </w:pPr>
            <w:r>
              <w:t xml:space="preserve">Modify</w:t>
            </w:r>
          </w:p>
        </w:tc>
        <w:tc>
          <w:tcPr/>
          <w:p>
            <w:pPr>
              <w:pStyle w:val="Compact"/>
              <w:jc w:val="left"/>
            </w:pPr>
            <w:r>
              <w:t xml:space="preserve">a</w:t>
            </w:r>
            <w:r>
              <w:rPr>
                <w:vertAlign w:val="subscript"/>
              </w:rPr>
              <w:t xml:space="preserve">t</w:t>
            </w:r>
            <w:r>
              <w:t xml:space="preserve"> </w:t>
            </w:r>
            <w:r>
              <w:t xml:space="preserve">is withheld, and a structured tool-restriction notice is returned for this call only. No restriction persists. Applies only to tools in 𝒯</w:t>
            </w:r>
            <w:r>
              <w:rPr>
                <w:vertAlign w:val="subscript"/>
              </w:rPr>
              <w:t xml:space="preserve">R</w:t>
            </w:r>
            <w:r>
              <w:t xml:space="preserve">.</w:t>
            </w:r>
          </w:p>
        </w:tc>
        <w:tc>
          <w:tcPr/>
          <w:p>
            <w:pPr>
              <w:pStyle w:val="Compact"/>
              <w:jc w:val="left"/>
            </w:pPr>
            <w:r>
              <w:t xml:space="preserve">a</w:t>
            </w:r>
            <w:r>
              <w:rPr>
                <w:vertAlign w:val="subscript"/>
              </w:rPr>
              <w:t xml:space="preserve">t</w:t>
            </w:r>
            <w:r>
              <w:t xml:space="preserve"> </w:t>
            </w:r>
            <w:r>
              <w:t xml:space="preserve">is withheld, and the tool class of a</w:t>
            </w:r>
            <w:r>
              <w:rPr>
                <w:vertAlign w:val="subscript"/>
              </w:rPr>
              <w:t xml:space="preserve">t</w:t>
            </w:r>
            <w:r>
              <w:t xml:space="preserve"> </w:t>
            </w:r>
            <w:r>
              <w:t xml:space="preserve">(its action category within 𝒯</w:t>
            </w:r>
            <w:r>
              <w:rPr>
                <w:vertAlign w:val="subscript"/>
              </w:rPr>
              <w:t xml:space="preserve">R</w:t>
            </w:r>
            <w:r>
              <w:t xml:space="preserve">) is added to S for the rest of the episode.</w:t>
            </w:r>
          </w:p>
        </w:tc>
      </w:tr>
      <w:tr>
        <w:tc>
          <w:tcPr/>
          <w:p>
            <w:pPr>
              <w:pStyle w:val="Compact"/>
              <w:jc w:val="left"/>
            </w:pPr>
            <w:r>
              <w:t xml:space="preserve">Escalate</w:t>
            </w:r>
          </w:p>
        </w:tc>
        <w:tc>
          <w:tcPr/>
          <w:p>
            <w:pPr>
              <w:pStyle w:val="Compact"/>
              <w:jc w:val="left"/>
            </w:pPr>
            <w:r>
              <w:t xml:space="preserve">a</w:t>
            </w:r>
            <w:r>
              <w:rPr>
                <w:vertAlign w:val="subscript"/>
              </w:rPr>
              <w:t xml:space="preserve">t</w:t>
            </w:r>
            <w:r>
              <w:t xml:space="preserve"> </w:t>
            </w:r>
            <w:r>
              <w:t xml:space="preserve">is withheld and referred for review; it is released only if the reviewer approves.</w:t>
            </w:r>
          </w:p>
        </w:tc>
        <w:tc>
          <w:tcPr/>
          <w:p>
            <w:pPr>
              <w:pStyle w:val="Compact"/>
              <w:jc w:val="left"/>
            </w:pPr>
            <w:r>
              <w:t xml:space="preserve">Same.</w:t>
            </w:r>
          </w:p>
        </w:tc>
      </w:tr>
      <w:tr>
        <w:tc>
          <w:tcPr/>
          <w:p>
            <w:pPr>
              <w:pStyle w:val="Compact"/>
              <w:jc w:val="left"/>
            </w:pPr>
            <w:r>
              <w:t xml:space="preserve">Block</w:t>
            </w:r>
          </w:p>
        </w:tc>
        <w:tc>
          <w:tcPr/>
          <w:p>
            <w:pPr>
              <w:pStyle w:val="Compact"/>
              <w:jc w:val="left"/>
            </w:pPr>
            <w:r>
              <w:t xml:space="preserve">a</w:t>
            </w:r>
            <w:r>
              <w:rPr>
                <w:vertAlign w:val="subscript"/>
              </w:rPr>
              <w:t xml:space="preserve">t</w:t>
            </w:r>
            <w:r>
              <w:t xml:space="preserve"> </w:t>
            </w:r>
            <w:r>
              <w:t xml:space="preserve">is not executed, and a structured refusal is returned. No other tool is affected.</w:t>
            </w:r>
          </w:p>
        </w:tc>
        <w:tc>
          <w:tcPr/>
          <w:p>
            <w:pPr>
              <w:pStyle w:val="Compact"/>
              <w:jc w:val="left"/>
            </w:pPr>
            <w:r>
              <w:t xml:space="preserve">a</w:t>
            </w:r>
            <w:r>
              <w:rPr>
                <w:vertAlign w:val="subscript"/>
              </w:rPr>
              <w:t xml:space="preserve">t</w:t>
            </w:r>
            <w:r>
              <w:t xml:space="preserve"> </w:t>
            </w:r>
            <w:r>
              <w:t xml:space="preserve">is not executed, and every tool in 𝒯</w:t>
            </w:r>
            <w:r>
              <w:rPr>
                <w:vertAlign w:val="subscript"/>
              </w:rPr>
              <w:t xml:space="preserve">R</w:t>
            </w:r>
            <w:r>
              <w:t xml:space="preserve"> </w:t>
            </w:r>
            <w:r>
              <w:t xml:space="preserve">is added to S, so no further side-effecting action is released in the episode.</w:t>
            </w:r>
          </w:p>
        </w:tc>
      </w:tr>
    </w:tbl>
    <w:p>
      <w:pPr>
        <w:pStyle w:val="BodyText"/>
      </w:pPr>
      <w:r>
        <w:rPr>
          <w:bCs/>
          <w:b/>
        </w:rPr>
        <w:t xml:space="preserve">Which semantics is the reference.</w:t>
      </w:r>
      <w:r>
        <w:t xml:space="preserve"> </w:t>
      </w:r>
      <w:r>
        <w:t xml:space="preserve">The design decisions of Stage 2 fix step-level semantics: Block prevents the current action, and Modify applies one declared mechanism to the current action. Any restriction that persists through the episode is a separate experimental policy. The episode-level reading was specified in an earlier version of this chapter. Both are implemented and evaluated, and step-level semantics is the reference definition. Under the replay of Section 3.11.11 the two cannot differ, because a non-adaptive agent never retries a refused tool; distinguishing them requires live, adaptive agents.</w:t>
      </w:r>
    </w:p>
    <w:p>
      <w:pPr>
        <w:pStyle w:val="BodyText"/>
      </w:pPr>
      <w:r>
        <w:t xml:space="preserve">Tool restriction is the single Modify mechanism because it is deterministic, does not depend on an LLM rewriting content, and can be measured. Under step-level semantics, Modify and Block have the same effect on the current call; they differ in the declared loss (Table 3.13), in the notice returned to the agent, and, under the episode-level variant, in what persists. Input sanitization, such as spotlighting (Hines et al., 2024), is an alternative that is not adopted as the primary mechanism.</w:t>
      </w:r>
    </w:p>
    <w:p>
      <w:pPr>
        <w:pStyle w:val="BodyText"/>
      </w:pPr>
      <w:r>
        <w:t xml:space="preserve">Four properties are stated:</w:t>
      </w:r>
    </w:p>
    <w:p>
      <w:pPr>
        <w:numPr>
          <w:ilvl w:val="0"/>
          <w:numId w:val="1126"/>
        </w:numPr>
        <w:pStyle w:val="Compact"/>
      </w:pPr>
      <w:r>
        <w:rPr>
          <w:bCs/>
          <w:b/>
        </w:rPr>
        <w:t xml:space="preserve">Restrictiveness ordering.</w:t>
      </w:r>
      <w:r>
        <w:t xml:space="preserve"> </w:t>
      </w:r>
      <w:r>
        <w:t xml:space="preserve">Under the episode-level variant, Block halts all further side effects, Escalate defers the decision, and Modify removes one tool class. Under step-level semantics the ordering reflects the declared losses rather than persistence. The ordering underlies the tie-breaking order of Equation 3.7.</w:t>
      </w:r>
    </w:p>
    <w:p>
      <w:pPr>
        <w:numPr>
          <w:ilvl w:val="0"/>
          <w:numId w:val="1126"/>
        </w:numPr>
        <w:pStyle w:val="Compact"/>
      </w:pPr>
      <w:r>
        <w:rPr>
          <w:bCs/>
          <w:b/>
        </w:rPr>
        <w:t xml:space="preserve">𝒯</w:t>
      </w:r>
      <w:r>
        <w:rPr>
          <w:vertAlign w:val="subscript"/>
          <w:bCs/>
          <w:b/>
        </w:rPr>
        <w:t xml:space="preserve">R</w:t>
      </w:r>
      <w:r>
        <w:rPr>
          <w:bCs/>
          <w:b/>
        </w:rPr>
        <w:t xml:space="preserve"> </w:t>
      </w:r>
      <w:r>
        <w:rPr>
          <w:bCs/>
          <w:b/>
        </w:rPr>
        <w:t xml:space="preserve">is declared.</w:t>
      </w:r>
      <w:r>
        <w:t xml:space="preserve"> </w:t>
      </w:r>
      <w:r>
        <w:t xml:space="preserve">In the banking environment it contains value-transfer, payment-modification, credential-change, and profile-change tools; read tools are not restricted.</w:t>
      </w:r>
    </w:p>
    <w:p>
      <w:pPr>
        <w:numPr>
          <w:ilvl w:val="0"/>
          <w:numId w:val="1126"/>
        </w:numPr>
        <w:pStyle w:val="Compact"/>
      </w:pPr>
      <w:r>
        <w:rPr>
          <w:bCs/>
          <w:b/>
        </w:rPr>
        <w:t xml:space="preserve">Mitigation effectiveness is measured, not assumed.</w:t>
      </w:r>
      <w:r>
        <w:t xml:space="preserve"> </w:t>
      </w:r>
      <w:r>
        <w:t xml:space="preserve">The residual attack-success rate r</w:t>
      </w:r>
      <w:r>
        <w:rPr>
          <w:vertAlign w:val="subscript"/>
        </w:rPr>
        <w:t xml:space="preserve">mod</w:t>
      </w:r>
      <w:r>
        <w:t xml:space="preserve">(k) used in Equation 3.5 is estimated from enforcing-mode runs.</w:t>
      </w:r>
    </w:p>
    <w:p>
      <w:pPr>
        <w:numPr>
          <w:ilvl w:val="0"/>
          <w:numId w:val="1126"/>
        </w:numPr>
        <w:pStyle w:val="Compact"/>
      </w:pPr>
      <w:r>
        <w:rPr>
          <w:bCs/>
          <w:b/>
        </w:rPr>
        <w:t xml:space="preserve">Retries are observed.</w:t>
      </w:r>
      <w:r>
        <w:t xml:space="preserve"> </w:t>
      </w:r>
      <w:r>
        <w:t xml:space="preserve">A restricted or blocked agent may retry. Retries raise x</w:t>
      </w:r>
      <w:r>
        <w:rPr>
          <w:vertAlign w:val="superscript"/>
        </w:rPr>
        <w:t xml:space="preserve">beh</w:t>
      </w:r>
      <w:r>
        <w:rPr>
          <w:vertAlign w:val="subscript"/>
        </w:rPr>
        <w:t xml:space="preserve">2</w:t>
      </w:r>
      <w:r>
        <w:t xml:space="preserve">, and calls to restricted tools are refused by the Mitigation Layer.</w:t>
      </w:r>
    </w:p>
    <w:bookmarkEnd w:id="138"/>
    <w:bookmarkStart w:id="139" w:name="offline-fitting-and-recalibration"/>
    <w:p>
      <w:pPr>
        <w:pStyle w:val="Heading2"/>
      </w:pPr>
      <w:r>
        <w:t xml:space="preserve">3.9 Offline Fitting and Recalibration</w:t>
      </w:r>
    </w:p>
    <w:p>
      <w:pPr>
        <w:pStyle w:val="FirstParagraph"/>
      </w:pPr>
      <w:r>
        <w:t xml:space="preserve">Offline fitting and recalibration are cross-cutting activities. They are performed between deployments on logged data, they are not a layer, and they never modify REM’s parameters during an episode. Runtime adaptation from observed traffic is excluded because it would allow an adversary who generates traffic to shift REM’s reference behavior.</w:t>
      </w:r>
    </w:p>
    <w:p>
      <w:pPr>
        <w:pStyle w:val="BodyText"/>
      </w:pPr>
      <w:r>
        <w:t xml:space="preserve">The offline procedure fits and freezes:</w:t>
      </w:r>
    </w:p>
    <w:p>
      <w:pPr>
        <w:numPr>
          <w:ilvl w:val="0"/>
          <w:numId w:val="1127"/>
        </w:numPr>
        <w:pStyle w:val="Compact"/>
      </w:pPr>
      <w:r>
        <w:t xml:space="preserve">the benign reference quantities (x̄ and the benign transition set);</w:t>
      </w:r>
    </w:p>
    <w:p>
      <w:pPr>
        <w:numPr>
          <w:ilvl w:val="0"/>
          <w:numId w:val="1127"/>
        </w:numPr>
        <w:pStyle w:val="Compact"/>
      </w:pPr>
      <w:r>
        <w:t xml:space="preserve">the coefficients by Equation 3.2, with λ selected by grouped cross-validation on held-out log-loss;</w:t>
      </w:r>
    </w:p>
    <w:p>
      <w:pPr>
        <w:numPr>
          <w:ilvl w:val="0"/>
          <w:numId w:val="1127"/>
        </w:numPr>
        <w:pStyle w:val="Compact"/>
      </w:pPr>
      <w:r>
        <w:t xml:space="preserve">the calibration parameters by Equation 3.4 on out-of-fold logits;</w:t>
      </w:r>
    </w:p>
    <w:p>
      <w:pPr>
        <w:numPr>
          <w:ilvl w:val="0"/>
          <w:numId w:val="1127"/>
        </w:numPr>
        <w:pStyle w:val="Compact"/>
      </w:pPr>
      <w:r>
        <w:t xml:space="preserve">the baseline thresholds by Equation 3.14;</w:t>
      </w:r>
    </w:p>
    <w:p>
      <w:pPr>
        <w:numPr>
          <w:ilvl w:val="0"/>
          <w:numId w:val="1127"/>
        </w:numPr>
        <w:pStyle w:val="Compact"/>
      </w:pPr>
      <w:r>
        <w:t xml:space="preserve">the measured residual rates r</w:t>
      </w:r>
      <w:r>
        <w:rPr>
          <w:vertAlign w:val="subscript"/>
        </w:rPr>
        <w:t xml:space="preserve">mod</w:t>
      </w:r>
      <w:r>
        <w:t xml:space="preserve">(k).</w:t>
      </w:r>
    </w:p>
    <w:p>
      <w:pPr>
        <w:pStyle w:val="FirstParagraph"/>
      </w:pPr>
      <w:r>
        <w:t xml:space="preserve">It also checks the declared loss structure for dominated verdicts (Section 3.7.5) and records all model, data, policy, benchmark, and software versions.</w:t>
      </w:r>
    </w:p>
    <w:p>
      <w:pPr>
        <w:pStyle w:val="BodyText"/>
      </w:pPr>
      <w:r>
        <w:t xml:space="preserve">Between deployments, calibration can be monitored against later-established labels using the metrics of Section 3.12. If calibration drifts beyond a declared tolerance, the procedure is repeated on new data.</w:t>
      </w:r>
    </w:p>
    <w:p>
      <w:pPr>
        <w:pStyle w:val="BodyText"/>
      </w:pPr>
      <w:r>
        <w:rPr>
          <w:bCs/>
          <w:b/>
        </w:rPr>
        <w:t xml:space="preserve">Procedure 3.1. Offline fitting (cross-cutting; never executed within an episode)</w:t>
      </w:r>
    </w:p>
    <w:p>
      <w:pPr>
        <w:pStyle w:val="SourceCode"/>
      </w:pPr>
      <w:r>
        <w:rPr>
          <w:rStyle w:val="VerbatimChar"/>
        </w:rPr>
        <w:t xml:space="preserve">Input: logged observe-only traces grouped by injection task and user task; labels y;</w:t>
      </w:r>
      <w:r>
        <w:br/>
      </w:r>
      <w:r>
        <w:rPr>
          <w:rStyle w:val="VerbatimChar"/>
        </w:rPr>
        <w:t xml:space="preserve">       declared policy (κ, L, Π, k_D2, privilege map, 𝒯_R, α_blk, α_mod)</w:t>
      </w:r>
      <w:r>
        <w:br/>
      </w:r>
      <w:r>
        <w:rPr>
          <w:rStyle w:val="VerbatimChar"/>
        </w:rPr>
        <w:t xml:space="preserve">1  for each outer fold f (Section 3.11.5):</w:t>
      </w:r>
      <w:r>
        <w:br/>
      </w:r>
      <w:r>
        <w:rPr>
          <w:rStyle w:val="VerbatimChar"/>
        </w:rPr>
        <w:t xml:space="preserve">2      D_train ← steps outside fold f;  D_test ← steps in fold f</w:t>
      </w:r>
      <w:r>
        <w:br/>
      </w:r>
      <w:r>
        <w:rPr>
          <w:rStyle w:val="VerbatimChar"/>
        </w:rPr>
        <w:t xml:space="preserve">2a     apply the Pilot E0 retention rule to D_train only; fix the feature set for fold f</w:t>
      </w:r>
      <w:r>
        <w:br/>
      </w:r>
      <w:r>
        <w:rPr>
          <w:rStyle w:val="VerbatimChar"/>
        </w:rPr>
        <w:t xml:space="preserve">3      estimate x̄ and the benign transition set on benign steps of D_train</w:t>
      </w:r>
      <w:r>
        <w:br/>
      </w:r>
      <w:r>
        <w:rPr>
          <w:rStyle w:val="VerbatimChar"/>
        </w:rPr>
        <w:t xml:space="preserve">4      select λ by grouped inner cross-validation on D_train (held-out log-loss)</w:t>
      </w:r>
      <w:r>
        <w:br/>
      </w:r>
      <w:r>
        <w:rPr>
          <w:rStyle w:val="VerbatimChar"/>
        </w:rPr>
        <w:t xml:space="preserve">5      obtain out-of-fold logits on D_train from inner folds; fit (γ1, γ0) by Eq. 3.4</w:t>
      </w:r>
      <w:r>
        <w:br/>
      </w:r>
      <w:r>
        <w:rPr>
          <w:rStyle w:val="VerbatimChar"/>
        </w:rPr>
        <w:t xml:space="preserve">6      if γ1 ≤ 0 then record calibration failure for fold f</w:t>
      </w:r>
      <w:r>
        <w:br/>
      </w:r>
      <w:r>
        <w:rPr>
          <w:rStyle w:val="VerbatimChar"/>
        </w:rPr>
        <w:t xml:space="preserve">7      refit (β0, β) on all of D_train with the selected λ (Eq. 3.2)</w:t>
      </w:r>
      <w:r>
        <w:br/>
      </w:r>
      <w:r>
        <w:rPr>
          <w:rStyle w:val="VerbatimChar"/>
        </w:rPr>
        <w:t xml:space="preserve">8      select θ(α_blk), θ(α_mod) by Eq. 3.14 on out-of-fold calibrated benign steps of D_train</w:t>
      </w:r>
      <w:r>
        <w:br/>
      </w:r>
      <w:r>
        <w:rPr>
          <w:rStyle w:val="VerbatimChar"/>
        </w:rPr>
        <w:t xml:space="preserve">9      apply Eqs. 3.1, 3.3 to D_test; store predictions for evaluation only</w:t>
      </w:r>
      <w:r>
        <w:br/>
      </w:r>
      <w:r>
        <w:rPr>
          <w:rStyle w:val="VerbatimChar"/>
        </w:rPr>
        <w:t xml:space="preserve">9a     estimate r_mod(k) from episodes outside fold f: enforcing-mode runs (Section 3.11.7),</w:t>
      </w:r>
      <w:r>
        <w:br/>
      </w:r>
      <w:r>
        <w:rPr>
          <w:rStyle w:val="VerbatimChar"/>
        </w:rPr>
        <w:t xml:space="preserve">       or, where these are unavailable, oracle-Modify replays (Section 3.11.11)</w:t>
      </w:r>
      <w:r>
        <w:br/>
      </w:r>
      <w:r>
        <w:rPr>
          <w:rStyle w:val="VerbatimChar"/>
        </w:rPr>
        <w:t xml:space="preserve">10 (r_mod is estimated per fold in line 9a)</w:t>
      </w:r>
      <w:r>
        <w:br/>
      </w:r>
      <w:r>
        <w:rPr>
          <w:rStyle w:val="VerbatimChar"/>
        </w:rPr>
        <w:t xml:space="preserve">11 check the loss structure for dominated verdicts (Section 3.7.5)</w:t>
      </w:r>
      <w:r>
        <w:br/>
      </w:r>
      <w:r>
        <w:rPr>
          <w:rStyle w:val="VerbatimChar"/>
        </w:rPr>
        <w:t xml:space="preserve">12 freeze parameters and record all versions</w:t>
      </w:r>
    </w:p>
    <w:bookmarkEnd w:id="139"/>
    <w:bookmarkStart w:id="140" w:name="X67e01eef62ff3503fac80b5bdda732face2f312"/>
    <w:p>
      <w:pPr>
        <w:pStyle w:val="Heading2"/>
      </w:pPr>
      <w:r>
        <w:t xml:space="preserve">3.10 Algorithm 1: REM Runtime Evaluation and Mitigation</w:t>
      </w:r>
    </w:p>
    <w:p>
      <w:pPr>
        <w:pStyle w:val="FirstParagraph"/>
      </w:pPr>
      <w:r>
        <w:t xml:space="preserve">Algorithm 1 gives the per-step runtime procedure. Every operation is defined in Sections 3.4–3.8.</w:t>
      </w:r>
    </w:p>
    <w:p>
      <w:pPr>
        <w:pStyle w:val="SourceCode"/>
      </w:pPr>
      <w:r>
        <w:rPr>
          <w:rStyle w:val="VerbatimChar"/>
        </w:rPr>
        <w:t xml:space="preserve">Algorithm 1. REM Runtime Evaluation and Mitigation (as implemented; Chapter 4)</w:t>
      </w:r>
      <w:r>
        <w:br/>
      </w:r>
      <w:r>
        <w:br/>
      </w:r>
      <w:r>
        <w:rPr>
          <w:rStyle w:val="VerbatimChar"/>
        </w:rPr>
        <w:t xml:space="preserve">Frozen (offline, per fold):  β0, β, γ1 (&gt; 0), γ0, x̄, benign transition set,</w:t>
      </w:r>
      <w:r>
        <w:br/>
      </w:r>
      <w:r>
        <w:rPr>
          <w:rStyle w:val="VerbatimChar"/>
        </w:rPr>
        <w:t xml:space="preserve">                             privilege map, instruction-pattern set, n_max</w:t>
      </w:r>
      <w:r>
        <w:br/>
      </w:r>
      <w:r>
        <w:rPr>
          <w:rStyle w:val="VerbatimChar"/>
        </w:rPr>
        <w:t xml:space="preserve">Declared policy:             κ, L (Table 3.13), Π, k_D2, required evidence, 𝒯_R,</w:t>
      </w:r>
      <w:r>
        <w:br/>
      </w:r>
      <w:r>
        <w:rPr>
          <w:rStyle w:val="VerbatimChar"/>
        </w:rPr>
        <w:t xml:space="preserve">                             tie order Block ⪰ Escalate ⪰ Modify ⪰ Allow,</w:t>
      </w:r>
      <w:r>
        <w:br/>
      </w:r>
      <w:r>
        <w:rPr>
          <w:rStyle w:val="VerbatimChar"/>
        </w:rPr>
        <w:t xml:space="preserve">                             mitigation semantics ∈ {step-level, episode-level}</w:t>
      </w:r>
      <w:r>
        <w:br/>
      </w:r>
      <w:r>
        <w:rPr>
          <w:rStyle w:val="VerbatimChar"/>
        </w:rPr>
        <w:t xml:space="preserve">Input at step t:             objective g; tool results since the last step;</w:t>
      </w:r>
      <w:r>
        <w:br/>
      </w:r>
      <w:r>
        <w:rPr>
          <w:rStyle w:val="VerbatimChar"/>
        </w:rPr>
        <w:t xml:space="preserve">                             proposed call a_t = (tool, args); history H_t; restrictions S</w:t>
      </w:r>
      <w:r>
        <w:br/>
      </w:r>
      <w:r>
        <w:rPr>
          <w:rStyle w:val="VerbatimChar"/>
        </w:rPr>
        <w:t xml:space="preserve">Output:                      verdict v_t; released or withheld call; audit record r_t</w:t>
      </w:r>
      <w:r>
        <w:br/>
      </w:r>
      <w:r>
        <w:br/>
      </w:r>
      <w:r>
        <w:rPr>
          <w:rStyle w:val="VerbatimChar"/>
        </w:rPr>
        <w:t xml:space="preserve"> 1  for each tool result returned since the last decision point:           // Layer 1</w:t>
      </w:r>
      <w:r>
        <w:br/>
      </w:r>
      <w:r>
        <w:rPr>
          <w:rStyle w:val="VerbatimChar"/>
        </w:rPr>
        <w:t xml:space="preserve"> 2      label it untrusted; strip invisible characters in REM's copy;</w:t>
      </w:r>
      <w:r>
        <w:br/>
      </w:r>
      <w:r>
        <w:rPr>
          <w:rStyle w:val="VerbatimChar"/>
        </w:rPr>
        <w:t xml:space="preserve"> 3      extract identifiers and profile values from sensitive reads</w:t>
      </w:r>
      <w:r>
        <w:br/>
      </w:r>
      <w:r>
        <w:rPr>
          <w:rStyle w:val="VerbatimChar"/>
        </w:rPr>
        <w:t xml:space="preserve"> 4  begin a decision point (calls proposed in one agent message share it)</w:t>
      </w:r>
      <w:r>
        <w:br/>
      </w:r>
      <w:r>
        <w:rPr>
          <w:rStyle w:val="VerbatimChar"/>
        </w:rPr>
        <w:t xml:space="preserve"> 5  for each proposed call a_t in the message:</w:t>
      </w:r>
      <w:r>
        <w:br/>
      </w:r>
      <w:r>
        <w:rPr>
          <w:rStyle w:val="VerbatimChar"/>
        </w:rPr>
        <w:t xml:space="preserve"> 6      x_t, avail ← features of Tables 3.8–3.9 from H_t, a_t, g           // Layers 2–3</w:t>
      </w:r>
      <w:r>
        <w:br/>
      </w:r>
      <w:r>
        <w:rPr>
          <w:rStyle w:val="VerbatimChar"/>
        </w:rPr>
        <w:t xml:space="preserve"> 7      k_t ← κ(z_t)                                                       // Layer 4</w:t>
      </w:r>
      <w:r>
        <w:br/>
      </w:r>
      <w:r>
        <w:rPr>
          <w:rStyle w:val="VerbatimChar"/>
        </w:rPr>
        <w:t xml:space="preserve"> 8      s_t ← β0 + βᵀx_t;  p_t ← σ(γ1·s_t + γ0)       // computed for audit; see lines 9–14</w:t>
      </w:r>
      <w:r>
        <w:br/>
      </w:r>
      <w:r>
        <w:rPr>
          <w:rStyle w:val="VerbatimChar"/>
        </w:rPr>
        <w:t xml:space="preserve"> 9      if tool(a_t) ∈ Π then v_t ← Block; src ← "D1"; R ← not applicable</w:t>
      </w:r>
      <w:r>
        <w:br/>
      </w:r>
      <w:r>
        <w:rPr>
          <w:rStyle w:val="VerbatimChar"/>
        </w:rPr>
        <w:t xml:space="preserve">10      else if k_t ≥ k_D2 and required evidence ⊄ avail then</w:t>
      </w:r>
      <w:r>
        <w:br/>
      </w:r>
      <w:r>
        <w:rPr>
          <w:rStyle w:val="VerbatimChar"/>
        </w:rPr>
        <w:t xml:space="preserve">11          v_t ← Escalate; src ← "D2"; R ← not applicable</w:t>
      </w:r>
      <w:r>
        <w:br/>
      </w:r>
      <w:r>
        <w:rPr>
          <w:rStyle w:val="VerbatimChar"/>
        </w:rPr>
        <w:t xml:space="preserve">12      else                                   // unavailable features below k_D2 are 0 and flagged</w:t>
      </w:r>
      <w:r>
        <w:br/>
      </w:r>
      <w:r>
        <w:rPr>
          <w:rStyle w:val="VerbatimChar"/>
        </w:rPr>
        <w:t xml:space="preserve">13          V_t ← {Allow, Escalate, Block} ∪ ({Modify} if tool(a_t) ∈ 𝒯_R)</w:t>
      </w:r>
      <w:r>
        <w:br/>
      </w:r>
      <w:r>
        <w:rPr>
          <w:rStyle w:val="VerbatimChar"/>
        </w:rPr>
        <w:t xml:space="preserve">14          R[v] ← (1 − p_t)·L(v,0,k_t) + p_t·L(v,1,k_t) for v ∈ V_t;  v_t ← argmin, ties by order</w:t>
      </w:r>
      <w:r>
        <w:br/>
      </w:r>
      <w:r>
        <w:rPr>
          <w:rStyle w:val="VerbatimChar"/>
        </w:rPr>
        <w:t xml:space="preserve">15      // Layer 5</w:t>
      </w:r>
      <w:r>
        <w:br/>
      </w:r>
      <w:r>
        <w:rPr>
          <w:rStyle w:val="VerbatimChar"/>
        </w:rPr>
        <w:t xml:space="preserve">16      if episode-level and tool(a_t) ∈ S then refuse a_t</w:t>
      </w:r>
      <w:r>
        <w:br/>
      </w:r>
      <w:r>
        <w:rPr>
          <w:rStyle w:val="VerbatimChar"/>
        </w:rPr>
        <w:t xml:space="preserve">17      else if v_t = Allow then release a_t</w:t>
      </w:r>
      <w:r>
        <w:br/>
      </w:r>
      <w:r>
        <w:rPr>
          <w:rStyle w:val="VerbatimChar"/>
        </w:rPr>
        <w:t xml:space="preserve">18      else if v_t = Modify then withhold a_t; if episode-level, S ← S ∪ class(a_t)</w:t>
      </w:r>
      <w:r>
        <w:br/>
      </w:r>
      <w:r>
        <w:rPr>
          <w:rStyle w:val="VerbatimChar"/>
        </w:rPr>
        <w:t xml:space="preserve">19      else if v_t = Escalate then withhold a_t; release only on reviewer approval</w:t>
      </w:r>
      <w:r>
        <w:br/>
      </w:r>
      <w:r>
        <w:rPr>
          <w:rStyle w:val="VerbatimChar"/>
        </w:rPr>
        <w:t xml:space="preserve">20      else (Block) withhold a_t; if episode-level, S ← S ∪ 𝒯_R</w:t>
      </w:r>
      <w:r>
        <w:br/>
      </w:r>
      <w:r>
        <w:rPr>
          <w:rStyle w:val="VerbatimChar"/>
        </w:rPr>
        <w:t xml:space="preserve">21      r_t ← (tool name, argument digest, x_t, avail, s_t, p̃_t, p_t, p-used flag, k_t,</w:t>
      </w:r>
      <w:r>
        <w:br/>
      </w:r>
      <w:r>
        <w:rPr>
          <w:rStyle w:val="VerbatimChar"/>
        </w:rPr>
        <w:t xml:space="preserve">               R, v_t, src, mitigation, φ0, φ_t, |φ0 + Σφ − s_t|, versions, REM time)</w:t>
      </w:r>
      <w:r>
        <w:br/>
      </w:r>
      <w:r>
        <w:rPr>
          <w:rStyle w:val="VerbatimChar"/>
        </w:rPr>
        <w:t xml:space="preserve">22      append r_t to the audit log; append a_t to H_t (released or not)</w:t>
      </w:r>
      <w:r>
        <w:br/>
      </w:r>
      <w:r>
        <w:rPr>
          <w:rStyle w:val="VerbatimChar"/>
        </w:rPr>
        <w:t xml:space="preserve">23  released calls execute; their results enter line 1 at the next decision point</w:t>
      </w:r>
    </w:p>
    <w:p>
      <w:pPr>
        <w:pStyle w:val="FirstParagraph"/>
      </w:pPr>
      <w:r>
        <w:t xml:space="preserve">Line 8 computes the probability for every step so that the audit record is complete; when line 9 or line 10 applies, the record marks p</w:t>
      </w:r>
      <w:r>
        <w:rPr>
          <w:vertAlign w:val="subscript"/>
        </w:rPr>
        <w:t xml:space="preserve">t</w:t>
      </w:r>
      <w:r>
        <w:t xml:space="preserve"> </w:t>
      </w:r>
      <w:r>
        <w:t xml:space="preserve">as not used. Lines 16–20 implement both mitigation semantics of Table 3.14. Attribution (line 21) is computed after the verdict and cannot reach it.</w:t>
      </w:r>
    </w:p>
    <w:bookmarkEnd w:id="140"/>
    <w:bookmarkStart w:id="152" w:name="experimental-methodology"/>
    <w:p>
      <w:pPr>
        <w:pStyle w:val="Heading2"/>
      </w:pPr>
      <w:r>
        <w:t xml:space="preserve">3.11 Experimental Methodology</w:t>
      </w:r>
    </w:p>
    <w:bookmarkStart w:id="141" w:name="environment-and-instrumentation"/>
    <w:p>
      <w:pPr>
        <w:pStyle w:val="Heading3"/>
      </w:pPr>
      <w:r>
        <w:t xml:space="preserve">3.11.1 Environment and instrumentation</w:t>
      </w:r>
    </w:p>
    <w:p>
      <w:pPr>
        <w:pStyle w:val="FirstParagraph"/>
      </w:pPr>
      <w:r>
        <w:t xml:space="preserve">REM is evaluated in the banking environment of AgentDojo (Debenedetti et al., 2024), an open-source framework that evaluates both the utility and the security of LLM agents. Security is determined by checks on the environment state before and after an episode, and utility by task-specific checks.</w:t>
      </w:r>
    </w:p>
    <w:p>
      <w:pPr>
        <w:pStyle w:val="BodyText"/>
      </w:pPr>
      <w:r>
        <w:t xml:space="preserve">REM is placed at the tool-execution boundary of the agent loop, where it intercepts each proposed tool call before execution and each tool result on return. That this is achievable without modifying the agent’s internals is assumption AS-1, to be demonstrated in Chapter 4.</w:t>
      </w:r>
    </w:p>
    <w:p>
      <w:pPr>
        <w:pStyle w:val="BodyText"/>
      </w:pPr>
      <w:r>
        <w:t xml:space="preserve">REM runs in two modes:</w:t>
      </w:r>
    </w:p>
    <w:p>
      <w:pPr>
        <w:numPr>
          <w:ilvl w:val="0"/>
          <w:numId w:val="1128"/>
        </w:numPr>
        <w:pStyle w:val="Compact"/>
      </w:pPr>
      <w:r>
        <w:rPr>
          <w:bCs/>
          <w:b/>
        </w:rPr>
        <w:t xml:space="preserve">Observe-only:</w:t>
      </w:r>
      <w:r>
        <w:t xml:space="preserve"> </w:t>
      </w:r>
      <w:r>
        <w:t xml:space="preserve">verdicts are computed and logged but not enforced. Fitting data are collected in this mode, because enforced verdicts would alter the trajectories from which REM is fitted.</w:t>
      </w:r>
    </w:p>
    <w:p>
      <w:pPr>
        <w:numPr>
          <w:ilvl w:val="0"/>
          <w:numId w:val="1128"/>
        </w:numPr>
        <w:pStyle w:val="Compact"/>
      </w:pPr>
      <w:r>
        <w:rPr>
          <w:bCs/>
          <w:b/>
        </w:rPr>
        <w:t xml:space="preserve">Enforcing:</w:t>
      </w:r>
      <w:r>
        <w:t xml:space="preserve"> </w:t>
      </w:r>
      <w:r>
        <w:t xml:space="preserve">verdicts are executed by the Mitigation Layer.</w:t>
      </w:r>
    </w:p>
    <w:p>
      <w:pPr>
        <w:pStyle w:val="FirstParagraph"/>
      </w:pPr>
      <w:r>
        <w:t xml:space="preserve">For every run, the following are recorded:</w:t>
      </w:r>
    </w:p>
    <w:p>
      <w:pPr>
        <w:numPr>
          <w:ilvl w:val="0"/>
          <w:numId w:val="1129"/>
        </w:numPr>
        <w:pStyle w:val="Compact"/>
      </w:pPr>
      <w:r>
        <w:t xml:space="preserve">the AgentDojo release or commit identifier;</w:t>
      </w:r>
    </w:p>
    <w:p>
      <w:pPr>
        <w:numPr>
          <w:ilvl w:val="0"/>
          <w:numId w:val="1129"/>
        </w:numPr>
        <w:pStyle w:val="Compact"/>
      </w:pPr>
      <w:r>
        <w:t xml:space="preserve">the suite version;</w:t>
      </w:r>
    </w:p>
    <w:p>
      <w:pPr>
        <w:numPr>
          <w:ilvl w:val="0"/>
          <w:numId w:val="1129"/>
        </w:numPr>
        <w:pStyle w:val="Compact"/>
      </w:pPr>
      <w:r>
        <w:t xml:space="preserve">the attack template;</w:t>
      </w:r>
    </w:p>
    <w:p>
      <w:pPr>
        <w:numPr>
          <w:ilvl w:val="0"/>
          <w:numId w:val="1129"/>
        </w:numPr>
        <w:pStyle w:val="Compact"/>
      </w:pPr>
      <w:r>
        <w:t xml:space="preserve">the LLM backbone identifier and version, access date, and decoding parameters;</w:t>
      </w:r>
    </w:p>
    <w:p>
      <w:pPr>
        <w:numPr>
          <w:ilvl w:val="0"/>
          <w:numId w:val="1129"/>
        </w:numPr>
        <w:pStyle w:val="Compact"/>
      </w:pPr>
      <w:r>
        <w:t xml:space="preserve">REM’s model, calibration, and policy versions.</w:t>
      </w:r>
    </w:p>
    <w:p>
      <w:pPr>
        <w:pStyle w:val="FirstParagraph"/>
      </w:pPr>
      <w:r>
        <w:t xml:space="preserve">The LLM backbone or backbones and the attack templates are pending supervisor approval.</w:t>
      </w:r>
    </w:p>
    <w:p>
      <w:pPr>
        <w:pStyle w:val="BodyText"/>
      </w:pPr>
      <w:r>
        <w:rPr>
          <w:bCs/>
          <w:b/>
        </w:rPr>
        <w:t xml:space="preserve">Execution status.</w:t>
      </w:r>
      <w:r>
        <w:t xml:space="preserve"> </w:t>
      </w:r>
      <w:r>
        <w:t xml:space="preserve">Enforcing-mode runs with a live agent require access to an LLM, which was not available for this thesis. The observe-only analyses (Sections 3.11.5–3.11.10) use recorded traces of real agents distributed with the benchmark (Section 3.11.2). Enforcement is examined only through the replay sensitivity analysis of Section 3.11.11.</w:t>
      </w:r>
    </w:p>
    <w:bookmarkEnd w:id="141"/>
    <w:bookmarkStart w:id="142" w:name="dataset"/>
    <w:p>
      <w:pPr>
        <w:pStyle w:val="Heading3"/>
      </w:pPr>
      <w:r>
        <w:t xml:space="preserve">3.11.2 Dataset</w:t>
      </w:r>
    </w:p>
    <w:p>
      <w:pPr>
        <w:pStyle w:val="FirstParagraph"/>
      </w:pPr>
      <w:r>
        <w:t xml:space="preserve">The banking suite definition inspected for this chapter (suite v1, AgentDojo repository main branch, accessed September 2026) contains:</w:t>
      </w:r>
    </w:p>
    <w:p>
      <w:pPr>
        <w:numPr>
          <w:ilvl w:val="0"/>
          <w:numId w:val="1130"/>
        </w:numPr>
        <w:pStyle w:val="Compact"/>
      </w:pPr>
      <w:r>
        <w:rPr>
          <w:bCs/>
          <w:b/>
        </w:rPr>
        <w:t xml:space="preserve">16 user tasks.</w:t>
      </w:r>
      <w:r>
        <w:t xml:space="preserve"> </w:t>
      </w:r>
      <w:r>
        <w:t xml:space="preserve">Examples include paying a bill described in a file, refunding a friend, updating a recurring rent payment, and updating account details. Their reference solutions use between one and five tool calls.</w:t>
      </w:r>
    </w:p>
    <w:p>
      <w:pPr>
        <w:numPr>
          <w:ilvl w:val="0"/>
          <w:numId w:val="1130"/>
        </w:numPr>
        <w:pStyle w:val="Compact"/>
      </w:pPr>
      <w:r>
        <w:rPr>
          <w:bCs/>
          <w:b/>
        </w:rPr>
        <w:t xml:space="preserve">9 injection tasks.</w:t>
      </w:r>
      <w:r>
        <w:t xml:space="preserve"> </w:t>
      </w:r>
      <w:r>
        <w:t xml:space="preserve">Eight direct money or a recurring payment toward one shared attacker account identifier. One changes the account password. The reference attacker actions consist of one call for seven tasks, two calls for one task (reading scheduled transactions, then sending money), and three calls for one task (a total amount split into smaller transfers).</w:t>
      </w:r>
    </w:p>
    <w:p>
      <w:pPr>
        <w:numPr>
          <w:ilvl w:val="0"/>
          <w:numId w:val="1130"/>
        </w:numPr>
        <w:pStyle w:val="Compact"/>
      </w:pPr>
      <w:r>
        <w:rPr>
          <w:bCs/>
          <w:b/>
        </w:rPr>
        <w:t xml:space="preserve">11 tools:</w:t>
      </w:r>
      <w:r>
        <w:t xml:space="preserve"> </w:t>
      </w:r>
      <w:r>
        <w:t xml:space="preserve">get_iban, send_money, schedule_transaction, update_scheduled_transaction, get_balance, get_most_recent_transactions, get_scheduled_transactions, read_file, get_user_info, update_password, and update_user_info.</w:t>
      </w:r>
    </w:p>
    <w:p>
      <w:pPr>
        <w:pStyle w:val="FirstParagraph"/>
      </w:pPr>
      <w:r>
        <w:t xml:space="preserve">These counts were re-confirmed against suite v1 in AgentDojo 0.1.35. The recorded traces used in the evaluation come from the AgentDojo repository at commit 089ed468; most carry no suite-version field, and some backbones were recorded under later suite versions (Chapter 5). The label-relevant definitions of the nine injection tasks are identical in every suite version from v1 to v1.2.2.</w:t>
      </w:r>
    </w:p>
    <w:p>
      <w:pPr>
        <w:pStyle w:val="BodyText"/>
      </w:pPr>
      <w:r>
        <w:t xml:space="preserve">AgentDojo is an environment, not a fixed dataset of traces. Traces are generated by running an agent, so the number of traces depends on the number of backbones, attack templates, and repeated runs. The counts used in this thesis are reported, from the data, in Chapter 5. The 144 combinations of user task and injection task are not 144 independent samples. They are built from 16 user-task templates and 9 injection-task templates, and every trace inherits the dependence of its templates.</w:t>
      </w:r>
    </w:p>
    <w:bookmarkEnd w:id="142"/>
    <w:bookmarkStart w:id="143" w:name="label-construction"/>
    <w:p>
      <w:pPr>
        <w:pStyle w:val="Heading3"/>
      </w:pPr>
      <w:r>
        <w:t xml:space="preserve">3.11.3 Label construction</w:t>
      </w:r>
    </w:p>
    <w:p>
      <w:pPr>
        <w:pStyle w:val="FirstParagraph"/>
      </w:pPr>
      <w:r>
        <w:t xml:space="preserve">The label must represent the quantity the estimator is asked to predict, which is whether a proposed call serves the attacker’s objective rather than the user’s. Labels are therefore derived from the injection task’s own reference solution, not from the presence of an injection in the episode, because an attacked episode also contains benign calls. The derivation is mechanical, so the rules below state exactly what is matched, where the rule is known to be uncertain, and how that uncertainty is measured.</w:t>
      </w:r>
    </w:p>
    <w:p>
      <w:pPr>
        <w:numPr>
          <w:ilvl w:val="0"/>
          <w:numId w:val="1131"/>
        </w:numPr>
        <w:pStyle w:val="Compact"/>
      </w:pPr>
      <w:r>
        <w:rPr>
          <w:bCs/>
          <w:b/>
        </w:rPr>
        <w:t xml:space="preserve">Step labels.</w:t>
      </w:r>
      <w:r>
        <w:t xml:space="preserve"> </w:t>
      </w:r>
      <w:r>
        <w:t xml:space="preserve">In an attacked episode, a proposed tool call is labeled y</w:t>
      </w:r>
      <w:r>
        <w:rPr>
          <w:vertAlign w:val="subscript"/>
        </w:rPr>
        <w:t xml:space="preserve">t</w:t>
      </w:r>
      <w:r>
        <w:t xml:space="preserve"> </w:t>
      </w:r>
      <w:r>
        <w:t xml:space="preserve">= 1 if it matches a call in the injection task’s reference solution on tool name and on the attacker-controlled key argument, such as the attacker account identifier or the attacker-specified password. All other proposed calls, including calls that continue the user’s task in attacked episodes, are labeled y</w:t>
      </w:r>
      <w:r>
        <w:rPr>
          <w:vertAlign w:val="subscript"/>
        </w:rPr>
        <w:t xml:space="preserve">t</w:t>
      </w:r>
      <w:r>
        <w:t xml:space="preserve"> </w:t>
      </w:r>
      <w:r>
        <w:t xml:space="preserve">= 0, as are all calls in episodes without injection.</w:t>
      </w:r>
    </w:p>
    <w:p>
      <w:pPr>
        <w:numPr>
          <w:ilvl w:val="0"/>
          <w:numId w:val="1131"/>
        </w:numPr>
        <w:pStyle w:val="Compact"/>
      </w:pPr>
      <w:r>
        <w:rPr>
          <w:bCs/>
          <w:b/>
        </w:rPr>
        <w:t xml:space="preserve">Induced read steps.</w:t>
      </w:r>
      <w:r>
        <w:t xml:space="preserve"> </w:t>
      </w:r>
      <w:r>
        <w:t xml:space="preserve">Some injection tasks include a read call in their reference solution. Whether such a read step is labeled y</w:t>
      </w:r>
      <w:r>
        <w:rPr>
          <w:vertAlign w:val="subscript"/>
        </w:rPr>
        <w:t xml:space="preserve">t</w:t>
      </w:r>
      <w:r>
        <w:t xml:space="preserve"> </w:t>
      </w:r>
      <w:r>
        <w:t xml:space="preserve">= 1 is pending supervisor decision, because it is induced but has no direct external effect.</w:t>
      </w:r>
    </w:p>
    <w:p>
      <w:pPr>
        <w:numPr>
          <w:ilvl w:val="0"/>
          <w:numId w:val="1131"/>
        </w:numPr>
        <w:pStyle w:val="Compact"/>
      </w:pPr>
      <w:r>
        <w:rPr>
          <w:bCs/>
          <w:b/>
        </w:rPr>
        <w:t xml:space="preserve">Label audit.</w:t>
      </w:r>
      <w:r>
        <w:t xml:space="preserve"> </w:t>
      </w:r>
      <w:r>
        <w:t xml:space="preserve">Matching on arguments can mislabel steps, for example when an agent alters an amount or reaches the attacker through a different tool. The derivation is therefore to be audited by a human annotator on a stratified sample of episodes, including ambiguous cases, and the disagreement rate reported.</w:t>
      </w:r>
    </w:p>
    <w:p>
      <w:pPr>
        <w:numPr>
          <w:ilvl w:val="0"/>
          <w:numId w:val="1131"/>
        </w:numPr>
        <w:pStyle w:val="Compact"/>
      </w:pPr>
      <w:r>
        <w:rPr>
          <w:bCs/>
          <w:b/>
        </w:rPr>
        <w:t xml:space="preserve">What the label measures.</w:t>
      </w:r>
      <w:r>
        <w:t xml:space="preserve"> </w:t>
      </w:r>
      <w:r>
        <w:t xml:space="preserve">The reference-match label is a</w:t>
      </w:r>
      <w:r>
        <w:t xml:space="preserve"> </w:t>
      </w:r>
      <w:r>
        <w:rPr>
          <w:iCs/>
          <w:i/>
        </w:rPr>
        <w:t xml:space="preserve">practical proxy</w:t>
      </w:r>
      <w:r>
        <w:t xml:space="preserve"> </w:t>
      </w:r>
      <w:r>
        <w:t xml:space="preserve">for adversarial inducement. It records that the agent proposed the attacker’s reference action with the attacker’s key argument; it is not a causal proof that the injected content caused the proposal. A legitimate action that coincides with the attacker’s reference action is mislabelled as induced, and an induced action that takes another route is mislabelled as legitimate. Both errors are measured, not assumed away.</w:t>
      </w:r>
    </w:p>
    <w:bookmarkEnd w:id="143"/>
    <w:bookmarkStart w:id="144" w:name="data-limitations"/>
    <w:p>
      <w:pPr>
        <w:pStyle w:val="Heading3"/>
      </w:pPr>
      <w:r>
        <w:t xml:space="preserve">3.11.4 Data limitations</w:t>
      </w:r>
    </w:p>
    <w:p>
      <w:pPr>
        <w:pStyle w:val="FirstParagraph"/>
      </w:pPr>
      <w:r>
        <w:t xml:space="preserve">The design must respect five limitations of the data:</w:t>
      </w:r>
    </w:p>
    <w:p>
      <w:pPr>
        <w:numPr>
          <w:ilvl w:val="0"/>
          <w:numId w:val="1132"/>
        </w:numPr>
        <w:pStyle w:val="Compact"/>
      </w:pPr>
      <w:r>
        <w:rPr>
          <w:bCs/>
          <w:b/>
        </w:rPr>
        <w:t xml:space="preserve">Positive-step scarcity.</w:t>
      </w:r>
      <w:r>
        <w:t xml:space="preserve"> </w:t>
      </w:r>
      <w:r>
        <w:t xml:space="preserve">A step is labeled y</w:t>
      </w:r>
      <w:r>
        <w:rPr>
          <w:vertAlign w:val="subscript"/>
        </w:rPr>
        <w:t xml:space="preserve">t</w:t>
      </w:r>
      <w:r>
        <w:t xml:space="preserve"> </w:t>
      </w:r>
      <w:r>
        <w:t xml:space="preserve">= 1 only if the agent actually proposes the attacker’s call. The number of positive steps therefore depends on how often the chosen backbone follows injected instructions, and it may be small; the observed count is reported in Chapter 5. Most steps are benign, so the classes are strongly imbalanced.</w:t>
      </w:r>
    </w:p>
    <w:p>
      <w:pPr>
        <w:numPr>
          <w:ilvl w:val="0"/>
          <w:numId w:val="1132"/>
        </w:numPr>
        <w:pStyle w:val="Compact"/>
      </w:pPr>
      <w:r>
        <w:rPr>
          <w:bCs/>
          <w:b/>
        </w:rPr>
        <w:t xml:space="preserve">Shared attacker account identifier.</w:t>
      </w:r>
      <w:r>
        <w:t xml:space="preserve"> </w:t>
      </w:r>
      <w:r>
        <w:t xml:space="preserve">Eight of the nine injection tasks use the same attacker account identifier. Any feature keyed on that value would leak the label across folds (Section 3.6.2).</w:t>
      </w:r>
    </w:p>
    <w:p>
      <w:pPr>
        <w:numPr>
          <w:ilvl w:val="0"/>
          <w:numId w:val="1132"/>
        </w:numPr>
        <w:pStyle w:val="Compact"/>
      </w:pPr>
      <w:r>
        <w:rPr>
          <w:bCs/>
          <w:b/>
        </w:rPr>
        <w:t xml:space="preserve">Repeated task templates.</w:t>
      </w:r>
      <w:r>
        <w:t xml:space="preserve"> </w:t>
      </w:r>
      <w:r>
        <w:t xml:space="preserve">The same user tasks appear with every injection task, so benign behavior learned in one fold recurs in others.</w:t>
      </w:r>
    </w:p>
    <w:p>
      <w:pPr>
        <w:numPr>
          <w:ilvl w:val="0"/>
          <w:numId w:val="1132"/>
        </w:numPr>
        <w:pStyle w:val="Compact"/>
      </w:pPr>
      <w:r>
        <w:rPr>
          <w:bCs/>
          <w:b/>
        </w:rPr>
        <w:t xml:space="preserve">Short trajectories.</w:t>
      </w:r>
      <w:r>
        <w:t xml:space="preserve"> </w:t>
      </w:r>
      <w:r>
        <w:t xml:space="preserve">Reference solutions contain one to five calls, and most attacker objectives require one call. Trajectory-level evidence therefore has limited opportunity to accumulate.</w:t>
      </w:r>
    </w:p>
    <w:p>
      <w:pPr>
        <w:numPr>
          <w:ilvl w:val="0"/>
          <w:numId w:val="1132"/>
        </w:numPr>
        <w:pStyle w:val="Compact"/>
      </w:pPr>
      <w:r>
        <w:rPr>
          <w:bCs/>
          <w:b/>
        </w:rPr>
        <w:t xml:space="preserve">Calibration data.</w:t>
      </w:r>
      <w:r>
        <w:t xml:space="preserve"> </w:t>
      </w:r>
      <w:r>
        <w:t xml:space="preserve">A calibration set separate from training, validation, and test data would contain very few positive steps.</w:t>
      </w:r>
    </w:p>
    <w:p>
      <w:pPr>
        <w:pStyle w:val="FirstParagraph"/>
      </w:pPr>
      <w:r>
        <w:t xml:space="preserve">As a result, four statistically independent partitions for training, calibration, validation, and testing cannot be supported, and the design uses grouped cross-fitting instead.</w:t>
      </w:r>
    </w:p>
    <w:bookmarkEnd w:id="144"/>
    <w:bookmarkStart w:id="145" w:name="grouping-and-cross-fitting"/>
    <w:p>
      <w:pPr>
        <w:pStyle w:val="Heading3"/>
      </w:pPr>
      <w:r>
        <w:t xml:space="preserve">3.11.5 Grouping and cross-fitting</w:t>
      </w:r>
    </w:p>
    <w:p>
      <w:pPr>
        <w:pStyle w:val="FirstParagraph"/>
      </w:pPr>
      <w:r>
        <w:t xml:space="preserve">Estimation, calibration, and threshold selection use nested grouped cross-fitting. No step is ever scored by a model fitted on data from its own group.</w:t>
      </w:r>
    </w:p>
    <w:p>
      <w:pPr>
        <w:numPr>
          <w:ilvl w:val="0"/>
          <w:numId w:val="1133"/>
        </w:numPr>
        <w:pStyle w:val="Compact"/>
      </w:pPr>
      <w:r>
        <w:rPr>
          <w:bCs/>
          <w:b/>
        </w:rPr>
        <w:t xml:space="preserve">Outer folds.</w:t>
      </w:r>
    </w:p>
    <w:p>
      <w:pPr>
        <w:numPr>
          <w:ilvl w:val="1"/>
          <w:numId w:val="1134"/>
        </w:numPr>
        <w:pStyle w:val="Compact"/>
      </w:pPr>
      <w:r>
        <w:rPr>
          <w:iCs/>
          <w:i/>
        </w:rPr>
        <w:t xml:space="preserve">Attacked episodes</w:t>
      </w:r>
      <w:r>
        <w:t xml:space="preserve"> </w:t>
      </w:r>
      <w:r>
        <w:t xml:space="preserve">are grouped by injection task, giving nine leave-one-injection-task-out folds. The held-out fold therefore contains an attacker objective not seen during fitting.</w:t>
      </w:r>
    </w:p>
    <w:p>
      <w:pPr>
        <w:numPr>
          <w:ilvl w:val="1"/>
          <w:numId w:val="1134"/>
        </w:numPr>
        <w:pStyle w:val="Compact"/>
      </w:pPr>
      <w:r>
        <w:rPr>
          <w:iCs/>
          <w:i/>
        </w:rPr>
        <w:t xml:space="preserve">Episodes without injection</w:t>
      </w:r>
      <w:r>
        <w:t xml:space="preserve"> </w:t>
      </w:r>
      <w:r>
        <w:t xml:space="preserve">are assigned to the outer folds by user task, so that no user task’s benign-only episodes appear in both the fitting and held-out portions of a fold.</w:t>
      </w:r>
    </w:p>
    <w:p>
      <w:pPr>
        <w:numPr>
          <w:ilvl w:val="0"/>
          <w:numId w:val="1133"/>
        </w:numPr>
        <w:pStyle w:val="Compact"/>
      </w:pPr>
      <w:r>
        <w:rPr>
          <w:bCs/>
          <w:b/>
        </w:rPr>
        <w:t xml:space="preserve">Inner folds.</w:t>
      </w:r>
      <w:r>
        <w:t xml:space="preserve"> </w:t>
      </w:r>
      <w:r>
        <w:t xml:space="preserve">Within the fitting portion of each outer fold, grouped inner cross-validation selects λ by held-out log-loss and produces out-of-fold logits. These are used to fit the calibration parameters (Equation 3.4) and to select the baseline thresholds (Equation 3.14).</w:t>
      </w:r>
    </w:p>
    <w:p>
      <w:pPr>
        <w:numPr>
          <w:ilvl w:val="0"/>
          <w:numId w:val="1133"/>
        </w:numPr>
        <w:pStyle w:val="Compact"/>
      </w:pPr>
      <w:r>
        <w:rPr>
          <w:bCs/>
          <w:b/>
        </w:rPr>
        <w:t xml:space="preserve">Held-out scoring.</w:t>
      </w:r>
      <w:r>
        <w:t xml:space="preserve"> </w:t>
      </w:r>
      <w:r>
        <w:t xml:space="preserve">The outer held-out fold is scored by the model fitted on the rest. All reported metrics are computed from these held-out predictions.</w:t>
      </w:r>
    </w:p>
    <w:p>
      <w:pPr>
        <w:pStyle w:val="FirstParagraph"/>
      </w:pPr>
      <w:r>
        <w:rPr>
          <w:bCs/>
          <w:b/>
        </w:rPr>
        <w:t xml:space="preserve">Independence of every fitted quantity from the held-out fold.</w:t>
      </w:r>
      <w:r>
        <w:t xml:space="preserve"> </w:t>
      </w:r>
      <w:r>
        <w:t xml:space="preserve">For outer fold f, each of the following uses only the fitting portion D_train(f):</w:t>
      </w:r>
    </w:p>
    <w:p>
      <w:pPr>
        <w:numPr>
          <w:ilvl w:val="0"/>
          <w:numId w:val="1135"/>
        </w:numPr>
        <w:pStyle w:val="Compact"/>
      </w:pPr>
      <w:r>
        <w:t xml:space="preserve">the benign transition set and x̄, re-estimated also within each inner fold;</w:t>
      </w:r>
    </w:p>
    <w:p>
      <w:pPr>
        <w:numPr>
          <w:ilvl w:val="0"/>
          <w:numId w:val="1135"/>
        </w:numPr>
        <w:pStyle w:val="Compact"/>
      </w:pPr>
      <w:r>
        <w:t xml:space="preserve">λ, selected by grouped inner cross-validation;</w:t>
      </w:r>
    </w:p>
    <w:p>
      <w:pPr>
        <w:numPr>
          <w:ilvl w:val="0"/>
          <w:numId w:val="1135"/>
        </w:numPr>
        <w:pStyle w:val="Compact"/>
      </w:pPr>
      <w:r>
        <w:t xml:space="preserve">(γ₁, γ₀), fitted on out-of-fold logits from the inner folds;</w:t>
      </w:r>
    </w:p>
    <w:p>
      <w:pPr>
        <w:numPr>
          <w:ilvl w:val="0"/>
          <w:numId w:val="1135"/>
        </w:numPr>
        <w:pStyle w:val="Compact"/>
      </w:pPr>
      <w:r>
        <w:t xml:space="preserve">the baseline thresholds θ(α), selected on out-of-fold calibrated benign steps;</w:t>
      </w:r>
    </w:p>
    <w:p>
      <w:pPr>
        <w:numPr>
          <w:ilvl w:val="0"/>
          <w:numId w:val="1135"/>
        </w:numPr>
        <w:pStyle w:val="Compact"/>
      </w:pPr>
      <w:r>
        <w:t xml:space="preserve">r</w:t>
      </w:r>
      <w:r>
        <w:rPr>
          <w:vertAlign w:val="subscript"/>
        </w:rPr>
        <w:t xml:space="preserve">mod</w:t>
      </w:r>
      <w:r>
        <w:t xml:space="preserve">(k), estimated from episodes outside fold f;</w:t>
      </w:r>
    </w:p>
    <w:p>
      <w:pPr>
        <w:numPr>
          <w:ilvl w:val="0"/>
          <w:numId w:val="1135"/>
        </w:numPr>
        <w:pStyle w:val="Compact"/>
      </w:pPr>
      <w:r>
        <w:t xml:space="preserve">the feature set: the Pilot E0 rule (Section 3.11.8) is applied to each fold’s fitting portion. If the folds disagreed, each fold would use its own set. In this thesis they agree (Chapter 5).</w:t>
      </w:r>
    </w:p>
    <w:p>
      <w:pPr>
        <w:numPr>
          <w:ilvl w:val="0"/>
          <w:numId w:val="1136"/>
        </w:numPr>
        <w:pStyle w:val="Compact"/>
      </w:pPr>
      <w:r>
        <w:rPr>
          <w:bCs/>
          <w:b/>
        </w:rPr>
        <w:t xml:space="preserve">Deployment model.</w:t>
      </w:r>
      <w:r>
        <w:t xml:space="preserve"> </w:t>
      </w:r>
      <w:r>
        <w:t xml:space="preserve">A model fitted on all data is used only for runtime demonstrations and latency measurement, never for reported accuracy or calibration.</w:t>
      </w:r>
    </w:p>
    <w:p>
      <w:pPr>
        <w:pStyle w:val="FirstParagraph"/>
      </w:pPr>
      <w:r>
        <w:t xml:space="preserve">Grouping by injection task does not remove the dependence introduced by shared user-task templates in attacked episodes. As a sensitivity analysis pending supervisor approval, the fitting is repeated with folds grouped by user task, and differences between the two groupings are reported.</w:t>
      </w:r>
    </w:p>
    <w:bookmarkEnd w:id="145"/>
    <w:bookmarkStart w:id="146" w:name="leakage-controls"/>
    <w:p>
      <w:pPr>
        <w:pStyle w:val="Heading3"/>
      </w:pPr>
      <w:r>
        <w:t xml:space="preserve">3.11.6 Leakage controls</w:t>
      </w:r>
    </w:p>
    <w:p>
      <w:pPr>
        <w:pStyle w:val="FirstParagraph"/>
      </w:pPr>
      <w:r>
        <w:t xml:space="preserve">Because the injection tasks in the banking suite share a small number of templates and a single attacker account, an estimator can reach a high score by memorizing the benchmark rather than by recognizing adversarial inducement. Arp et al. (2022) identify this family of errors as a recurring cause of overstated security-classification results. The following controls are therefore fixed before any held-out prediction is examined.</w:t>
      </w:r>
    </w:p>
    <w:p>
      <w:pPr>
        <w:numPr>
          <w:ilvl w:val="0"/>
          <w:numId w:val="1137"/>
        </w:numPr>
        <w:pStyle w:val="Compact"/>
      </w:pPr>
      <w:r>
        <w:t xml:space="preserve">No feature encodes a specific account identifier (Section 3.6.2).</w:t>
      </w:r>
    </w:p>
    <w:p>
      <w:pPr>
        <w:numPr>
          <w:ilvl w:val="0"/>
          <w:numId w:val="1137"/>
        </w:numPr>
        <w:pStyle w:val="Compact"/>
      </w:pPr>
      <w:r>
        <w:t xml:space="preserve">Benign reference quantities are estimated within each outer fold’s fitting portion.</w:t>
      </w:r>
    </w:p>
    <w:p>
      <w:pPr>
        <w:numPr>
          <w:ilvl w:val="0"/>
          <w:numId w:val="1137"/>
        </w:numPr>
        <w:pStyle w:val="Compact"/>
      </w:pPr>
      <w:r>
        <w:t xml:space="preserve">The feature set, instruction-pattern set, privilege map, tier map, loss grid, false-positive targets, and pilot decision values are declared before held-out predictions are examined.</w:t>
      </w:r>
    </w:p>
    <w:p>
      <w:pPr>
        <w:numPr>
          <w:ilvl w:val="0"/>
          <w:numId w:val="1137"/>
        </w:numPr>
        <w:pStyle w:val="Compact"/>
      </w:pPr>
      <w:r>
        <w:t xml:space="preserve">Fitting data are collected in observe-only mode.</w:t>
      </w:r>
    </w:p>
    <w:p>
      <w:pPr>
        <w:numPr>
          <w:ilvl w:val="0"/>
          <w:numId w:val="1137"/>
        </w:numPr>
        <w:pStyle w:val="Compact"/>
      </w:pPr>
      <w:r>
        <w:t xml:space="preserve">Results are reported per benchmark and are not pooled across benchmarks.</w:t>
      </w:r>
    </w:p>
    <w:bookmarkEnd w:id="146"/>
    <w:bookmarkStart w:id="147" w:name="configurations-baselines-and-ablations"/>
    <w:p>
      <w:pPr>
        <w:pStyle w:val="Heading3"/>
      </w:pPr>
      <w:r>
        <w:t xml:space="preserve">3.11.7 Configurations, baselines, and ablations</w:t>
      </w:r>
    </w:p>
    <w:p>
      <w:pPr>
        <w:pStyle w:val="FirstParagraph"/>
      </w:pPr>
      <w:r>
        <w:rPr>
          <w:bCs/>
          <w:b/>
        </w:rPr>
        <w:t xml:space="preserve">Configurations:</w:t>
      </w:r>
    </w:p>
    <w:p>
      <w:pPr>
        <w:numPr>
          <w:ilvl w:val="0"/>
          <w:numId w:val="1138"/>
        </w:numPr>
        <w:pStyle w:val="Compact"/>
      </w:pPr>
      <w:r>
        <w:rPr>
          <w:bCs/>
          <w:b/>
        </w:rPr>
        <w:t xml:space="preserve">B0, no defense.</w:t>
      </w:r>
      <w:r>
        <w:t xml:space="preserve"> </w:t>
      </w:r>
      <w:r>
        <w:t xml:space="preserve">Establishes attack success and utility without protection.</w:t>
      </w:r>
    </w:p>
    <w:p>
      <w:pPr>
        <w:numPr>
          <w:ilvl w:val="0"/>
          <w:numId w:val="1138"/>
        </w:numPr>
        <w:pStyle w:val="Compact"/>
      </w:pPr>
      <w:r>
        <w:rPr>
          <w:bCs/>
          <w:b/>
        </w:rPr>
        <w:t xml:space="preserve">B1, consequence-independent baseline.</w:t>
      </w:r>
      <w:r>
        <w:t xml:space="preserve"> </w:t>
      </w:r>
      <w:r>
        <w:t xml:space="preserve">The same estimator and calibration with the threshold policy of Section 3.7.7. This is the primary comparator for RQ2.</w:t>
      </w:r>
    </w:p>
    <w:p>
      <w:pPr>
        <w:numPr>
          <w:ilvl w:val="0"/>
          <w:numId w:val="1138"/>
        </w:numPr>
        <w:pStyle w:val="Compact"/>
      </w:pPr>
      <w:r>
        <w:rPr>
          <w:bCs/>
          <w:b/>
        </w:rPr>
        <w:t xml:space="preserve">REM.</w:t>
      </w:r>
      <w:r>
        <w:t xml:space="preserve"> </w:t>
      </w:r>
      <w:r>
        <w:t xml:space="preserve">The expected-loss verdict selection of Section 3.7.5.</w:t>
      </w:r>
    </w:p>
    <w:p>
      <w:pPr>
        <w:numPr>
          <w:ilvl w:val="0"/>
          <w:numId w:val="1138"/>
        </w:numPr>
        <w:pStyle w:val="Compact"/>
      </w:pPr>
      <w:r>
        <w:rPr>
          <w:bCs/>
          <w:b/>
        </w:rPr>
        <w:t xml:space="preserve">REM without expected-loss Escalate.</w:t>
      </w:r>
      <w:r>
        <w:t xml:space="preserve"> </w:t>
      </w:r>
      <w:r>
        <w:t xml:space="preserve">As REM, with Escalate available only through D2, which gives REM the baseline’s escalation opportunity (Section 3.7.7). This configuration was added after the first pilot results and is reported as a post-hoc comparison.</w:t>
      </w:r>
    </w:p>
    <w:p>
      <w:pPr>
        <w:numPr>
          <w:ilvl w:val="0"/>
          <w:numId w:val="1138"/>
        </w:numPr>
        <w:pStyle w:val="Compact"/>
      </w:pPr>
      <w:r>
        <w:rPr>
          <w:bCs/>
          <w:b/>
        </w:rPr>
        <w:t xml:space="preserve">B2, detection-only (pending supervisor approval).</w:t>
      </w:r>
      <w:r>
        <w:t xml:space="preserve"> </w:t>
      </w:r>
      <w:r>
        <w:t xml:space="preserve">The Detection Layer’s classifier score applied to untrusted content with an operating-point threshold. It tests whether Layers 3 and 4 add value.</w:t>
      </w:r>
    </w:p>
    <w:p>
      <w:pPr>
        <w:numPr>
          <w:ilvl w:val="0"/>
          <w:numId w:val="1138"/>
        </w:numPr>
        <w:pStyle w:val="Compact"/>
      </w:pPr>
      <w:r>
        <w:rPr>
          <w:bCs/>
          <w:b/>
        </w:rPr>
        <w:t xml:space="preserve">Distributed defenses (pending supervisor approval).</w:t>
      </w:r>
      <w:r>
        <w:t xml:space="preserve"> </w:t>
      </w:r>
      <w:r>
        <w:t xml:space="preserve">Any defenses distributed with the pinned benchmark version, to address O3.</w:t>
      </w:r>
    </w:p>
    <w:p>
      <w:pPr>
        <w:pStyle w:val="FirstParagraph"/>
      </w:pPr>
      <w:r>
        <w:rPr>
          <w:bCs/>
          <w:b/>
        </w:rPr>
        <w:t xml:space="preserve">Ablations of REM</w:t>
      </w:r>
      <w:r>
        <w:t xml:space="preserve"> </w:t>
      </w:r>
      <w:r>
        <w:t xml:space="preserve">(each changes one element, all else fixed; the estimator is refitted when an evidence group is removed):</w:t>
      </w:r>
    </w:p>
    <w:p>
      <w:pPr>
        <w:numPr>
          <w:ilvl w:val="0"/>
          <w:numId w:val="1139"/>
        </w:numPr>
        <w:pStyle w:val="Compact"/>
      </w:pPr>
      <w:r>
        <w:t xml:space="preserve">Context evidence removed.</w:t>
      </w:r>
    </w:p>
    <w:p>
      <w:pPr>
        <w:numPr>
          <w:ilvl w:val="0"/>
          <w:numId w:val="1139"/>
        </w:numPr>
        <w:pStyle w:val="Compact"/>
      </w:pPr>
      <w:r>
        <w:t xml:space="preserve">Behavioral evidence removed.</w:t>
      </w:r>
    </w:p>
    <w:p>
      <w:pPr>
        <w:numPr>
          <w:ilvl w:val="0"/>
          <w:numId w:val="1139"/>
        </w:numPr>
        <w:pStyle w:val="Compact"/>
      </w:pPr>
      <w:r>
        <w:t xml:space="preserve">Action evidence removed.</w:t>
      </w:r>
    </w:p>
    <w:p>
      <w:pPr>
        <w:numPr>
          <w:ilvl w:val="0"/>
          <w:numId w:val="1139"/>
        </w:numPr>
        <w:pStyle w:val="Compact"/>
      </w:pPr>
      <w:r>
        <w:t xml:space="preserve">Calibration removed (p̃</w:t>
      </w:r>
      <w:r>
        <w:rPr>
          <w:vertAlign w:val="subscript"/>
        </w:rPr>
        <w:t xml:space="preserve">t</w:t>
      </w:r>
      <w:r>
        <w:t xml:space="preserve"> </w:t>
      </w:r>
      <w:r>
        <w:t xml:space="preserve">used in Equation 3.6).</w:t>
      </w:r>
    </w:p>
    <w:p>
      <w:pPr>
        <w:numPr>
          <w:ilvl w:val="0"/>
          <w:numId w:val="1139"/>
        </w:numPr>
        <w:pStyle w:val="Compact"/>
      </w:pPr>
      <w:r>
        <w:t xml:space="preserve">Consequence tiers removed (one tier for all actions).</w:t>
      </w:r>
    </w:p>
    <w:p>
      <w:pPr>
        <w:numPr>
          <w:ilvl w:val="0"/>
          <w:numId w:val="1139"/>
        </w:numPr>
        <w:pStyle w:val="Compact"/>
      </w:pPr>
      <w:r>
        <w:t xml:space="preserve">Predicates D1 and D2 disabled.</w:t>
      </w:r>
    </w:p>
    <w:p>
      <w:pPr>
        <w:numPr>
          <w:ilvl w:val="0"/>
          <w:numId w:val="1139"/>
        </w:numPr>
        <w:pStyle w:val="Compact"/>
      </w:pPr>
      <w:r>
        <w:t xml:space="preserve">Observe-only (no mitigation).</w:t>
      </w:r>
    </w:p>
    <w:p>
      <w:pPr>
        <w:pStyle w:val="FirstParagraph"/>
      </w:pPr>
      <w:r>
        <w:rPr>
          <w:bCs/>
          <w:b/>
        </w:rPr>
        <w:t xml:space="preserve">Mitigation-effectiveness runs.</w:t>
      </w:r>
      <w:r>
        <w:t xml:space="preserve"> </w:t>
      </w:r>
      <w:r>
        <w:t xml:space="preserve">Enforcing-mode runs in which Modify is applied to adversarial steps estimate r</w:t>
      </w:r>
      <w:r>
        <w:rPr>
          <w:vertAlign w:val="subscript"/>
        </w:rPr>
        <w:t xml:space="preserve">mod</w:t>
      </w:r>
      <w:r>
        <w:t xml:space="preserve">(k) per tier and the utility impact of Modify on benign steps. These estimates feed Equation 3.5 and are fitted within the outer folds so that no held-out episode informs its own loss values. In this thesis, live enforcing-mode runs were not available. r</w:t>
      </w:r>
      <w:r>
        <w:rPr>
          <w:vertAlign w:val="subscript"/>
        </w:rPr>
        <w:t xml:space="preserve">mod</w:t>
      </w:r>
      <w:r>
        <w:t xml:space="preserve">(k) was therefore estimated by replaying recorded attack episodes with Modify applied to every labelled attack step (Section 3.11.11). Under the no-adaptation assumption these estimates are close to zero by construction, and they are reported as such. The utility impact of Modify on benign steps was not estimated separately.</w:t>
      </w:r>
    </w:p>
    <w:p>
      <w:pPr>
        <w:pStyle w:val="BodyText"/>
      </w:pPr>
      <w:r>
        <w:rPr>
          <w:bCs/>
          <w:b/>
        </w:rPr>
        <w:t xml:space="preserve">Escalation in experiments.</w:t>
      </w:r>
      <w:r>
        <w:t xml:space="preserve"> </w:t>
      </w:r>
      <w:r>
        <w:t xml:space="preserve">No human reviewer is available in the benchmark. Escalation is resolved in two ways:</w:t>
      </w:r>
    </w:p>
    <w:p>
      <w:pPr>
        <w:numPr>
          <w:ilvl w:val="0"/>
          <w:numId w:val="1140"/>
        </w:numPr>
        <w:pStyle w:val="Compact"/>
      </w:pPr>
      <w:r>
        <w:t xml:space="preserve">by an idealized reviewer who releases the action if y</w:t>
      </w:r>
      <w:r>
        <w:rPr>
          <w:vertAlign w:val="subscript"/>
        </w:rPr>
        <w:t xml:space="preserve">t</w:t>
      </w:r>
      <w:r>
        <w:t xml:space="preserve"> </w:t>
      </w:r>
      <w:r>
        <w:t xml:space="preserve">= 0 and prevents it if y</w:t>
      </w:r>
      <w:r>
        <w:rPr>
          <w:vertAlign w:val="subscript"/>
        </w:rPr>
        <w:t xml:space="preserve">t</w:t>
      </w:r>
      <w:r>
        <w:t xml:space="preserve"> </w:t>
      </w:r>
      <w:r>
        <w:t xml:space="preserve">= 1;</w:t>
      </w:r>
    </w:p>
    <w:p>
      <w:pPr>
        <w:numPr>
          <w:ilvl w:val="0"/>
          <w:numId w:val="1140"/>
        </w:numPr>
        <w:pStyle w:val="Compact"/>
      </w:pPr>
      <w:r>
        <w:t xml:space="preserve">by a no-reviewer bound in which every escalation is treated as Block.</w:t>
      </w:r>
    </w:p>
    <w:p>
      <w:pPr>
        <w:pStyle w:val="FirstParagraph"/>
      </w:pPr>
      <w:r>
        <w:t xml:space="preserve">Both are reported, so the dependence of any result on the reviewer assumption is visible.</w:t>
      </w:r>
    </w:p>
    <w:bookmarkEnd w:id="147"/>
    <w:bookmarkStart w:id="148" w:name="pilot-e0"/>
    <w:p>
      <w:pPr>
        <w:pStyle w:val="Heading3"/>
      </w:pPr>
      <w:r>
        <w:t xml:space="preserve">3.11.8 Pilot E0</w:t>
      </w:r>
    </w:p>
    <w:p>
      <w:pPr>
        <w:pStyle w:val="FirstParagraph"/>
      </w:pPr>
      <w:r>
        <w:t xml:space="preserve">Before the feature set is frozen, a pilot run on the fitting portions of the outer folds checks feasibility:</w:t>
      </w:r>
    </w:p>
    <w:p>
      <w:pPr>
        <w:numPr>
          <w:ilvl w:val="0"/>
          <w:numId w:val="1141"/>
        </w:numPr>
        <w:pStyle w:val="Compact"/>
      </w:pPr>
      <w:r>
        <w:t xml:space="preserve">the number of positive steps per backbone and attack template;</w:t>
      </w:r>
    </w:p>
    <w:p>
      <w:pPr>
        <w:numPr>
          <w:ilvl w:val="0"/>
          <w:numId w:val="1141"/>
        </w:numPr>
        <w:pStyle w:val="Compact"/>
      </w:pPr>
      <w:r>
        <w:t xml:space="preserve">the ROC-AUC of each evidence group alone and combined.</w:t>
      </w:r>
    </w:p>
    <w:p>
      <w:pPr>
        <w:pStyle w:val="FirstParagraph"/>
      </w:pPr>
      <w:r>
        <w:t xml:space="preserve">The pilot’s decision values are project decisions declared before the pilot, not literature-derived thresholds [pending supervisor approval]:</w:t>
      </w:r>
    </w:p>
    <w:p>
      <w:pPr>
        <w:numPr>
          <w:ilvl w:val="0"/>
          <w:numId w:val="1142"/>
        </w:numPr>
        <w:pStyle w:val="Compact"/>
      </w:pPr>
      <w:r>
        <w:t xml:space="preserve">the minimum number of positive steps needed to proceed;</w:t>
      </w:r>
    </w:p>
    <w:p>
      <w:pPr>
        <w:numPr>
          <w:ilvl w:val="0"/>
          <w:numId w:val="1142"/>
        </w:numPr>
        <w:pStyle w:val="Compact"/>
      </w:pPr>
      <w:r>
        <w:t xml:space="preserve">the minimum group ROC-AUC needed to retain an evidence group.</w:t>
      </w:r>
    </w:p>
    <w:p>
      <w:pPr>
        <w:pStyle w:val="FirstParagraph"/>
      </w:pPr>
      <w:r>
        <w:t xml:space="preserve">If the positive-step count is insufficient, additional attack templates or backbones are added before the main experiments. The pilot never uses held-out fold predictions. Because every outer fold’s held-out data belong to the fitting portions of the other folds, a single global decision taken from all folds’ pilot results would use each fold’s held-out data indirectly. The retention rule is therefore applied per fold, to that fold’s fitting portion only.</w:t>
      </w:r>
    </w:p>
    <w:bookmarkEnd w:id="148"/>
    <w:bookmarkStart w:id="149" w:name="repeated-runs-and-uncertainty"/>
    <w:p>
      <w:pPr>
        <w:pStyle w:val="Heading3"/>
      </w:pPr>
      <w:r>
        <w:t xml:space="preserve">3.11.9 Repeated runs and uncertainty</w:t>
      </w:r>
    </w:p>
    <w:p>
      <w:pPr>
        <w:pStyle w:val="FirstParagraph"/>
      </w:pPr>
      <w:r>
        <w:t xml:space="preserve">Each configuration is run at least three times with fixed decoding parameters to characterize LLM non-determinism [number of runs pending supervisor approval]. Repeated runs of the same template are not independent. Results are therefore aggregated per episode template before uncertainty is estimated.</w:t>
      </w:r>
    </w:p>
    <w:p>
      <w:pPr>
        <w:pStyle w:val="BodyText"/>
      </w:pPr>
      <w:r>
        <w:t xml:space="preserve">Confidence intervals are obtained by bootstrap resampling (Efron, 1979) at the level of injection-task groups for attacked episodes and user-task groups for benign episodes. Resampling groups rather than steps is a design choice that respects the dependence described in Section 3.11.2.</w:t>
      </w:r>
    </w:p>
    <w:p>
      <w:pPr>
        <w:pStyle w:val="BodyText"/>
      </w:pPr>
      <w:r>
        <w:t xml:space="preserve">With nine injection-task groups, intervals will be wide. No statistical power has been established, so differences are reported as measured differences with their intervals, and the word</w:t>
      </w:r>
      <w:r>
        <w:t xml:space="preserve"> </w:t>
      </w:r>
      <w:r>
        <w:t xml:space="preserve">“</w:t>
      </w:r>
      <w:r>
        <w:t xml:space="preserve">significant</w:t>
      </w:r>
      <w:r>
        <w:t xml:space="preserve">”</w:t>
      </w:r>
      <w:r>
        <w:t xml:space="preserve"> </w:t>
      </w:r>
      <w:r>
        <w:t xml:space="preserve">is not used unless a stated test supports it.</w:t>
      </w:r>
    </w:p>
    <w:bookmarkEnd w:id="149"/>
    <w:bookmarkStart w:id="150" w:name="X46e9d0314a7d34833f49c2e840ab858be5d7c52"/>
    <w:p>
      <w:pPr>
        <w:pStyle w:val="Heading3"/>
      </w:pPr>
      <w:r>
        <w:t xml:space="preserve">3.11.10 Optional observe-only sequential analysis</w:t>
      </w:r>
    </w:p>
    <w:p>
      <w:pPr>
        <w:pStyle w:val="FirstParagraph"/>
      </w:pPr>
      <w:r>
        <w:t xml:space="preserve">Sequential change detection is not part of REM’s verdict path. If the supervisor approves it for the thesis narrative, it is performed</w:t>
      </w:r>
      <w:r>
        <w:t xml:space="preserve"> </w:t>
      </w:r>
      <w:r>
        <w:rPr>
          <w:bCs/>
          <w:b/>
        </w:rPr>
        <w:t xml:space="preserve">offline</w:t>
      </w:r>
      <w:r>
        <w:t xml:space="preserve"> </w:t>
      </w:r>
      <w:r>
        <w:t xml:space="preserve">on the per-step indicators logged by the Behavioral Analysis Layer. It never influences a verdict.</w:t>
      </w:r>
    </w:p>
    <w:p>
      <w:pPr>
        <w:pStyle w:val="BodyText"/>
      </w:pPr>
      <w:r>
        <w:t xml:space="preserve">For each step, a binary deviation indicator e</w:t>
      </w:r>
      <w:r>
        <w:rPr>
          <w:vertAlign w:val="subscript"/>
        </w:rPr>
        <w:t xml:space="preserve">t</w:t>
      </w:r>
      <w:r>
        <w:t xml:space="preserve"> </w:t>
      </w:r>
      <w:r>
        <w:t xml:space="preserve">∈ {0, 1} is defined as 1 if at least one of x</w:t>
      </w:r>
      <w:r>
        <w:rPr>
          <w:vertAlign w:val="superscript"/>
        </w:rPr>
        <w:t xml:space="preserve">beh</w:t>
      </w:r>
      <w:r>
        <w:rPr>
          <w:vertAlign w:val="subscript"/>
        </w:rPr>
        <w:t xml:space="preserve">1</w:t>
      </w:r>
      <w:r>
        <w:t xml:space="preserve">, x</w:t>
      </w:r>
      <w:r>
        <w:rPr>
          <w:vertAlign w:val="superscript"/>
        </w:rPr>
        <w:t xml:space="preserve">beh</w:t>
      </w:r>
      <w:r>
        <w:rPr>
          <w:vertAlign w:val="subscript"/>
        </w:rPr>
        <w:t xml:space="preserve">3</w:t>
      </w:r>
      <w:r>
        <w:t xml:space="preserve">, x</w:t>
      </w:r>
      <w:r>
        <w:rPr>
          <w:vertAlign w:val="superscript"/>
        </w:rPr>
        <w:t xml:space="preserve">beh</w:t>
      </w:r>
      <w:r>
        <w:rPr>
          <w:vertAlign w:val="subscript"/>
        </w:rPr>
        <w:t xml:space="preserve">4</w:t>
      </w:r>
      <w:r>
        <w:t xml:space="preserve">, or x</w:t>
      </w:r>
      <w:r>
        <w:rPr>
          <w:vertAlign w:val="superscript"/>
        </w:rPr>
        <w:t xml:space="preserve">act</w:t>
      </w:r>
      <w:r>
        <w:rPr>
          <w:vertAlign w:val="subscript"/>
        </w:rPr>
        <w:t xml:space="preserve">1</w:t>
      </w:r>
      <w:r>
        <w:t xml:space="preserve"> </w:t>
      </w:r>
      <w:r>
        <w:t xml:space="preserve">equals 1, or if x</w:t>
      </w:r>
      <w:r>
        <w:rPr>
          <w:vertAlign w:val="superscript"/>
        </w:rPr>
        <w:t xml:space="preserve">beh</w:t>
      </w:r>
      <w:r>
        <w:rPr>
          <w:vertAlign w:val="subscript"/>
        </w:rPr>
        <w:t xml:space="preserve">2</w:t>
      </w:r>
      <w:r>
        <w:t xml:space="preserve"> </w:t>
      </w:r>
      <w:r>
        <w:t xml:space="preserve">= 1; otherwise 0 [indicator set pending supervisor approval]. Let q</w:t>
      </w:r>
      <w:r>
        <w:rPr>
          <w:vertAlign w:val="subscript"/>
        </w:rPr>
        <w:t xml:space="preserve">0</w:t>
      </w:r>
      <w:r>
        <w:t xml:space="preserve"> </w:t>
      </w:r>
      <w:r>
        <w:t xml:space="preserve">and q</w:t>
      </w:r>
      <w:r>
        <w:rPr>
          <w:vertAlign w:val="subscript"/>
        </w:rPr>
        <w:t xml:space="preserve">1</w:t>
      </w:r>
      <w:r>
        <w:t xml:space="preserve">, with 0 &lt; q</w:t>
      </w:r>
      <w:r>
        <w:rPr>
          <w:vertAlign w:val="subscript"/>
        </w:rPr>
        <w:t xml:space="preserve">0</w:t>
      </w:r>
      <w:r>
        <w:t xml:space="preserve"> </w:t>
      </w:r>
      <w:r>
        <w:t xml:space="preserve">&lt; q</w:t>
      </w:r>
      <w:r>
        <w:rPr>
          <w:vertAlign w:val="subscript"/>
        </w:rPr>
        <w:t xml:space="preserve">1</w:t>
      </w:r>
      <w:r>
        <w:t xml:space="preserve"> </w:t>
      </w:r>
      <w:r>
        <w:t xml:space="preserve">&lt; 1, be the rates of e</w:t>
      </w:r>
      <w:r>
        <w:rPr>
          <w:vertAlign w:val="subscript"/>
        </w:rPr>
        <w:t xml:space="preserve">t</w:t>
      </w:r>
      <w:r>
        <w:t xml:space="preserve"> </w:t>
      </w:r>
      <w:r>
        <w:t xml:space="preserve">= 1 before and after an adversarial change.</w:t>
      </w:r>
    </w:p>
    <w:p>
      <w:pPr>
        <w:pStyle w:val="BodyText"/>
      </w:pPr>
      <w:r>
        <w:t xml:space="preserve">The log-likelihood ratio of one observation, as defined by Basseville and Nikiforov (1993), specialized to Bernoulli observations, is:</w:t>
      </w:r>
    </w:p>
    <w:p>
      <w:pPr>
        <w:pStyle w:val="BodyText"/>
      </w:pPr>
      <m:oMathPara>
        <m:oMathParaPr>
          <m:jc m:val="center"/>
        </m:oMathParaPr>
        <m:oMath>
          <m:sSub>
            <m:e>
              <m:r>
                <m:rPr>
                  <m:sty m:val="p"/>
                </m:rPr>
                <m:t>ℓ</m:t>
              </m:r>
            </m:e>
            <m:sub>
              <m:r>
                <m:t>t</m:t>
              </m:r>
            </m:sub>
          </m:sSub>
          <m:r>
            <m:rPr>
              <m:sty m:val="p"/>
            </m:rPr>
            <m:t>=</m:t>
          </m:r>
          <m:sSub>
            <m:e>
              <m:r>
                <m:t>e</m:t>
              </m:r>
            </m:e>
            <m:sub>
              <m:r>
                <m:t>t</m:t>
              </m:r>
            </m:sub>
          </m:sSub>
          <m:r>
            <m:rPr>
              <m:sty m:val="p"/>
            </m:rPr>
            <m:t>ln</m:t>
          </m:r>
          <m:f>
            <m:fPr>
              <m:type m:val="bar"/>
            </m:fPr>
            <m:num>
              <m:sSub>
                <m:e>
                  <m:r>
                    <m:t>q</m:t>
                  </m:r>
                </m:e>
                <m:sub>
                  <m:r>
                    <m:t>1</m:t>
                  </m:r>
                </m:sub>
              </m:sSub>
            </m:num>
            <m:den>
              <m:sSub>
                <m:e>
                  <m:r>
                    <m:t>q</m:t>
                  </m:r>
                </m:e>
                <m:sub>
                  <m:r>
                    <m:t>0</m:t>
                  </m:r>
                </m:sub>
              </m:sSub>
            </m:den>
          </m:f>
          <m:r>
            <m:rPr>
              <m:sty m:val="p"/>
            </m:rPr>
            <m:t>+</m:t>
          </m:r>
          <m:d>
            <m:dPr>
              <m:begChr m:val="("/>
              <m:endChr m:val=")"/>
              <m:sepChr m:val=""/>
              <m:grow/>
            </m:dPr>
            <m:e>
              <m:r>
                <m:t>1</m:t>
              </m:r>
              <m:r>
                <m:rPr>
                  <m:sty m:val="p"/>
                </m:rPr>
                <m:t>−</m:t>
              </m:r>
              <m:sSub>
                <m:e>
                  <m:r>
                    <m:t>e</m:t>
                  </m:r>
                </m:e>
                <m:sub>
                  <m:r>
                    <m:t>t</m:t>
                  </m:r>
                </m:sub>
              </m:sSub>
            </m:e>
          </m:d>
          <m:r>
            <m:rPr>
              <m:sty m:val="p"/>
            </m:rPr>
            <m:t>ln</m:t>
          </m:r>
          <m:f>
            <m:fPr>
              <m:type m:val="bar"/>
            </m:fPr>
            <m:num>
              <m:r>
                <m:t>1</m:t>
              </m:r>
              <m:r>
                <m:rPr>
                  <m:sty m:val="p"/>
                </m:rPr>
                <m:t>−</m:t>
              </m:r>
              <m:sSub>
                <m:e>
                  <m:r>
                    <m:t>q</m:t>
                  </m:r>
                </m:e>
                <m:sub>
                  <m:r>
                    <m:t>1</m:t>
                  </m:r>
                </m:sub>
              </m:sSub>
            </m:num>
            <m:den>
              <m:r>
                <m:t>1</m:t>
              </m:r>
              <m:r>
                <m:rPr>
                  <m:sty m:val="p"/>
                </m:rPr>
                <m:t>−</m:t>
              </m:r>
              <m:sSub>
                <m:e>
                  <m:r>
                    <m:t>q</m:t>
                  </m:r>
                </m:e>
                <m:sub>
                  <m:r>
                    <m:t>0</m:t>
                  </m:r>
                </m:sub>
              </m:sSub>
            </m:den>
          </m:f>
          <m:r>
            <m:t>  </m:t>
          </m:r>
          <m:d>
            <m:dPr>
              <m:begChr m:val="("/>
              <m:endChr m:val=")"/>
              <m:sepChr m:val=""/>
              <m:grow/>
            </m:dPr>
            <m:e>
              <m:r>
                <m:t>3.15</m:t>
              </m:r>
            </m:e>
          </m:d>
        </m:oMath>
      </m:oMathPara>
    </w:p>
    <w:p>
      <w:pPr>
        <w:pStyle w:val="FirstParagraph"/>
      </w:pPr>
      <w:r>
        <w:rPr>
          <w:iCs/>
          <w:i/>
        </w:rPr>
        <w:t xml:space="preserve">Status:</w:t>
      </w:r>
      <w:r>
        <w:t xml:space="preserve"> </w:t>
      </w:r>
      <w:r>
        <w:t xml:space="preserve">derived by substituting the Bernoulli probability mass function into the log-likelihood ratio of Basseville and Nikiforov (1993). A cumulative sum chart for Bernoulli observations is treated by Reynolds and Stoumbos (1999).</w:t>
      </w:r>
    </w:p>
    <w:p>
      <w:pPr>
        <w:pStyle w:val="BodyText"/>
      </w:pPr>
      <w:r>
        <w:t xml:space="preserve">The cumulative sum statistic and alarm time are (Basseville &amp; Nikiforov, 1993; Page, 1954):</w:t>
      </w:r>
    </w:p>
    <w:p>
      <w:pPr>
        <w:pStyle w:val="BodyText"/>
      </w:pPr>
      <m:oMathPara>
        <m:oMathParaPr>
          <m:jc m:val="center"/>
        </m:oMathParaPr>
        <m:oMath>
          <m:sSub>
            <m:e>
              <m:r>
                <m:t>G</m:t>
              </m:r>
            </m:e>
            <m:sub>
              <m:r>
                <m:t>t</m:t>
              </m:r>
            </m:sub>
          </m:sSub>
          <m:r>
            <m:rPr>
              <m:sty m:val="p"/>
            </m:rPr>
            <m:t>=</m:t>
          </m:r>
          <m:r>
            <m:rPr>
              <m:sty m:val="p"/>
            </m:rPr>
            <m:t>max</m:t>
          </m:r>
          <m:d>
            <m:dPr>
              <m:begChr m:val="("/>
              <m:endChr m:val=")"/>
              <m:sepChr m:val=""/>
              <m:grow/>
            </m:dPr>
            <m:e>
              <m:r>
                <m:t>0</m:t>
              </m:r>
              <m:r>
                <m:rPr>
                  <m:sty m:val="p"/>
                </m:rPr>
                <m:t>,</m:t>
              </m:r>
              <m:r>
                <m:t> </m:t>
              </m:r>
              <m:sSub>
                <m:e>
                  <m:r>
                    <m:t>G</m:t>
                  </m:r>
                </m:e>
                <m:sub>
                  <m:r>
                    <m:t>t</m:t>
                  </m:r>
                  <m:r>
                    <m:rPr>
                      <m:sty m:val="p"/>
                    </m:rPr>
                    <m:t>−</m:t>
                  </m:r>
                  <m:r>
                    <m:t>1</m:t>
                  </m:r>
                </m:sub>
              </m:sSub>
              <m:r>
                <m:rPr>
                  <m:sty m:val="p"/>
                </m:rPr>
                <m:t>+</m:t>
              </m:r>
              <m:sSub>
                <m:e>
                  <m:r>
                    <m:rPr>
                      <m:sty m:val="p"/>
                    </m:rPr>
                    <m:t>ℓ</m:t>
                  </m:r>
                </m:e>
                <m:sub>
                  <m:r>
                    <m:t>t</m:t>
                  </m:r>
                </m:sub>
              </m:sSub>
            </m:e>
          </m:d>
          <m:r>
            <m:rPr>
              <m:sty m:val="p"/>
            </m:rPr>
            <m:t>,</m:t>
          </m:r>
          <m:r>
            <m:t>  </m:t>
          </m:r>
          <m:sSub>
            <m:e>
              <m:r>
                <m:t>G</m:t>
              </m:r>
            </m:e>
            <m:sub>
              <m:r>
                <m:t>0</m:t>
              </m:r>
            </m:sub>
          </m:sSub>
          <m:r>
            <m:rPr>
              <m:sty m:val="p"/>
            </m:rPr>
            <m:t>=</m:t>
          </m:r>
          <m:r>
            <m:t>0</m:t>
          </m:r>
          <m:r>
            <m:t>  </m:t>
          </m:r>
          <m:d>
            <m:dPr>
              <m:begChr m:val="("/>
              <m:endChr m:val=")"/>
              <m:sepChr m:val=""/>
              <m:grow/>
            </m:dPr>
            <m:e>
              <m:r>
                <m:t>3.16</m:t>
              </m:r>
            </m:e>
          </m:d>
        </m:oMath>
      </m:oMathPara>
    </w:p>
    <w:p>
      <w:pPr>
        <w:pStyle w:val="FirstParagraph"/>
      </w:pPr>
      <m:oMathPara>
        <m:oMathParaPr>
          <m:jc m:val="center"/>
        </m:oMathParaPr>
        <m:oMath>
          <m:sSub>
            <m:e>
              <m:r>
                <m:t>T</m:t>
              </m:r>
            </m:e>
            <m:sub>
              <m:r>
                <m:t>A</m:t>
              </m:r>
            </m:sub>
          </m:sSub>
          <m:r>
            <m:rPr>
              <m:sty m:val="p"/>
            </m:rPr>
            <m:t>=</m:t>
          </m:r>
          <m:r>
            <m:rPr>
              <m:sty m:val="p"/>
            </m:rPr>
            <m:t>min</m:t>
          </m:r>
          <m:r>
            <m:rPr>
              <m:sty m:val="p"/>
            </m:rPr>
            <m:t>{</m:t>
          </m:r>
          <m:r>
            <m:t>t</m:t>
          </m:r>
          <m:r>
            <m:rPr>
              <m:sty m:val="p"/>
            </m:rPr>
            <m:t>:</m:t>
          </m:r>
          <m:sSub>
            <m:e>
              <m:r>
                <m:t>G</m:t>
              </m:r>
            </m:e>
            <m:sub>
              <m:r>
                <m:t>t</m:t>
              </m:r>
            </m:sub>
          </m:sSub>
          <m:r>
            <m:rPr>
              <m:sty m:val="p"/>
            </m:rPr>
            <m:t>≥</m:t>
          </m:r>
          <m:sSub>
            <m:e>
              <m:r>
                <m:t>h</m:t>
              </m:r>
            </m:e>
            <m:sub>
              <m:r>
                <m:t>G</m:t>
              </m:r>
            </m:sub>
          </m:sSub>
          <m:r>
            <m:rPr>
              <m:sty m:val="p"/>
            </m:rPr>
            <m:t>}</m:t>
          </m:r>
          <m:r>
            <m:t>  </m:t>
          </m:r>
          <m:d>
            <m:dPr>
              <m:begChr m:val="("/>
              <m:endChr m:val=")"/>
              <m:sepChr m:val=""/>
              <m:grow/>
            </m:dPr>
            <m:e>
              <m:r>
                <m:t>3.17</m:t>
              </m:r>
            </m:e>
          </m:d>
        </m:oMath>
      </m:oMathPara>
    </w:p>
    <w:p>
      <w:pPr>
        <w:pStyle w:val="FirstParagraph"/>
      </w:pPr>
      <w:r>
        <w:t xml:space="preserve">where h</w:t>
      </w:r>
      <w:r>
        <w:rPr>
          <w:vertAlign w:val="subscript"/>
        </w:rPr>
        <w:t xml:space="preserve">G</w:t>
      </w:r>
      <w:r>
        <w:t xml:space="preserve"> </w:t>
      </w:r>
      <w:r>
        <w:t xml:space="preserve">&gt; 0 is the alarm threshold.</w:t>
      </w:r>
    </w:p>
    <w:p>
      <w:pPr>
        <w:pStyle w:val="BodyText"/>
      </w:pPr>
      <w:r>
        <w:rPr>
          <w:iCs/>
          <w:i/>
        </w:rPr>
        <w:t xml:space="preserve">Status:</w:t>
      </w:r>
      <w:r>
        <w:t xml:space="preserve"> </w:t>
      </w:r>
      <w:r>
        <w:t xml:space="preserve">established from source.</w:t>
      </w:r>
    </w:p>
    <w:p>
      <w:pPr>
        <w:pStyle w:val="BodyText"/>
      </w:pPr>
      <w:r>
        <w:t xml:space="preserve">The per-episode false-alarm rate on benign episodes and the detection delay are defined as:</w:t>
      </w:r>
    </w:p>
    <w:p>
      <w:pPr>
        <w:pStyle w:val="BodyText"/>
      </w:pPr>
      <m:oMathPara>
        <m:oMathParaPr>
          <m:jc m:val="center"/>
        </m:oMathParaPr>
        <m:oMath>
          <m:sSub>
            <m:e>
              <m:r>
                <m:rPr>
                  <m:sty m:val="p"/>
                </m:rPr>
                <m:t>F</m:t>
              </m:r>
              <m:r>
                <m:rPr>
                  <m:sty m:val="p"/>
                </m:rPr>
                <m:t>A</m:t>
              </m:r>
            </m:e>
            <m:sub>
              <m:r>
                <m:rPr>
                  <m:sty m:val="p"/>
                </m:rPr>
                <m:t>e</m:t>
              </m:r>
              <m:r>
                <m:rPr>
                  <m:sty m:val="p"/>
                </m:rPr>
                <m:t>p</m:t>
              </m:r>
            </m:sub>
          </m:sSub>
          <m:d>
            <m:dPr>
              <m:begChr m:val="("/>
              <m:endChr m:val=")"/>
              <m:sepChr m:val=""/>
              <m:grow/>
            </m:dPr>
            <m:e>
              <m:sSub>
                <m:e>
                  <m:r>
                    <m:t>h</m:t>
                  </m:r>
                </m:e>
                <m:sub>
                  <m:r>
                    <m:t>G</m:t>
                  </m:r>
                </m:sub>
              </m:sSub>
            </m:e>
          </m:d>
          <m:r>
            <m:rPr>
              <m:sty m:val="p"/>
            </m:rPr>
            <m:t>=</m:t>
          </m:r>
          <m:f>
            <m:fPr>
              <m:type m:val="bar"/>
            </m:fPr>
            <m:num>
              <m:d>
                <m:dPr>
                  <m:begChr m:val="|"/>
                  <m:endChr m:val="|"/>
                  <m:sepChr m:val=""/>
                  <m:grow/>
                </m:dPr>
                <m:e>
                  <m:r>
                    <m:rPr>
                      <m:sty m:val="p"/>
                    </m:rPr>
                    <m:t>{</m:t>
                  </m:r>
                  <m:r>
                    <m:t>j</m:t>
                  </m:r>
                  <m:r>
                    <m:rPr>
                      <m:sty m:val="p"/>
                    </m:rPr>
                    <m:t>∈</m:t>
                  </m:r>
                  <m:sSub>
                    <m:e>
                      <m:r>
                        <m:t>E</m:t>
                      </m:r>
                    </m:e>
                    <m:sub>
                      <m:r>
                        <m:rPr>
                          <m:sty m:val="p"/>
                        </m:rPr>
                        <m:t>b</m:t>
                      </m:r>
                      <m:r>
                        <m:rPr>
                          <m:sty m:val="p"/>
                        </m:rPr>
                        <m:t>e</m:t>
                      </m:r>
                      <m:r>
                        <m:rPr>
                          <m:sty m:val="p"/>
                        </m:rPr>
                        <m:t>n</m:t>
                      </m:r>
                    </m:sub>
                  </m:sSub>
                  <m:r>
                    <m:rPr>
                      <m:sty m:val="p"/>
                    </m:rPr>
                    <m:t>:</m:t>
                  </m:r>
                  <m:limLow>
                    <m:e>
                      <m:r>
                        <m:rPr>
                          <m:sty m:val="p"/>
                        </m:rPr>
                        <m:t>max</m:t>
                      </m:r>
                    </m:e>
                    <m:lim>
                      <m:r>
                        <m:t>t</m:t>
                      </m:r>
                    </m:lim>
                  </m:limLow>
                  <m:sSubSup>
                    <m:e>
                      <m:r>
                        <m:t>G</m:t>
                      </m:r>
                    </m:e>
                    <m:sub>
                      <m:r>
                        <m:t>t</m:t>
                      </m:r>
                    </m:sub>
                    <m:sup>
                      <m:d>
                        <m:dPr>
                          <m:begChr m:val="("/>
                          <m:endChr m:val=")"/>
                          <m:sepChr m:val=""/>
                          <m:grow/>
                        </m:dPr>
                        <m:e>
                          <m:r>
                            <m:t>j</m:t>
                          </m:r>
                        </m:e>
                      </m:d>
                    </m:sup>
                  </m:sSubSup>
                  <m:r>
                    <m:rPr>
                      <m:sty m:val="p"/>
                    </m:rPr>
                    <m:t>≥</m:t>
                  </m:r>
                  <m:sSub>
                    <m:e>
                      <m:r>
                        <m:t>h</m:t>
                      </m:r>
                    </m:e>
                    <m:sub>
                      <m:r>
                        <m:t>G</m:t>
                      </m:r>
                    </m:sub>
                  </m:sSub>
                  <m:r>
                    <m:rPr>
                      <m:sty m:val="p"/>
                    </m:rPr>
                    <m:t>}</m:t>
                  </m:r>
                </m:e>
              </m:d>
            </m:num>
            <m:den>
              <m:d>
                <m:dPr>
                  <m:begChr m:val="|"/>
                  <m:endChr m:val="|"/>
                  <m:sepChr m:val=""/>
                  <m:grow/>
                </m:dPr>
                <m:e>
                  <m:sSub>
                    <m:e>
                      <m:r>
                        <m:t>E</m:t>
                      </m:r>
                    </m:e>
                    <m:sub>
                      <m:r>
                        <m:rPr>
                          <m:sty m:val="p"/>
                        </m:rPr>
                        <m:t>b</m:t>
                      </m:r>
                      <m:r>
                        <m:rPr>
                          <m:sty m:val="p"/>
                        </m:rPr>
                        <m:t>e</m:t>
                      </m:r>
                      <m:r>
                        <m:rPr>
                          <m:sty m:val="p"/>
                        </m:rPr>
                        <m:t>n</m:t>
                      </m:r>
                    </m:sub>
                  </m:sSub>
                </m:e>
              </m:d>
            </m:den>
          </m:f>
          <m:r>
            <m:t>  </m:t>
          </m:r>
          <m:d>
            <m:dPr>
              <m:begChr m:val="("/>
              <m:endChr m:val=")"/>
              <m:sepChr m:val=""/>
              <m:grow/>
            </m:dPr>
            <m:e>
              <m:r>
                <m:t>3.18</m:t>
              </m:r>
            </m:e>
          </m:d>
        </m:oMath>
      </m:oMathPara>
    </w:p>
    <w:p>
      <w:pPr>
        <w:pStyle w:val="FirstParagraph"/>
      </w:pPr>
      <m:oMathPara>
        <m:oMathParaPr>
          <m:jc m:val="center"/>
        </m:oMathParaPr>
        <m:oMath>
          <m:sSub>
            <m:e>
              <m:r>
                <m:t>τ</m:t>
              </m:r>
            </m:e>
            <m:sub>
              <m:r>
                <m:t>d</m:t>
              </m:r>
            </m:sub>
          </m:sSub>
          <m:r>
            <m:rPr>
              <m:sty m:val="p"/>
            </m:rPr>
            <m:t>=</m:t>
          </m:r>
          <m:sSub>
            <m:e>
              <m:r>
                <m:t>T</m:t>
              </m:r>
            </m:e>
            <m:sub>
              <m:r>
                <m:t>A</m:t>
              </m:r>
            </m:sub>
          </m:sSub>
          <m:r>
            <m:rPr>
              <m:sty m:val="p"/>
            </m:rPr>
            <m:t>−</m:t>
          </m:r>
          <m:r>
            <m:t>ν</m:t>
          </m:r>
          <m:r>
            <m:rPr>
              <m:sty m:val="p"/>
            </m:rPr>
            <m:t>,</m:t>
          </m:r>
          <m:r>
            <m:t>  </m:t>
          </m:r>
          <m:sSub>
            <m:e>
              <m:r>
                <m:t>T</m:t>
              </m:r>
            </m:e>
            <m:sub>
              <m:r>
                <m:t>A</m:t>
              </m:r>
            </m:sub>
          </m:sSub>
          <m:r>
            <m:rPr>
              <m:sty m:val="p"/>
            </m:rPr>
            <m:t>≥</m:t>
          </m:r>
          <m:r>
            <m:t>ν</m:t>
          </m:r>
          <m:r>
            <m:t>  </m:t>
          </m:r>
          <m:d>
            <m:dPr>
              <m:begChr m:val="("/>
              <m:endChr m:val=")"/>
              <m:sepChr m:val=""/>
              <m:grow/>
            </m:dPr>
            <m:e>
              <m:r>
                <m:t>3.19</m:t>
              </m:r>
            </m:e>
          </m:d>
        </m:oMath>
      </m:oMathPara>
    </w:p>
    <w:p>
      <w:pPr>
        <w:pStyle w:val="FirstParagraph"/>
      </w:pPr>
      <w:r>
        <w:t xml:space="preserve">where E</w:t>
      </w:r>
      <w:r>
        <w:rPr>
          <w:vertAlign w:val="subscript"/>
        </w:rPr>
        <w:t xml:space="preserve">ben</w:t>
      </w:r>
      <w:r>
        <w:t xml:space="preserve"> </w:t>
      </w:r>
      <w:r>
        <w:t xml:space="preserve">is the set of benign episodes in the fitting portion of a fold, G</w:t>
      </w:r>
      <w:r>
        <w:rPr>
          <w:vertAlign w:val="superscript"/>
        </w:rPr>
        <w:t xml:space="preserve">(j)</w:t>
      </w:r>
      <w:r>
        <w:rPr>
          <w:vertAlign w:val="subscript"/>
        </w:rPr>
        <w:t xml:space="preserve">t</w:t>
      </w:r>
      <w:r>
        <w:t xml:space="preserve"> </w:t>
      </w:r>
      <w:r>
        <w:t xml:space="preserve">is the statistic in benign episode j, τ</w:t>
      </w:r>
      <w:r>
        <w:rPr>
          <w:vertAlign w:val="subscript"/>
        </w:rPr>
        <w:t xml:space="preserve">d</w:t>
      </w:r>
      <w:r>
        <w:t xml:space="preserve"> </w:t>
      </w:r>
      <w:r>
        <w:t xml:space="preserve">is the detection delay, and ν is the first step at which injected content enters the context.</w:t>
      </w:r>
    </w:p>
    <w:p>
      <w:pPr>
        <w:pStyle w:val="BodyText"/>
      </w:pPr>
      <w:r>
        <w:rPr>
          <w:iCs/>
          <w:i/>
        </w:rPr>
        <w:t xml:space="preserve">Status:</w:t>
      </w:r>
      <w:r>
        <w:t xml:space="preserve"> </w:t>
      </w:r>
      <w:r>
        <w:t xml:space="preserve">design definitions.</w:t>
      </w:r>
    </w:p>
    <w:p>
      <w:pPr>
        <w:pStyle w:val="BodyText"/>
      </w:pPr>
      <w:r>
        <w:t xml:space="preserve">The parameters are determined as follows:</w:t>
      </w:r>
    </w:p>
    <w:p>
      <w:pPr>
        <w:numPr>
          <w:ilvl w:val="0"/>
          <w:numId w:val="1143"/>
        </w:numPr>
        <w:pStyle w:val="Compact"/>
      </w:pPr>
      <w:r>
        <w:t xml:space="preserve">q</w:t>
      </w:r>
      <w:r>
        <w:rPr>
          <w:vertAlign w:val="subscript"/>
        </w:rPr>
        <w:t xml:space="preserve">0</w:t>
      </w:r>
      <w:r>
        <w:t xml:space="preserve"> </w:t>
      </w:r>
      <w:r>
        <w:t xml:space="preserve">is the empirical rate of e</w:t>
      </w:r>
      <w:r>
        <w:rPr>
          <w:vertAlign w:val="subscript"/>
        </w:rPr>
        <w:t xml:space="preserve">t</w:t>
      </w:r>
      <w:r>
        <w:t xml:space="preserve"> </w:t>
      </w:r>
      <w:r>
        <w:t xml:space="preserve">= 1 on benign fitting steps, floored at a declared minimum.</w:t>
      </w:r>
    </w:p>
    <w:p>
      <w:pPr>
        <w:numPr>
          <w:ilvl w:val="0"/>
          <w:numId w:val="1143"/>
        </w:numPr>
        <w:pStyle w:val="Compact"/>
      </w:pPr>
      <w:r>
        <w:t xml:space="preserve">q</w:t>
      </w:r>
      <w:r>
        <w:rPr>
          <w:vertAlign w:val="subscript"/>
        </w:rPr>
        <w:t xml:space="preserve">1</w:t>
      </w:r>
      <w:r>
        <w:t xml:space="preserve"> </w:t>
      </w:r>
      <w:r>
        <w:t xml:space="preserve">is declared and reported over a range, because the scarcity of multi-step attacks does not allow it to be estimated reliably.</w:t>
      </w:r>
    </w:p>
    <w:p>
      <w:pPr>
        <w:numPr>
          <w:ilvl w:val="0"/>
          <w:numId w:val="1143"/>
        </w:numPr>
        <w:pStyle w:val="Compact"/>
      </w:pPr>
      <w:r>
        <w:t xml:space="preserve">h</w:t>
      </w:r>
      <w:r>
        <w:rPr>
          <w:vertAlign w:val="subscript"/>
        </w:rPr>
        <w:t xml:space="preserve">G</w:t>
      </w:r>
      <w:r>
        <w:t xml:space="preserve"> </w:t>
      </w:r>
      <w:r>
        <w:t xml:space="preserve">is the smallest value for which Equation 3.18 does not exceed a declared target.</w:t>
      </w:r>
    </w:p>
    <w:p>
      <w:pPr>
        <w:pStyle w:val="FirstParagraph"/>
      </w:pPr>
      <w:r>
        <w:t xml:space="preserve">The procedure has known optimality properties in sequential change detection: Lorden (1971) proposed stopping rules that are asymptotically optimal in a defined sense, and Moustakides (1986) showed Page’s stopping time to be optimal in a stronger sense. Both results are proved within a sequential-analysis model whose conditions could not be inspected during verification and are not claimed to hold for agent trajectories, where observations are neither independent nor drawn from known distributions. They therefore motivate the procedure and provide no guarantee in this setting. Given the short trajectories of Section 3.11.4, this analysis may have little to detect.</w:t>
      </w:r>
    </w:p>
    <w:bookmarkEnd w:id="150"/>
    <w:bookmarkStart w:id="151" w:name="X246b731a5209d0bcbbe4c68e082c8faebbbec5d"/>
    <w:p>
      <w:pPr>
        <w:pStyle w:val="Heading3"/>
      </w:pPr>
      <w:r>
        <w:t xml:space="preserve">3.11.11 Recorded-trace replay sensitivity analysis</w:t>
      </w:r>
      <w:r>
        <w:t xml:space="preserve"> </w:t>
      </w:r>
      <w:r>
        <w:rPr>
          <w:iCs/>
          <w:i/>
        </w:rPr>
        <w:t xml:space="preserve">[proposed scope amendment, pending supervisor approval]</w:t>
      </w:r>
    </w:p>
    <w:p>
      <w:pPr>
        <w:pStyle w:val="FirstParagraph"/>
      </w:pPr>
      <w:r>
        <w:t xml:space="preserve">Live enforcing-mode runs were not possible (Section 3.11.1). To obtain any evidence about enforcement, each recorded episode is re-executed in the benchmark’s own sandbox with REM at the tool boundary:</w:t>
      </w:r>
    </w:p>
    <w:p>
      <w:pPr>
        <w:numPr>
          <w:ilvl w:val="0"/>
          <w:numId w:val="1144"/>
        </w:numPr>
        <w:pStyle w:val="Compact"/>
      </w:pPr>
      <w:r>
        <w:t xml:space="preserve">a replay element emits the agent’s recorded messages in order;</w:t>
      </w:r>
    </w:p>
    <w:p>
      <w:pPr>
        <w:numPr>
          <w:ilvl w:val="0"/>
          <w:numId w:val="1144"/>
        </w:numPr>
        <w:pStyle w:val="Compact"/>
      </w:pPr>
      <w:r>
        <w:t xml:space="preserve">the benchmark executes the released calls;</w:t>
      </w:r>
    </w:p>
    <w:p>
      <w:pPr>
        <w:numPr>
          <w:ilvl w:val="0"/>
          <w:numId w:val="1144"/>
        </w:numPr>
        <w:pStyle w:val="Compact"/>
      </w:pPr>
      <w:r>
        <w:t xml:space="preserve">the benchmark’s utility and security checks score the result.</w:t>
      </w:r>
    </w:p>
    <w:p>
      <w:pPr>
        <w:pStyle w:val="FirstParagraph"/>
      </w:pPr>
      <w:r>
        <w:rPr>
          <w:bCs/>
          <w:b/>
        </w:rPr>
        <w:t xml:space="preserve">Assumption NO-ADAPT.</w:t>
      </w:r>
      <w:r>
        <w:t xml:space="preserve"> </w:t>
      </w:r>
      <w:r>
        <w:t xml:space="preserve">The agent emits the calls it emitted in the recorded run, whatever REM does. A live agent may retry, rephrase or choose another tool after a refusal. Replay results therefore do not estimate enforcement against live or adaptive agents, and they cannot distinguish step-level from episode-level semantics.</w:t>
      </w:r>
    </w:p>
    <w:p>
      <w:pPr>
        <w:pStyle w:val="BodyText"/>
      </w:pPr>
      <w:r>
        <w:rPr>
          <w:bCs/>
          <w:b/>
        </w:rPr>
        <w:t xml:space="preserve">Validity checks.</w:t>
      </w:r>
      <w:r>
        <w:t xml:space="preserve"> </w:t>
      </w:r>
      <w:r>
        <w:t xml:space="preserve">An all-Allow replay must reproduce the recorded utility and security outcome. Episodes for which it does not are excluded from every replay metric, and the exclusions are reported.</w:t>
      </w:r>
    </w:p>
    <w:p>
      <w:pPr>
        <w:pStyle w:val="BodyText"/>
      </w:pPr>
      <w:r>
        <w:rPr>
          <w:bCs/>
          <w:b/>
        </w:rPr>
        <w:t xml:space="preserve">Not independent repetitions.</w:t>
      </w:r>
      <w:r>
        <w:t xml:space="preserve"> </w:t>
      </w:r>
      <w:r>
        <w:t xml:space="preserve">Replaying the same recorded trace several times is deterministic. It is not an independent repetition of LLM behavior and does not substitute for the repeated runs of Section 3.11.9.</w:t>
      </w:r>
    </w:p>
    <w:p>
      <w:pPr>
        <w:pStyle w:val="BodyText"/>
      </w:pPr>
      <w:r>
        <w:rPr>
          <w:bCs/>
          <w:b/>
        </w:rPr>
        <w:t xml:space="preserve">Relation to the excluded method.</w:t>
      </w:r>
      <w:r>
        <w:t xml:space="preserve"> </w:t>
      </w:r>
      <w:r>
        <w:t xml:space="preserve">This analysis differs from counterfactual estimation of intervention value (Section 3.1.4): it executes no alternative actions and makes no claim about what an agent would have done instead.</w:t>
      </w:r>
    </w:p>
    <w:bookmarkEnd w:id="151"/>
    <w:bookmarkEnd w:id="152"/>
    <w:bookmarkStart w:id="156" w:name="evaluation-metrics"/>
    <w:p>
      <w:pPr>
        <w:pStyle w:val="Heading2"/>
      </w:pPr>
      <w:r>
        <w:t xml:space="preserve">3.12 Evaluation Metrics</w:t>
      </w:r>
    </w:p>
    <w:bookmarkStart w:id="153" w:name="primary-metrics"/>
    <w:p>
      <w:pPr>
        <w:pStyle w:val="Heading3"/>
      </w:pPr>
      <w:r>
        <w:t xml:space="preserve">3.12.1 Primary metrics</w:t>
      </w:r>
    </w:p>
    <w:p>
      <w:pPr>
        <w:pStyle w:val="FirstParagraph"/>
      </w:pPr>
      <w:r>
        <w:t xml:space="preserve">Primary metrics do not depend on declared costs.</w:t>
      </w:r>
    </w:p>
    <w:p>
      <w:pPr>
        <w:pStyle w:val="BodyText"/>
      </w:pPr>
      <w:r>
        <w:rPr>
          <w:bCs/>
          <w:b/>
        </w:rPr>
        <w:t xml:space="preserve">Table 3.15. Primary metrics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Unit</w:t>
            </w:r>
          </w:p>
        </w:tc>
      </w:tr>
      <w:tr>
        <w:tc>
          <w:tcPr/>
          <w:p>
            <w:pPr>
              <w:pStyle w:val="Compact"/>
              <w:jc w:val="left"/>
            </w:pPr>
            <w:r>
              <w:t xml:space="preserve">Attack success rate (ASR)</w:t>
            </w:r>
          </w:p>
        </w:tc>
        <w:tc>
          <w:tcPr/>
          <w:p>
            <w:pPr>
              <w:pStyle w:val="Compact"/>
              <w:jc w:val="left"/>
            </w:pPr>
            <w:r>
              <w:t xml:space="preserve">Fraction of attacked episodes in which the benchmark’s security check reports that the injection goal was achieved (enforcing mode)</w:t>
            </w:r>
          </w:p>
        </w:tc>
        <w:tc>
          <w:tcPr/>
          <w:p>
            <w:pPr>
              <w:pStyle w:val="Compact"/>
              <w:jc w:val="left"/>
            </w:pPr>
            <w:r>
              <w:t xml:space="preserve">Episode</w:t>
            </w:r>
          </w:p>
        </w:tc>
      </w:tr>
      <w:tr>
        <w:tc>
          <w:tcPr/>
          <w:p>
            <w:pPr>
              <w:pStyle w:val="Compact"/>
              <w:jc w:val="left"/>
            </w:pPr>
            <w:r>
              <w:t xml:space="preserve">Benign utility</w:t>
            </w:r>
          </w:p>
        </w:tc>
        <w:tc>
          <w:tcPr/>
          <w:p>
            <w:pPr>
              <w:pStyle w:val="Compact"/>
              <w:jc w:val="left"/>
            </w:pPr>
            <w:r>
              <w:t xml:space="preserve">Fraction of episodes without injection in which the benchmark’s utility check passes</w:t>
            </w:r>
          </w:p>
        </w:tc>
        <w:tc>
          <w:tcPr/>
          <w:p>
            <w:pPr>
              <w:pStyle w:val="Compact"/>
              <w:jc w:val="left"/>
            </w:pPr>
            <w:r>
              <w:t xml:space="preserve">Episode</w:t>
            </w:r>
          </w:p>
        </w:tc>
      </w:tr>
      <w:tr>
        <w:tc>
          <w:tcPr/>
          <w:p>
            <w:pPr>
              <w:pStyle w:val="Compact"/>
              <w:jc w:val="left"/>
            </w:pPr>
            <w:r>
              <w:t xml:space="preserve">Utility under attack</w:t>
            </w:r>
          </w:p>
        </w:tc>
        <w:tc>
          <w:tcPr/>
          <w:p>
            <w:pPr>
              <w:pStyle w:val="Compact"/>
              <w:jc w:val="left"/>
            </w:pPr>
            <w:r>
              <w:t xml:space="preserve">Fraction of attacked episodes in which the utility check passes</w:t>
            </w:r>
          </w:p>
        </w:tc>
        <w:tc>
          <w:tcPr/>
          <w:p>
            <w:pPr>
              <w:pStyle w:val="Compact"/>
              <w:jc w:val="left"/>
            </w:pPr>
            <w:r>
              <w:t xml:space="preserve">Episode</w:t>
            </w:r>
          </w:p>
        </w:tc>
      </w:tr>
      <w:tr>
        <w:tc>
          <w:tcPr/>
          <w:p>
            <w:pPr>
              <w:pStyle w:val="Compact"/>
              <w:jc w:val="left"/>
            </w:pPr>
            <w:r>
              <w:t xml:space="preserve">Intervention rates</w:t>
            </w:r>
          </w:p>
        </w:tc>
        <w:tc>
          <w:tcPr/>
          <w:p>
            <w:pPr>
              <w:pStyle w:val="Compact"/>
              <w:jc w:val="left"/>
            </w:pPr>
            <w:r>
              <w:t xml:space="preserve">Fraction of steps receiving Modify, Escalate, or Block, reported per verdict and separately for y = 0 and y = 1 steps</w:t>
            </w:r>
          </w:p>
        </w:tc>
        <w:tc>
          <w:tcPr/>
          <w:p>
            <w:pPr>
              <w:pStyle w:val="Compact"/>
              <w:jc w:val="left"/>
            </w:pPr>
            <w:r>
              <w:t xml:space="preserve">Step</w:t>
            </w:r>
          </w:p>
        </w:tc>
      </w:tr>
      <w:tr>
        <w:tc>
          <w:tcPr/>
          <w:p>
            <w:pPr>
              <w:pStyle w:val="Compact"/>
              <w:jc w:val="left"/>
            </w:pPr>
            <w:r>
              <w:t xml:space="preserve">Step false-positive rate</w:t>
            </w:r>
          </w:p>
        </w:tc>
        <w:tc>
          <w:tcPr/>
          <w:p>
            <w:pPr>
              <w:pStyle w:val="Compact"/>
              <w:jc w:val="left"/>
            </w:pPr>
            <w:r>
              <w:t xml:space="preserve">Interventions on y = 0 steps divided by the number of y = 0 steps</w:t>
            </w:r>
          </w:p>
        </w:tc>
        <w:tc>
          <w:tcPr/>
          <w:p>
            <w:pPr>
              <w:pStyle w:val="Compact"/>
              <w:jc w:val="left"/>
            </w:pPr>
            <w:r>
              <w:t xml:space="preserve">Step</w:t>
            </w:r>
          </w:p>
        </w:tc>
      </w:tr>
      <w:tr>
        <w:tc>
          <w:tcPr/>
          <w:p>
            <w:pPr>
              <w:pStyle w:val="Compact"/>
              <w:jc w:val="left"/>
            </w:pPr>
            <w:r>
              <w:t xml:space="preserve">Residual ASR under Modify</w:t>
            </w:r>
          </w:p>
        </w:tc>
        <w:tc>
          <w:tcPr/>
          <w:p>
            <w:pPr>
              <w:pStyle w:val="Compact"/>
              <w:jc w:val="left"/>
            </w:pPr>
            <w:r>
              <w:t xml:space="preserve">ASR in episodes where Modify was applied to an adversarial step</w:t>
            </w:r>
          </w:p>
        </w:tc>
        <w:tc>
          <w:tcPr/>
          <w:p>
            <w:pPr>
              <w:pStyle w:val="Compact"/>
              <w:jc w:val="left"/>
            </w:pPr>
            <w:r>
              <w:t xml:space="preserve">Episode</w:t>
            </w:r>
          </w:p>
        </w:tc>
      </w:tr>
      <w:tr>
        <w:tc>
          <w:tcPr/>
          <w:p>
            <w:pPr>
              <w:pStyle w:val="Compact"/>
              <w:jc w:val="left"/>
            </w:pPr>
            <w:r>
              <w:t xml:space="preserve">Escalation rate</w:t>
            </w:r>
          </w:p>
        </w:tc>
        <w:tc>
          <w:tcPr/>
          <w:p>
            <w:pPr>
              <w:pStyle w:val="Compact"/>
              <w:jc w:val="left"/>
            </w:pPr>
            <w:r>
              <w:t xml:space="preserve">Fraction of steps receiving Escalate, with outcomes under the idealized reviewer and the no-reviewer bound</w:t>
            </w:r>
          </w:p>
        </w:tc>
        <w:tc>
          <w:tcPr/>
          <w:p>
            <w:pPr>
              <w:pStyle w:val="Compact"/>
              <w:jc w:val="left"/>
            </w:pPr>
            <w:r>
              <w:t xml:space="preserve">Step</w:t>
            </w:r>
          </w:p>
        </w:tc>
      </w:tr>
      <w:tr>
        <w:tc>
          <w:tcPr/>
          <w:p>
            <w:pPr>
              <w:pStyle w:val="Compact"/>
              <w:jc w:val="left"/>
            </w:pPr>
            <w:r>
              <w:t xml:space="preserve">Latency</w:t>
            </w:r>
          </w:p>
        </w:tc>
        <w:tc>
          <w:tcPr/>
          <w:p>
            <w:pPr>
              <w:pStyle w:val="Compact"/>
              <w:jc w:val="left"/>
            </w:pPr>
            <w:r>
              <w:t xml:space="preserve">Wall-clock time of REM’s per-step processing, excluding LLM inference and tool execution; median and 95th percentile</w:t>
            </w:r>
          </w:p>
        </w:tc>
        <w:tc>
          <w:tcPr/>
          <w:p>
            <w:pPr>
              <w:pStyle w:val="Compact"/>
              <w:jc w:val="left"/>
            </w:pPr>
            <w:r>
              <w:t xml:space="preserve">Step</w:t>
            </w:r>
          </w:p>
        </w:tc>
      </w:tr>
    </w:tbl>
    <w:p>
      <w:pPr>
        <w:pStyle w:val="BodyText"/>
      </w:pPr>
      <w:r>
        <w:t xml:space="preserve">ASR is never reported without benign utility and utility under attack. A low ASR can reflect an agent that fails to complete tasks rather than an effective defense (Y. Wang et al., 2026).</w:t>
      </w:r>
    </w:p>
    <w:bookmarkEnd w:id="153"/>
    <w:bookmarkStart w:id="154" w:name="secondary-metrics"/>
    <w:p>
      <w:pPr>
        <w:pStyle w:val="Heading3"/>
      </w:pPr>
      <w:r>
        <w:t xml:space="preserve">3.12.2 Secondary metrics</w:t>
      </w:r>
    </w:p>
    <w:p>
      <w:pPr>
        <w:pStyle w:val="FirstParagraph"/>
      </w:pPr>
      <w:r>
        <w:rPr>
          <w:bCs/>
          <w:b/>
        </w:rPr>
        <w:t xml:space="preserve">Discrimination.</w:t>
      </w:r>
      <w:r>
        <w:t xml:space="preserve"> </w:t>
      </w:r>
      <w:r>
        <w:t xml:space="preserve">ROC-AUC (Fawcett, 2006) and PR-AUC (Davis &amp; Goadrich, 2006) are computed on held-out probabilities. PR-AUC is emphasized because positive steps are rare. Within a fold, both are unchanged by calibration with γ</w:t>
      </w:r>
      <w:r>
        <w:rPr>
          <w:vertAlign w:val="subscript"/>
        </w:rPr>
        <w:t xml:space="preserve">1</w:t>
      </w:r>
      <w:r>
        <w:t xml:space="preserve"> </w:t>
      </w:r>
      <w:r>
        <w:t xml:space="preserve">&gt; 0. Because each outer fold has its own calibration map, metrics are reported per fold as well as on the pooled held-out predictions.</w:t>
      </w:r>
    </w:p>
    <w:p>
      <w:pPr>
        <w:pStyle w:val="BodyText"/>
      </w:pPr>
      <w:r>
        <w:rPr>
          <w:bCs/>
          <w:b/>
        </w:rPr>
        <w:t xml:space="preserve">Calibration error.</w:t>
      </w:r>
      <w:r>
        <w:t xml:space="preserve"> </w:t>
      </w:r>
      <w:r>
        <w:t xml:space="preserve">For binary outcomes, calibration error is measured on the positive-class probability (Naeini et al., 2015) with M equal-width bins (Guo et al., 2017):</w:t>
      </w:r>
    </w:p>
    <w:p>
      <w:pPr>
        <w:pStyle w:val="BodyText"/>
      </w:pPr>
      <m:oMathPara>
        <m:oMathParaPr>
          <m:jc m:val="center"/>
        </m:oMathParaPr>
        <m:oMath>
          <m:r>
            <m:rPr>
              <m:sty m:val="p"/>
            </m:rPr>
            <m:t>E</m:t>
          </m:r>
          <m:r>
            <m:rPr>
              <m:sty m:val="p"/>
            </m:rPr>
            <m:t>C</m:t>
          </m:r>
          <m:r>
            <m:rPr>
              <m:sty m:val="p"/>
            </m:rPr>
            <m:t>E</m:t>
          </m:r>
          <m:r>
            <m:rPr>
              <m:sty m:val="p"/>
            </m:rPr>
            <m:t>=</m:t>
          </m:r>
          <m:nary>
            <m:naryPr>
              <m:chr m:val="∑"/>
              <m:limLoc m:val="undOvr"/>
              <m:subHide m:val="off"/>
              <m:supHide m:val="off"/>
            </m:naryPr>
            <m:sub>
              <m:r>
                <m:t>m</m:t>
              </m:r>
              <m:r>
                <m:rPr>
                  <m:sty m:val="p"/>
                </m:rPr>
                <m:t>=</m:t>
              </m:r>
              <m:r>
                <m:t>1</m:t>
              </m:r>
            </m:sub>
            <m:sup>
              <m:r>
                <m:t>M</m:t>
              </m:r>
            </m:sup>
            <m:e>
              <m:f>
                <m:fPr>
                  <m:type m:val="bar"/>
                </m:fPr>
                <m:num>
                  <m:d>
                    <m:dPr>
                      <m:begChr m:val="|"/>
                      <m:endChr m:val="|"/>
                      <m:sepChr m:val=""/>
                      <m:grow/>
                    </m:dPr>
                    <m:e>
                      <m:sSub>
                        <m:e>
                          <m:r>
                            <m:t>B</m:t>
                          </m:r>
                        </m:e>
                        <m:sub>
                          <m:r>
                            <m:t>m</m:t>
                          </m:r>
                        </m:sub>
                      </m:sSub>
                    </m:e>
                  </m:d>
                </m:num>
                <m:den>
                  <m:r>
                    <m:t>N</m:t>
                  </m:r>
                </m:den>
              </m:f>
            </m:e>
          </m:nary>
          <m:d>
            <m:dPr>
              <m:begChr m:val="|"/>
              <m:endChr m:val="|"/>
              <m:sepChr m:val=""/>
              <m:grow/>
            </m:dPr>
            <m:e>
              <m:acc>
                <m:accPr>
                  <m:chr m:val="‾"/>
                </m:accPr>
                <m:e>
                  <m:r>
                    <m:t>y</m:t>
                  </m:r>
                </m:e>
              </m:acc>
              <m:d>
                <m:dPr>
                  <m:begChr m:val="("/>
                  <m:endChr m:val=")"/>
                  <m:sepChr m:val=""/>
                  <m:grow/>
                </m:dPr>
                <m:e>
                  <m:sSub>
                    <m:e>
                      <m:r>
                        <m:t>B</m:t>
                      </m:r>
                    </m:e>
                    <m:sub>
                      <m:r>
                        <m:t>m</m:t>
                      </m:r>
                    </m:sub>
                  </m:sSub>
                </m:e>
              </m:d>
              <m:r>
                <m:rPr>
                  <m:sty m:val="p"/>
                </m:rPr>
                <m:t>−</m:t>
              </m:r>
              <m:acc>
                <m:accPr>
                  <m:chr m:val="‾"/>
                </m:accPr>
                <m:e>
                  <m:r>
                    <m:t>p</m:t>
                  </m:r>
                </m:e>
              </m:acc>
              <m:d>
                <m:dPr>
                  <m:begChr m:val="("/>
                  <m:endChr m:val=")"/>
                  <m:sepChr m:val=""/>
                  <m:grow/>
                </m:dPr>
                <m:e>
                  <m:sSub>
                    <m:e>
                      <m:r>
                        <m:t>B</m:t>
                      </m:r>
                    </m:e>
                    <m:sub>
                      <m:r>
                        <m:t>m</m:t>
                      </m:r>
                    </m:sub>
                  </m:sSub>
                </m:e>
              </m:d>
            </m:e>
          </m:d>
          <m:r>
            <m:rPr>
              <m:sty m:val="p"/>
            </m:rPr>
            <m:t>,</m:t>
          </m:r>
          <m:r>
            <m:t>  </m:t>
          </m:r>
          <m:sSub>
            <m:e>
              <m:r>
                <m:t>B</m:t>
              </m:r>
            </m:e>
            <m:sub>
              <m:r>
                <m:t>m</m:t>
              </m:r>
            </m:sub>
          </m:sSub>
          <m:r>
            <m:rPr>
              <m:sty m:val="p"/>
            </m:rPr>
            <m:t>=</m:t>
          </m:r>
          <m:r>
            <m:rPr>
              <m:sty m:val="p"/>
            </m:rPr>
            <m:t>{</m:t>
          </m:r>
          <m:r>
            <m:t>i</m:t>
          </m:r>
          <m:r>
            <m:rPr>
              <m:sty m:val="p"/>
            </m:rPr>
            <m:t>:</m:t>
          </m:r>
          <m:d>
            <m:dPr>
              <m:begChr m:val="("/>
              <m:endChr m:val=")"/>
              <m:sepChr m:val=""/>
              <m:grow/>
            </m:dPr>
            <m:e>
              <m:r>
                <m:t>m</m:t>
              </m:r>
              <m:r>
                <m:rPr>
                  <m:sty m:val="p"/>
                </m:rPr>
                <m:t>−</m:t>
              </m:r>
              <m:r>
                <m:t>1</m:t>
              </m:r>
            </m:e>
          </m:d>
          <m:r>
            <m:rPr>
              <m:sty m:val="p"/>
            </m:rPr>
            <m:t>/</m:t>
          </m:r>
          <m:r>
            <m:t>M</m:t>
          </m:r>
          <m:r>
            <m:rPr>
              <m:sty m:val="p"/>
            </m:rPr>
            <m:t>&lt;</m:t>
          </m:r>
          <m:sSub>
            <m:e>
              <m:r>
                <m:t>p</m:t>
              </m:r>
            </m:e>
            <m:sub>
              <m:r>
                <m:t>i</m:t>
              </m:r>
            </m:sub>
          </m:sSub>
          <m:r>
            <m:rPr>
              <m:sty m:val="p"/>
            </m:rPr>
            <m:t>≤</m:t>
          </m:r>
          <m:r>
            <m:t>m</m:t>
          </m:r>
          <m:r>
            <m:rPr>
              <m:sty m:val="p"/>
            </m:rPr>
            <m:t>/</m:t>
          </m:r>
          <m:r>
            <m:t>M</m:t>
          </m:r>
          <m:r>
            <m:rPr>
              <m:sty m:val="p"/>
            </m:rPr>
            <m:t>}</m:t>
          </m:r>
          <m:r>
            <m:t>  </m:t>
          </m:r>
          <m:d>
            <m:dPr>
              <m:begChr m:val="("/>
              <m:endChr m:val=")"/>
              <m:sepChr m:val=""/>
              <m:grow/>
            </m:dPr>
            <m:e>
              <m:r>
                <m:t>3.20</m:t>
              </m:r>
            </m:e>
          </m:d>
        </m:oMath>
      </m:oMathPara>
    </w:p>
    <w:p>
      <w:pPr>
        <w:pStyle w:val="FirstParagraph"/>
      </w:pPr>
      <w:r>
        <w:t xml:space="preserve">where N is the number of held-out steps, ȳ(B</w:t>
      </w:r>
      <w:r>
        <w:rPr>
          <w:vertAlign w:val="subscript"/>
        </w:rPr>
        <w:t xml:space="preserve">m</w:t>
      </w:r>
      <w:r>
        <w:t xml:space="preserve">) is the fraction of positive steps in bin m, p̄(B</w:t>
      </w:r>
      <w:r>
        <w:rPr>
          <w:vertAlign w:val="subscript"/>
        </w:rPr>
        <w:t xml:space="preserve">m</w:t>
      </w:r>
      <w:r>
        <w:t xml:space="preserve">) is the mean calibrated probability in bin m, and M is declared in advance (steps with p</w:t>
      </w:r>
      <w:r>
        <w:rPr>
          <w:vertAlign w:val="subscript"/>
        </w:rPr>
        <w:t xml:space="preserve">i</w:t>
      </w:r>
      <w:r>
        <w:t xml:space="preserve"> </w:t>
      </w:r>
      <w:r>
        <w:t xml:space="preserve">= 0 are assigned to the first bin).</w:t>
      </w:r>
    </w:p>
    <w:p>
      <w:pPr>
        <w:pStyle w:val="BodyText"/>
      </w:pPr>
      <w:r>
        <w:rPr>
          <w:iCs/>
          <w:i/>
        </w:rPr>
        <w:t xml:space="preserve">Status:</w:t>
      </w:r>
      <w:r>
        <w:t xml:space="preserve"> </w:t>
      </w:r>
      <w:r>
        <w:t xml:space="preserve">adapted from source. Naeini et al. (2015) supply the binary form; Guo et al. (2017) supply the equal-width binning.</w:t>
      </w:r>
    </w:p>
    <w:p>
      <w:pPr>
        <w:pStyle w:val="BodyText"/>
      </w:pPr>
      <w:r>
        <w:t xml:space="preserve">Because a global ECE averages over all probabilities, reliability is also reported within declared windows around each tier’s threshold p</w:t>
      </w:r>
      <w:r>
        <w:rPr>
          <w:vertAlign w:val="superscript"/>
        </w:rPr>
        <w:t xml:space="preserve">*</w:t>
      </w:r>
      <w:r>
        <w:rPr>
          <w:vertAlign w:val="subscript"/>
        </w:rPr>
        <w:t xml:space="preserve">k</w:t>
      </w:r>
      <w:r>
        <w:t xml:space="preserve">.</w:t>
      </w:r>
    </w:p>
    <w:p>
      <w:pPr>
        <w:pStyle w:val="BodyText"/>
      </w:pPr>
      <w:r>
        <w:rPr>
          <w:bCs/>
          <w:b/>
        </w:rPr>
        <w:t xml:space="preserve">Log-loss.</w:t>
      </w:r>
      <w:r>
        <w:t xml:space="preserve"> </w:t>
      </w:r>
      <w:r>
        <w:t xml:space="preserve">The mean negative log-likelihood of held-out steps is:</w:t>
      </w:r>
    </w:p>
    <w:p>
      <w:pPr>
        <w:pStyle w:val="BodyText"/>
      </w:pPr>
      <m:oMathPara>
        <m:oMathParaPr>
          <m:jc m:val="center"/>
        </m:oMathParaPr>
        <m:oMath>
          <m:r>
            <m:rPr>
              <m:sty m:val="p"/>
            </m:rPr>
            <m:t>L</m:t>
          </m:r>
          <m:r>
            <m:rPr>
              <m:sty m:val="p"/>
            </m:rPr>
            <m:t>L</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endChr m:val="]"/>
                  <m:sepChr m:val=""/>
                  <m:grow/>
                </m:dPr>
                <m:e>
                  <m:sSub>
                    <m:e>
                      <m:r>
                        <m:t>y</m:t>
                      </m:r>
                    </m:e>
                    <m:sub>
                      <m:r>
                        <m:t>i</m:t>
                      </m:r>
                    </m:sub>
                  </m:sSub>
                  <m:r>
                    <m:rPr>
                      <m:sty m:val="p"/>
                    </m:rPr>
                    <m:t>ln</m:t>
                  </m:r>
                  <m:sSub>
                    <m:e>
                      <m:r>
                        <m:t>p</m:t>
                      </m:r>
                    </m:e>
                    <m:sub>
                      <m:r>
                        <m:t>i</m:t>
                      </m:r>
                    </m:sub>
                  </m:sSub>
                  <m:r>
                    <m:rPr>
                      <m:sty m:val="p"/>
                    </m:rPr>
                    <m:t>+</m:t>
                  </m:r>
                  <m:d>
                    <m:dPr>
                      <m:begChr m:val="("/>
                      <m:endChr m:val=")"/>
                      <m:sepChr m:val=""/>
                      <m:grow/>
                    </m:dPr>
                    <m:e>
                      <m:r>
                        <m:t>1</m:t>
                      </m:r>
                      <m:r>
                        <m:rPr>
                          <m:sty m:val="p"/>
                        </m:rPr>
                        <m:t>−</m:t>
                      </m:r>
                      <m:sSub>
                        <m:e>
                          <m:r>
                            <m:t>y</m:t>
                          </m:r>
                        </m:e>
                        <m:sub>
                          <m:r>
                            <m:t>i</m:t>
                          </m:r>
                        </m:sub>
                      </m:sSub>
                    </m:e>
                  </m:d>
                  <m:r>
                    <m:rPr>
                      <m:sty m:val="p"/>
                    </m:rPr>
                    <m:t>ln</m:t>
                  </m:r>
                  <m:d>
                    <m:dPr>
                      <m:begChr m:val="("/>
                      <m:endChr m:val=")"/>
                      <m:sepChr m:val=""/>
                      <m:grow/>
                    </m:dPr>
                    <m:e>
                      <m:r>
                        <m:t>1</m:t>
                      </m:r>
                      <m:r>
                        <m:rPr>
                          <m:sty m:val="p"/>
                        </m:rPr>
                        <m:t>−</m:t>
                      </m:r>
                      <m:sSub>
                        <m:e>
                          <m:r>
                            <m:t>p</m:t>
                          </m:r>
                        </m:e>
                        <m:sub>
                          <m:r>
                            <m:t>i</m:t>
                          </m:r>
                        </m:sub>
                      </m:sSub>
                    </m:e>
                  </m:d>
                </m:e>
              </m:d>
            </m:e>
          </m:nary>
          <m:r>
            <m:t>  </m:t>
          </m:r>
          <m:d>
            <m:dPr>
              <m:begChr m:val="("/>
              <m:endChr m:val=")"/>
              <m:sepChr m:val=""/>
              <m:grow/>
            </m:dPr>
            <m:e>
              <m:r>
                <m:t>3.21</m:t>
              </m:r>
            </m:e>
          </m:d>
        </m:oMath>
      </m:oMathPara>
    </w:p>
    <w:p>
      <w:pPr>
        <w:pStyle w:val="FirstParagraph"/>
      </w:pPr>
      <w:r>
        <w:rPr>
          <w:iCs/>
          <w:i/>
        </w:rPr>
        <w:t xml:space="preserve">Status:</w:t>
      </w:r>
      <w:r>
        <w:t xml:space="preserve"> </w:t>
      </w:r>
      <w:r>
        <w:t xml:space="preserve">derived as the negated, averaged, unpenalized log-likelihood term of Equation 3.2 evaluated at the calibrated probabilities. Probabilities are bounded away from 0 and 1 by a declared small constant for numerical evaluation.</w:t>
      </w:r>
    </w:p>
    <w:p>
      <w:pPr>
        <w:pStyle w:val="BodyText"/>
      </w:pPr>
      <w:r>
        <w:rPr>
          <w:bCs/>
          <w:b/>
        </w:rPr>
        <w:t xml:space="preserve">Brier score.</w:t>
      </w:r>
      <w:r>
        <w:t xml:space="preserve"> </w:t>
      </w:r>
      <w:r>
        <w:t xml:space="preserve">The Brier score is not reported until the convention of its original source (Brier, 1950) has been confirmed; log-loss serves as the proper scoring measure in the meantime.</w:t>
      </w:r>
    </w:p>
    <w:bookmarkEnd w:id="154"/>
    <w:bookmarkStart w:id="155" w:name="realized-loss-across-a-declared-grid"/>
    <w:p>
      <w:pPr>
        <w:pStyle w:val="Heading3"/>
      </w:pPr>
      <w:r>
        <w:t xml:space="preserve">3.12.3 Realized loss across a declared grid</w:t>
      </w:r>
    </w:p>
    <w:p>
      <w:pPr>
        <w:pStyle w:val="FirstParagraph"/>
      </w:pPr>
      <w:r>
        <w:t xml:space="preserve">Realized loss is secondary because it depends on declared costs, and because a rule that minimizes expected loss under L is favored by construction when evaluated under the same L. For an evaluation loss structure L</w:t>
      </w:r>
      <w:r>
        <w:rPr>
          <w:vertAlign w:val="subscript"/>
        </w:rPr>
        <w:t xml:space="preserve">e</w:t>
      </w:r>
      <w:r>
        <w:t xml:space="preserve">:</w:t>
      </w:r>
    </w:p>
    <w:p>
      <w:pPr>
        <w:pStyle w:val="BodyText"/>
      </w:pPr>
      <m:oMathPara>
        <m:oMathParaPr>
          <m:jc m:val="center"/>
        </m:oMathParaPr>
        <m:oMath>
          <m:acc>
            <m:accPr>
              <m:chr m:val="‾"/>
            </m:accPr>
            <m:e>
              <m:r>
                <m:t>L</m:t>
              </m:r>
            </m:e>
          </m:acc>
          <m:d>
            <m:dPr>
              <m:begChr m:val="("/>
              <m:endChr m:val=")"/>
              <m:sepChr m:val=""/>
              <m:grow/>
            </m:dPr>
            <m:e>
              <m:sSub>
                <m:e>
                  <m:r>
                    <m:t>L</m:t>
                  </m:r>
                </m:e>
                <m:sub>
                  <m:r>
                    <m:t>e</m:t>
                  </m:r>
                </m:sub>
              </m:sSub>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L</m:t>
                  </m:r>
                </m:e>
                <m:sub>
                  <m:r>
                    <m:t>e</m:t>
                  </m:r>
                </m:sub>
              </m:sSub>
            </m:e>
          </m:nary>
          <m:d>
            <m:dPr>
              <m:begChr m:val="("/>
              <m:endChr m:val=")"/>
              <m:sepChr m:val=""/>
              <m:grow/>
            </m:dPr>
            <m:e>
              <m:sSub>
                <m:e>
                  <m:r>
                    <m:t>v</m:t>
                  </m:r>
                </m:e>
                <m:sub>
                  <m:r>
                    <m:t>i</m:t>
                  </m:r>
                </m:sub>
              </m:sSub>
              <m:r>
                <m:rPr>
                  <m:sty m:val="p"/>
                </m:rPr>
                <m:t>,</m:t>
              </m:r>
              <m:sSub>
                <m:e>
                  <m:r>
                    <m:t>y</m:t>
                  </m:r>
                </m:e>
                <m:sub>
                  <m:r>
                    <m:t>i</m:t>
                  </m:r>
                </m:sub>
              </m:sSub>
              <m:r>
                <m:rPr>
                  <m:sty m:val="p"/>
                </m:rPr>
                <m:t>,</m:t>
              </m:r>
              <m:sSub>
                <m:e>
                  <m:r>
                    <m:t>k</m:t>
                  </m:r>
                </m:e>
                <m:sub>
                  <m:r>
                    <m:t>i</m:t>
                  </m:r>
                </m:sub>
              </m:sSub>
            </m:e>
          </m:d>
          <m:r>
            <m:t>  </m:t>
          </m:r>
          <m:d>
            <m:dPr>
              <m:begChr m:val="("/>
              <m:endChr m:val=")"/>
              <m:sepChr m:val=""/>
              <m:grow/>
            </m:dPr>
            <m:e>
              <m:r>
                <m:t>3.22</m:t>
              </m:r>
            </m:e>
          </m:d>
        </m:oMath>
      </m:oMathPara>
    </w:p>
    <w:p>
      <w:pPr>
        <w:pStyle w:val="FirstParagraph"/>
      </w:pPr>
      <w:r>
        <w:t xml:space="preserve">where v</w:t>
      </w:r>
      <w:r>
        <w:rPr>
          <w:vertAlign w:val="subscript"/>
        </w:rPr>
        <w:t xml:space="preserve">i</w:t>
      </w:r>
      <w:r>
        <w:t xml:space="preserve"> </w:t>
      </w:r>
      <w:r>
        <w:t xml:space="preserve">is the verdict issued for held-out step i under the decision loss structure L</w:t>
      </w:r>
      <w:r>
        <w:rPr>
          <w:vertAlign w:val="subscript"/>
        </w:rPr>
        <w:t xml:space="preserve">d</w:t>
      </w:r>
      <w:r>
        <w:t xml:space="preserve">, y</w:t>
      </w:r>
      <w:r>
        <w:rPr>
          <w:vertAlign w:val="subscript"/>
        </w:rPr>
        <w:t xml:space="preserve">i</w:t>
      </w:r>
      <w:r>
        <w:t xml:space="preserve"> </w:t>
      </w:r>
      <w:r>
        <w:t xml:space="preserve">is its label, and k</w:t>
      </w:r>
      <w:r>
        <w:rPr>
          <w:vertAlign w:val="subscript"/>
        </w:rPr>
        <w:t xml:space="preserve">i</w:t>
      </w:r>
      <w:r>
        <w:t xml:space="preserve"> </w:t>
      </w:r>
      <w:r>
        <w:t xml:space="preserve">is its tier.</w:t>
      </w:r>
    </w:p>
    <w:p>
      <w:pPr>
        <w:pStyle w:val="BodyText"/>
      </w:pPr>
      <w:r>
        <w:rPr>
          <w:iCs/>
          <w:i/>
        </w:rPr>
        <w:t xml:space="preserve">Status:</w:t>
      </w:r>
      <w:r>
        <w:t xml:space="preserve"> </w:t>
      </w:r>
      <w:r>
        <w:t xml:space="preserve">design definition.</w:t>
      </w:r>
    </w:p>
    <w:p>
      <w:pPr>
        <w:pStyle w:val="BodyText"/>
      </w:pPr>
      <w:r>
        <w:t xml:space="preserve">The grid is declared before held-out predictions are examined and varies three things:</w:t>
      </w:r>
    </w:p>
    <w:p>
      <w:pPr>
        <w:numPr>
          <w:ilvl w:val="0"/>
          <w:numId w:val="1145"/>
        </w:numPr>
        <w:pStyle w:val="Compact"/>
      </w:pPr>
      <w:r>
        <w:t xml:space="preserve">the ratio C</w:t>
      </w:r>
      <w:r>
        <w:rPr>
          <w:vertAlign w:val="subscript"/>
        </w:rPr>
        <w:t xml:space="preserve">miss</w:t>
      </w:r>
      <w:r>
        <w:t xml:space="preserve">(k)/C</w:t>
      </w:r>
      <w:r>
        <w:rPr>
          <w:vertAlign w:val="subscript"/>
        </w:rPr>
        <w:t xml:space="preserve">FA</w:t>
      </w:r>
      <w:r>
        <w:t xml:space="preserve">(k) per tier;</w:t>
      </w:r>
    </w:p>
    <w:p>
      <w:pPr>
        <w:numPr>
          <w:ilvl w:val="0"/>
          <w:numId w:val="1145"/>
        </w:numPr>
        <w:pStyle w:val="Compact"/>
      </w:pPr>
      <w:r>
        <w:t xml:space="preserve">C</w:t>
      </w:r>
      <w:r>
        <w:rPr>
          <w:vertAlign w:val="subscript"/>
        </w:rPr>
        <w:t xml:space="preserve">esc</w:t>
      </w:r>
      <w:r>
        <w:t xml:space="preserve">;</w:t>
      </w:r>
    </w:p>
    <w:p>
      <w:pPr>
        <w:numPr>
          <w:ilvl w:val="0"/>
          <w:numId w:val="1145"/>
        </w:numPr>
        <w:pStyle w:val="Compact"/>
      </w:pPr>
      <w:r>
        <w:t xml:space="preserve">the amount limits of the tier map.</w:t>
      </w:r>
    </w:p>
    <w:p>
      <w:pPr>
        <w:pStyle w:val="FirstParagraph"/>
      </w:pPr>
      <w:r>
        <w:t xml:space="preserve">For each evaluation structure L</w:t>
      </w:r>
      <w:r>
        <w:rPr>
          <w:vertAlign w:val="subscript"/>
        </w:rPr>
        <w:t xml:space="preserve">e</w:t>
      </w:r>
      <w:r>
        <w:t xml:space="preserve">, the grid reports:</w:t>
      </w:r>
    </w:p>
    <w:p>
      <w:pPr>
        <w:numPr>
          <w:ilvl w:val="0"/>
          <w:numId w:val="1146"/>
        </w:numPr>
        <w:pStyle w:val="Compact"/>
      </w:pPr>
      <w:r>
        <w:t xml:space="preserve">REM with L</w:t>
      </w:r>
      <w:r>
        <w:rPr>
          <w:vertAlign w:val="subscript"/>
        </w:rPr>
        <w:t xml:space="preserve">d</w:t>
      </w:r>
      <w:r>
        <w:t xml:space="preserve"> </w:t>
      </w:r>
      <w:r>
        <w:t xml:space="preserve">= L</w:t>
      </w:r>
      <w:r>
        <w:rPr>
          <w:vertAlign w:val="subscript"/>
        </w:rPr>
        <w:t xml:space="preserve">e</w:t>
      </w:r>
      <w:r>
        <w:t xml:space="preserve"> </w:t>
      </w:r>
      <w:r>
        <w:t xml:space="preserve">(matched);</w:t>
      </w:r>
    </w:p>
    <w:p>
      <w:pPr>
        <w:numPr>
          <w:ilvl w:val="0"/>
          <w:numId w:val="1146"/>
        </w:numPr>
        <w:pStyle w:val="Compact"/>
      </w:pPr>
      <w:r>
        <w:t xml:space="preserve">REM with L</w:t>
      </w:r>
      <w:r>
        <w:rPr>
          <w:vertAlign w:val="subscript"/>
        </w:rPr>
        <w:t xml:space="preserve">d</w:t>
      </w:r>
      <w:r>
        <w:t xml:space="preserve"> </w:t>
      </w:r>
      <w:r>
        <w:t xml:space="preserve">≠ L</w:t>
      </w:r>
      <w:r>
        <w:rPr>
          <w:vertAlign w:val="subscript"/>
        </w:rPr>
        <w:t xml:space="preserve">e</w:t>
      </w:r>
      <w:r>
        <w:t xml:space="preserve"> </w:t>
      </w:r>
      <w:r>
        <w:t xml:space="preserve">(misspecified costs);</w:t>
      </w:r>
    </w:p>
    <w:p>
      <w:pPr>
        <w:numPr>
          <w:ilvl w:val="0"/>
          <w:numId w:val="1146"/>
        </w:numPr>
        <w:pStyle w:val="Compact"/>
      </w:pPr>
      <w:r>
        <w:t xml:space="preserve">the baseline B1, which does not use costs.</w:t>
      </w:r>
    </w:p>
    <w:p>
      <w:pPr>
        <w:pStyle w:val="FirstParagraph"/>
      </w:pPr>
      <w:r>
        <w:t xml:space="preserve">The conclusion takes the form</w:t>
      </w:r>
      <w:r>
        <w:t xml:space="preserve"> </w:t>
      </w:r>
      <w:r>
        <w:t xml:space="preserve">“</w:t>
      </w:r>
      <w:r>
        <w:t xml:space="preserve">across this declared range of loss structures, outcomes vary as follows</w:t>
      </w:r>
      <w:r>
        <w:t xml:space="preserve">”</w:t>
      </w:r>
      <w:r>
        <w:t xml:space="preserve">, not</w:t>
      </w:r>
      <w:r>
        <w:t xml:space="preserve"> </w:t>
      </w:r>
      <w:r>
        <w:t xml:space="preserve">“</w:t>
      </w:r>
      <w:r>
        <w:t xml:space="preserve">under the chosen costs, outcomes are these</w:t>
      </w:r>
      <w:r>
        <w:t xml:space="preserve">”</w:t>
      </w:r>
      <w:r>
        <w:t xml:space="preserve">.</w:t>
      </w:r>
    </w:p>
    <w:bookmarkEnd w:id="155"/>
    <w:bookmarkEnd w:id="156"/>
    <w:bookmarkStart w:id="157" w:name="contribution-and-novelty-boundaries"/>
    <w:p>
      <w:pPr>
        <w:pStyle w:val="Heading2"/>
      </w:pPr>
      <w:r>
        <w:t xml:space="preserve">3.13 Contribution and Novelty Boundaries</w:t>
      </w:r>
    </w:p>
    <w:p>
      <w:pPr>
        <w:pStyle w:val="FirstParagraph"/>
      </w:pPr>
      <w:r>
        <w:t xml:space="preserve">REM does not introduce a new learning algorithm or a new decision-theoretic method. Its constituent mechanisms are established and are attributed to their sources.</w:t>
      </w:r>
    </w:p>
    <w:p>
      <w:pPr>
        <w:pStyle w:val="BodyText"/>
      </w:pPr>
      <w:r>
        <w:rPr>
          <w:bCs/>
          <w:b/>
        </w:rPr>
        <w:t xml:space="preserve">Table 3.16. Mechanisms that are not claimed as novel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Mechanism</w:t>
            </w:r>
          </w:p>
        </w:tc>
        <w:tc>
          <w:tcPr/>
          <w:p>
            <w:pPr>
              <w:pStyle w:val="Compact"/>
              <w:jc w:val="left"/>
            </w:pPr>
            <w:r>
              <w:t xml:space="preserve">Prior work</w:t>
            </w:r>
          </w:p>
        </w:tc>
      </w:tr>
      <w:tr>
        <w:tc>
          <w:tcPr/>
          <w:p>
            <w:pPr>
              <w:pStyle w:val="Compact"/>
              <w:jc w:val="left"/>
            </w:pPr>
            <w:r>
              <w:t xml:space="preserve">Logistic regression</w:t>
            </w:r>
          </w:p>
        </w:tc>
        <w:tc>
          <w:tcPr/>
          <w:p>
            <w:pPr>
              <w:pStyle w:val="Compact"/>
              <w:jc w:val="left"/>
            </w:pPr>
            <w:r>
              <w:t xml:space="preserve">Cox (1958)</w:t>
            </w:r>
          </w:p>
        </w:tc>
      </w:tr>
      <w:tr>
        <w:tc>
          <w:tcPr/>
          <w:p>
            <w:pPr>
              <w:pStyle w:val="Compact"/>
              <w:jc w:val="left"/>
            </w:pPr>
            <w:r>
              <w:t xml:space="preserve">Ridge regularization of logistic regression</w:t>
            </w:r>
          </w:p>
        </w:tc>
        <w:tc>
          <w:tcPr/>
          <w:p>
            <w:pPr>
              <w:pStyle w:val="Compact"/>
              <w:jc w:val="left"/>
            </w:pPr>
            <w:r>
              <w:t xml:space="preserve">le Cessie and van Houwelingen (1992)</w:t>
            </w:r>
          </w:p>
        </w:tc>
      </w:tr>
      <w:tr>
        <w:tc>
          <w:tcPr/>
          <w:p>
            <w:pPr>
              <w:pStyle w:val="Compact"/>
              <w:jc w:val="left"/>
            </w:pPr>
            <w:r>
              <w:t xml:space="preserve">Platt (logistic) calibration</w:t>
            </w:r>
          </w:p>
        </w:tc>
        <w:tc>
          <w:tcPr/>
          <w:p>
            <w:pPr>
              <w:pStyle w:val="Compact"/>
              <w:jc w:val="left"/>
            </w:pPr>
            <w:r>
              <w:t xml:space="preserve">Platt (1999); Guo et al. (2017); Kull et al. (2017)</w:t>
            </w:r>
          </w:p>
        </w:tc>
      </w:tr>
      <w:tr>
        <w:tc>
          <w:tcPr/>
          <w:p>
            <w:pPr>
              <w:pStyle w:val="Compact"/>
              <w:jc w:val="left"/>
            </w:pPr>
            <w:r>
              <w:t xml:space="preserve">Linear Shapley attribution</w:t>
            </w:r>
          </w:p>
        </w:tc>
        <w:tc>
          <w:tcPr/>
          <w:p>
            <w:pPr>
              <w:pStyle w:val="Compact"/>
              <w:jc w:val="left"/>
            </w:pPr>
            <w:r>
              <w:t xml:space="preserve">Lundberg and Lee (2017)</w:t>
            </w:r>
          </w:p>
        </w:tc>
      </w:tr>
      <w:tr>
        <w:tc>
          <w:tcPr/>
          <w:p>
            <w:pPr>
              <w:pStyle w:val="Compact"/>
              <w:jc w:val="left"/>
            </w:pPr>
            <w:r>
              <w:t xml:space="preserve">Cumulative sum change detection</w:t>
            </w:r>
          </w:p>
        </w:tc>
        <w:tc>
          <w:tcPr/>
          <w:p>
            <w:pPr>
              <w:pStyle w:val="Compact"/>
              <w:jc w:val="left"/>
            </w:pPr>
            <w:r>
              <w:t xml:space="preserve">Page (1954); Basseville and Nikiforov (1993)</w:t>
            </w:r>
          </w:p>
        </w:tc>
      </w:tr>
      <w:tr>
        <w:tc>
          <w:tcPr/>
          <w:p>
            <w:pPr>
              <w:pStyle w:val="Compact"/>
              <w:jc w:val="left"/>
            </w:pPr>
            <w:r>
              <w:t xml:space="preserve">Expected-cost decisions; reject option</w:t>
            </w:r>
          </w:p>
        </w:tc>
        <w:tc>
          <w:tcPr/>
          <w:p>
            <w:pPr>
              <w:pStyle w:val="Compact"/>
              <w:jc w:val="left"/>
            </w:pPr>
            <w:r>
              <w:t xml:space="preserve">Elkan (2001); Chow (1970)</w:t>
            </w:r>
          </w:p>
        </w:tc>
      </w:tr>
      <w:tr>
        <w:tc>
          <w:tcPr/>
          <w:p>
            <w:pPr>
              <w:pStyle w:val="Compact"/>
              <w:jc w:val="left"/>
            </w:pPr>
            <w:r>
              <w:t xml:space="preserve">Calibrated logistic risk scores for agent safety; four-way intervention</w:t>
            </w:r>
          </w:p>
        </w:tc>
        <w:tc>
          <w:tcPr/>
          <w:p>
            <w:pPr>
              <w:pStyle w:val="Compact"/>
              <w:jc w:val="left"/>
            </w:pPr>
            <w:r>
              <w:t xml:space="preserve">Hossain et al. (2026)</w:t>
            </w:r>
          </w:p>
        </w:tc>
      </w:tr>
      <w:tr>
        <w:tc>
          <w:tcPr/>
          <w:p>
            <w:pPr>
              <w:pStyle w:val="Compact"/>
              <w:jc w:val="left"/>
            </w:pPr>
            <w:r>
              <w:t xml:space="preserve">Distinction between calibration and control</w:t>
            </w:r>
          </w:p>
        </w:tc>
        <w:tc>
          <w:tcPr/>
          <w:p>
            <w:pPr>
              <w:pStyle w:val="Compact"/>
              <w:jc w:val="left"/>
            </w:pPr>
            <w:r>
              <w:t xml:space="preserve">C. Zhang et al. (2026)</w:t>
            </w:r>
          </w:p>
        </w:tc>
      </w:tr>
      <w:tr>
        <w:tc>
          <w:tcPr/>
          <w:p>
            <w:pPr>
              <w:pStyle w:val="Compact"/>
              <w:jc w:val="left"/>
            </w:pPr>
            <w:r>
              <w:t xml:space="preserve">Runtime interception; human review; graduated response</w:t>
            </w:r>
          </w:p>
        </w:tc>
        <w:tc>
          <w:tcPr/>
          <w:p>
            <w:pPr>
              <w:pStyle w:val="Compact"/>
              <w:jc w:val="left"/>
            </w:pPr>
            <w:r>
              <w:t xml:space="preserve">H. Liu et al. (2026); C. Yang (2026); C. L. Wang et al. (2025)</w:t>
            </w:r>
          </w:p>
        </w:tc>
      </w:tr>
      <w:tr>
        <w:tc>
          <w:tcPr/>
          <w:p>
            <w:pPr>
              <w:pStyle w:val="Compact"/>
              <w:jc w:val="left"/>
            </w:pPr>
            <w:r>
              <w:t xml:space="preserve">Provenance analysis of tool calls</w:t>
            </w:r>
          </w:p>
        </w:tc>
        <w:tc>
          <w:tcPr/>
          <w:p>
            <w:pPr>
              <w:pStyle w:val="Compact"/>
              <w:jc w:val="left"/>
            </w:pPr>
            <w:r>
              <w:t xml:space="preserve">She et al. (2026); Debenedetti et al. (2025)</w:t>
            </w:r>
          </w:p>
        </w:tc>
      </w:tr>
      <w:tr>
        <w:tc>
          <w:tcPr/>
          <w:p>
            <w:pPr>
              <w:pStyle w:val="Compact"/>
              <w:jc w:val="left"/>
            </w:pPr>
            <w:r>
              <w:t xml:space="preserve">Consequence-aware and consequence-priced control</w:t>
            </w:r>
          </w:p>
        </w:tc>
        <w:tc>
          <w:tcPr/>
          <w:p>
            <w:pPr>
              <w:pStyle w:val="Compact"/>
              <w:jc w:val="left"/>
            </w:pPr>
            <w:r>
              <w:t xml:space="preserve">H.-H. Chen (2026); Hossain et al. (2026); C. Yang (2026)</w:t>
            </w:r>
          </w:p>
        </w:tc>
      </w:tr>
      <w:tr>
        <w:tc>
          <w:tcPr/>
          <w:p>
            <w:pPr>
              <w:pStyle w:val="Compact"/>
              <w:jc w:val="left"/>
            </w:pPr>
            <w:r>
              <w:t xml:space="preserve">Component ablation with latency</w:t>
            </w:r>
          </w:p>
        </w:tc>
        <w:tc>
          <w:tcPr/>
          <w:p>
            <w:pPr>
              <w:pStyle w:val="Compact"/>
              <w:jc w:val="left"/>
            </w:pPr>
            <w:r>
              <w:t xml:space="preserve">C. Yang (2026)</w:t>
            </w:r>
          </w:p>
        </w:tc>
      </w:tr>
      <w:tr>
        <w:tc>
          <w:tcPr/>
          <w:p>
            <w:pPr>
              <w:pStyle w:val="Compact"/>
              <w:jc w:val="left"/>
            </w:pPr>
            <w:r>
              <w:t xml:space="preserve">Runtime protection of financial agents</w:t>
            </w:r>
          </w:p>
        </w:tc>
        <w:tc>
          <w:tcPr/>
          <w:p>
            <w:pPr>
              <w:pStyle w:val="Compact"/>
              <w:jc w:val="left"/>
            </w:pPr>
            <w:r>
              <w:t xml:space="preserve">Jia et al. (2026)</w:t>
            </w:r>
          </w:p>
        </w:tc>
      </w:tr>
    </w:tbl>
    <w:p>
      <w:pPr>
        <w:pStyle w:val="BodyText"/>
      </w:pPr>
      <w:r>
        <w:rPr>
          <w:bCs/>
          <w:b/>
        </w:rPr>
        <w:t xml:space="preserve">Investigated contribution.</w:t>
      </w:r>
      <w:r>
        <w:t xml:space="preserve"> </w:t>
      </w:r>
      <w:r>
        <w:t xml:space="preserve">The contribution of this thesis is empirical and integrative. It is the design and evaluation, on the AgentDojo banking environment under indirect prompt injection, of a non-invasive five-layer runtime layer that combines:</w:t>
      </w:r>
    </w:p>
    <w:p>
      <w:pPr>
        <w:numPr>
          <w:ilvl w:val="0"/>
          <w:numId w:val="1147"/>
        </w:numPr>
        <w:pStyle w:val="Compact"/>
      </w:pPr>
      <w:r>
        <w:t xml:space="preserve">provenance-based evidence about proposed financial actions;</w:t>
      </w:r>
    </w:p>
    <w:p>
      <w:pPr>
        <w:numPr>
          <w:ilvl w:val="0"/>
          <w:numId w:val="1147"/>
        </w:numPr>
        <w:pStyle w:val="Compact"/>
      </w:pPr>
      <w:r>
        <w:t xml:space="preserve">a calibrated per-step probability of adversarial induction;</w:t>
      </w:r>
    </w:p>
    <w:p>
      <w:pPr>
        <w:numPr>
          <w:ilvl w:val="0"/>
          <w:numId w:val="1147"/>
        </w:numPr>
        <w:pStyle w:val="Compact"/>
      </w:pPr>
      <w:r>
        <w:t xml:space="preserve">verdict selection over Allow, Modify, Escalate, and Block by minimizing conditional risk with losses declared per consequence tier;</w:t>
      </w:r>
    </w:p>
    <w:p>
      <w:pPr>
        <w:numPr>
          <w:ilvl w:val="0"/>
          <w:numId w:val="1147"/>
        </w:numPr>
        <w:pStyle w:val="Compact"/>
      </w:pPr>
      <w:r>
        <w:t xml:space="preserve">deterministic mitigation whose effectiveness is measured and used in the loss structure.</w:t>
      </w:r>
    </w:p>
    <w:p>
      <w:pPr>
        <w:pStyle w:val="FirstParagraph"/>
      </w:pPr>
      <w:r>
        <w:t xml:space="preserve">It is evaluated against a consequence-independent baseline that uses the same estimator, with attack success, benign utility, utility under attack, intervention behavior, and latency measured separately and cost-dependent outcomes reported across a declared loss grid.</w:t>
      </w:r>
    </w:p>
    <w:p>
      <w:pPr>
        <w:pStyle w:val="BodyText"/>
      </w:pPr>
      <w:r>
        <w:rPr>
          <w:bCs/>
          <w:b/>
        </w:rPr>
        <w:t xml:space="preserve">Explicitly not claimed:</w:t>
      </w:r>
    </w:p>
    <w:p>
      <w:pPr>
        <w:numPr>
          <w:ilvl w:val="0"/>
          <w:numId w:val="1148"/>
        </w:numPr>
        <w:pStyle w:val="Compact"/>
      </w:pPr>
      <w:r>
        <w:t xml:space="preserve">a new algorithm;</w:t>
      </w:r>
    </w:p>
    <w:p>
      <w:pPr>
        <w:numPr>
          <w:ilvl w:val="0"/>
          <w:numId w:val="1148"/>
        </w:numPr>
        <w:pStyle w:val="Compact"/>
      </w:pPr>
      <w:r>
        <w:t xml:space="preserve">the first runtime guardrail, the first calibrated agent risk score, or the first consequence-aware controller;</w:t>
      </w:r>
    </w:p>
    <w:p>
      <w:pPr>
        <w:numPr>
          <w:ilvl w:val="0"/>
          <w:numId w:val="1148"/>
        </w:numPr>
        <w:pStyle w:val="Compact"/>
      </w:pPr>
      <w:r>
        <w:t xml:space="preserve">that calibration improves control;</w:t>
      </w:r>
    </w:p>
    <w:p>
      <w:pPr>
        <w:numPr>
          <w:ilvl w:val="0"/>
          <w:numId w:val="1148"/>
        </w:numPr>
        <w:pStyle w:val="Compact"/>
      </w:pPr>
      <w:r>
        <w:t xml:space="preserve">robustness against adaptive adversaries;</w:t>
      </w:r>
    </w:p>
    <w:p>
      <w:pPr>
        <w:numPr>
          <w:ilvl w:val="0"/>
          <w:numId w:val="1148"/>
        </w:numPr>
        <w:pStyle w:val="Compact"/>
      </w:pPr>
      <w:r>
        <w:t xml:space="preserve">any prevention guarantee;</w:t>
      </w:r>
    </w:p>
    <w:p>
      <w:pPr>
        <w:numPr>
          <w:ilvl w:val="0"/>
          <w:numId w:val="1148"/>
        </w:numPr>
        <w:pStyle w:val="Compact"/>
      </w:pPr>
      <w:r>
        <w:t xml:space="preserve">validity in production financial deployment.</w:t>
      </w:r>
    </w:p>
    <w:p>
      <w:pPr>
        <w:pStyle w:val="FirstParagraph"/>
      </w:pPr>
      <w:r>
        <w:t xml:space="preserve">The contribution holds only to the extent that the experiments specified in this chapter support it. Chapter 5 reports which of these experiments were executed (offline classification, observe-only policy analysis, replay sensitivity) and which were not (live enforcing-mode runs).</w:t>
      </w:r>
    </w:p>
    <w:bookmarkEnd w:id="157"/>
    <w:bookmarkStart w:id="158" w:name="threats-to-validity"/>
    <w:p>
      <w:pPr>
        <w:pStyle w:val="Heading2"/>
      </w:pPr>
      <w:r>
        <w:t xml:space="preserve">3.14 Threats to Validity</w:t>
      </w:r>
    </w:p>
    <w:p>
      <w:pPr>
        <w:pStyle w:val="FirstParagraph"/>
      </w:pPr>
      <w:r>
        <w:rPr>
          <w:bCs/>
          <w:b/>
        </w:rPr>
        <w:t xml:space="preserve">Construct validity.</w:t>
      </w:r>
    </w:p>
    <w:p>
      <w:pPr>
        <w:numPr>
          <w:ilvl w:val="0"/>
          <w:numId w:val="1149"/>
        </w:numPr>
        <w:pStyle w:val="Compact"/>
      </w:pPr>
      <w:r>
        <w:t xml:space="preserve">Step labels are derived and can be wrong; the derivation is audited on a sample (Section 3.11.3).</w:t>
      </w:r>
    </w:p>
    <w:p>
      <w:pPr>
        <w:numPr>
          <w:ilvl w:val="0"/>
          <w:numId w:val="1149"/>
        </w:numPr>
        <w:pStyle w:val="Compact"/>
      </w:pPr>
      <w:r>
        <w:t xml:space="preserve">The idealized reviewer overstates the protective value of Escalate; the no-reviewer bound is reported alongside it.</w:t>
      </w:r>
    </w:p>
    <w:p>
      <w:pPr>
        <w:numPr>
          <w:ilvl w:val="0"/>
          <w:numId w:val="1149"/>
        </w:numPr>
        <w:pStyle w:val="Compact"/>
      </w:pPr>
      <w:r>
        <w:t xml:space="preserve">Declared costs cannot be validated empirically; their influence is reported across the grid.</w:t>
      </w:r>
    </w:p>
    <w:p>
      <w:pPr>
        <w:numPr>
          <w:ilvl w:val="0"/>
          <w:numId w:val="1149"/>
        </w:numPr>
        <w:pStyle w:val="Compact"/>
      </w:pPr>
      <w:r>
        <w:t xml:space="preserve">A low ASR can reflect task failure rather than protection, so utility metrics accompany every security metric (Y. Wang et al., 2026).</w:t>
      </w:r>
    </w:p>
    <w:p>
      <w:pPr>
        <w:pStyle w:val="FirstParagraph"/>
      </w:pPr>
      <w:r>
        <w:rPr>
          <w:bCs/>
          <w:b/>
        </w:rPr>
        <w:t xml:space="preserve">Internal validity.</w:t>
      </w:r>
    </w:p>
    <w:p>
      <w:pPr>
        <w:numPr>
          <w:ilvl w:val="0"/>
          <w:numId w:val="1150"/>
        </w:numPr>
        <w:pStyle w:val="Compact"/>
      </w:pPr>
      <w:r>
        <w:t xml:space="preserve">Leakage through shared templates and the shared attacker account identifier is controlled by grouping and by excluding identity-based features, but template dependence remains.</w:t>
      </w:r>
    </w:p>
    <w:p>
      <w:pPr>
        <w:numPr>
          <w:ilvl w:val="0"/>
          <w:numId w:val="1150"/>
        </w:numPr>
        <w:pStyle w:val="Compact"/>
      </w:pPr>
      <w:r>
        <w:t xml:space="preserve">Features designed with knowledge of the benchmark may fit its style; the feature set is frozen after the pilot and before held-out predictions are examined.</w:t>
      </w:r>
    </w:p>
    <w:p>
      <w:pPr>
        <w:numPr>
          <w:ilvl w:val="0"/>
          <w:numId w:val="1150"/>
        </w:numPr>
        <w:pStyle w:val="Compact"/>
      </w:pPr>
      <w:r>
        <w:t xml:space="preserve">LLM non-determinism is characterized by repeated runs; the recorded traces contain one run per configuration, so this requirement is not met in this thesis.</w:t>
      </w:r>
    </w:p>
    <w:p>
      <w:pPr>
        <w:pStyle w:val="FirstParagraph"/>
      </w:pPr>
      <w:r>
        <w:rPr>
          <w:bCs/>
          <w:b/>
        </w:rPr>
        <w:t xml:space="preserve">External validity.</w:t>
      </w:r>
    </w:p>
    <w:p>
      <w:pPr>
        <w:numPr>
          <w:ilvl w:val="0"/>
          <w:numId w:val="1151"/>
        </w:numPr>
        <w:pStyle w:val="Compact"/>
      </w:pPr>
      <w:r>
        <w:t xml:space="preserve">The evaluation uses one simulated banking environment with benchmark-authored attacks.</w:t>
      </w:r>
    </w:p>
    <w:p>
      <w:pPr>
        <w:numPr>
          <w:ilvl w:val="0"/>
          <w:numId w:val="1151"/>
        </w:numPr>
        <w:pStyle w:val="Compact"/>
      </w:pPr>
      <w:r>
        <w:t xml:space="preserve">Results may not transfer to other benchmarks, whose definitions and conclusions can disagree (M. Q. Li et al., 2026), or to production systems.</w:t>
      </w:r>
    </w:p>
    <w:p>
      <w:pPr>
        <w:numPr>
          <w:ilvl w:val="0"/>
          <w:numId w:val="1151"/>
        </w:numPr>
        <w:pStyle w:val="Compact"/>
      </w:pPr>
      <w:r>
        <w:t xml:space="preserve">Results may depend on the LLM backbone.</w:t>
      </w:r>
    </w:p>
    <w:p>
      <w:pPr>
        <w:numPr>
          <w:ilvl w:val="0"/>
          <w:numId w:val="1151"/>
        </w:numPr>
        <w:pStyle w:val="Compact"/>
      </w:pPr>
      <w:r>
        <w:t xml:space="preserve">FinVault is not used because its preprint was withdrawn.</w:t>
      </w:r>
    </w:p>
    <w:p>
      <w:pPr>
        <w:pStyle w:val="FirstParagraph"/>
      </w:pPr>
      <w:r>
        <w:rPr>
          <w:bCs/>
          <w:b/>
        </w:rPr>
        <w:t xml:space="preserve">Statistical conclusion validity.</w:t>
      </w:r>
    </w:p>
    <w:p>
      <w:pPr>
        <w:numPr>
          <w:ilvl w:val="0"/>
          <w:numId w:val="1152"/>
        </w:numPr>
        <w:pStyle w:val="Compact"/>
      </w:pPr>
      <w:r>
        <w:t xml:space="preserve">The number of independent task templates is small.</w:t>
      </w:r>
    </w:p>
    <w:p>
      <w:pPr>
        <w:numPr>
          <w:ilvl w:val="0"/>
          <w:numId w:val="1152"/>
        </w:numPr>
        <w:pStyle w:val="Compact"/>
      </w:pPr>
      <w:r>
        <w:t xml:space="preserve">Intervals are wide and no power analysis is available, so conclusions are limited to differences supported by their intervals.</w:t>
      </w:r>
    </w:p>
    <w:p>
      <w:pPr>
        <w:pStyle w:val="FirstParagraph"/>
      </w:pPr>
      <w:r>
        <w:rPr>
          <w:bCs/>
          <w:b/>
        </w:rPr>
        <w:t xml:space="preserve">Security-specific threats.</w:t>
      </w:r>
    </w:p>
    <w:p>
      <w:pPr>
        <w:numPr>
          <w:ilvl w:val="0"/>
          <w:numId w:val="1153"/>
        </w:numPr>
        <w:pStyle w:val="Compact"/>
      </w:pPr>
      <w:r>
        <w:t xml:space="preserve">Every evidence feature can be evaded individually, and adversaries are assumed non-adaptive (AS-6).</w:t>
      </w:r>
    </w:p>
    <w:p>
      <w:pPr>
        <w:numPr>
          <w:ilvl w:val="0"/>
          <w:numId w:val="1153"/>
        </w:numPr>
        <w:pStyle w:val="Compact"/>
      </w:pPr>
      <w:r>
        <w:t xml:space="preserve">REM’s own configuration and logs are assumed protected (AS-3).</w:t>
      </w:r>
    </w:p>
    <w:p>
      <w:pPr>
        <w:numPr>
          <w:ilvl w:val="0"/>
          <w:numId w:val="1153"/>
        </w:numPr>
        <w:pStyle w:val="Compact"/>
      </w:pPr>
      <w:r>
        <w:t xml:space="preserve">A scalar probability cannot represent whether an adversarial trajectory remains recoverable, so REM inherits the limitation identified by C. Zhang et al. (2026); estimating intervention value for adaptive agents by counterfactual replay is outside the scope of this thesis.</w:t>
      </w:r>
    </w:p>
    <w:bookmarkEnd w:id="158"/>
    <w:bookmarkStart w:id="159" w:name="equation-provenance-summary"/>
    <w:p>
      <w:pPr>
        <w:pStyle w:val="Heading2"/>
      </w:pPr>
      <w:r>
        <w:t xml:space="preserve">3.15 Equation Provenance Summary</w:t>
      </w:r>
    </w:p>
    <w:p>
      <w:pPr>
        <w:pStyle w:val="FirstParagraph"/>
      </w:pPr>
      <w:r>
        <w:rPr>
          <w:bCs/>
          <w:b/>
        </w:rPr>
        <w:t xml:space="preserve">Table 3.17. Provenance of the equations in this chapter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Eq.</w:t>
            </w:r>
          </w:p>
        </w:tc>
        <w:tc>
          <w:tcPr/>
          <w:p>
            <w:pPr>
              <w:pStyle w:val="Compact"/>
              <w:jc w:val="left"/>
            </w:pPr>
            <w:r>
              <w:t xml:space="preserve">Content</w:t>
            </w:r>
          </w:p>
        </w:tc>
        <w:tc>
          <w:tcPr/>
          <w:p>
            <w:pPr>
              <w:pStyle w:val="Compact"/>
              <w:jc w:val="left"/>
            </w:pPr>
            <w:r>
              <w:t xml:space="preserve">Status</w:t>
            </w:r>
          </w:p>
        </w:tc>
        <w:tc>
          <w:tcPr/>
          <w:p>
            <w:pPr>
              <w:pStyle w:val="Compact"/>
              <w:jc w:val="left"/>
            </w:pPr>
            <w:r>
              <w:t xml:space="preserve">Source</w:t>
            </w:r>
          </w:p>
        </w:tc>
        <w:tc>
          <w:tcPr/>
          <w:p>
            <w:pPr>
              <w:pStyle w:val="Compact"/>
              <w:jc w:val="left"/>
            </w:pPr>
            <w:r>
              <w:t xml:space="preserve">Verification</w:t>
            </w:r>
          </w:p>
        </w:tc>
      </w:tr>
      <w:tr>
        <w:tc>
          <w:tcPr/>
          <w:p>
            <w:pPr>
              <w:pStyle w:val="Compact"/>
              <w:jc w:val="left"/>
            </w:pPr>
            <w:r>
              <w:t xml:space="preserve">3.1</w:t>
            </w:r>
          </w:p>
        </w:tc>
        <w:tc>
          <w:tcPr/>
          <w:p>
            <w:pPr>
              <w:pStyle w:val="Compact"/>
              <w:jc w:val="left"/>
            </w:pPr>
            <w:r>
              <w:t xml:space="preserve">Logistic model</w:t>
            </w:r>
          </w:p>
        </w:tc>
        <w:tc>
          <w:tcPr/>
          <w:p>
            <w:pPr>
              <w:pStyle w:val="Compact"/>
              <w:jc w:val="left"/>
            </w:pPr>
            <w:r>
              <w:t xml:space="preserve">Established</w:t>
            </w:r>
          </w:p>
        </w:tc>
        <w:tc>
          <w:tcPr/>
          <w:p>
            <w:pPr>
              <w:pStyle w:val="Compact"/>
              <w:jc w:val="left"/>
            </w:pPr>
            <w:r>
              <w:t xml:space="preserve">Cox (1958)</w:t>
            </w:r>
          </w:p>
        </w:tc>
        <w:tc>
          <w:tcPr/>
          <w:p>
            <w:pPr>
              <w:pStyle w:val="Compact"/>
              <w:jc w:val="left"/>
            </w:pPr>
            <w:r>
              <w:t xml:space="preserve">IV</w:t>
            </w:r>
          </w:p>
        </w:tc>
      </w:tr>
      <w:tr>
        <w:tc>
          <w:tcPr/>
          <w:p>
            <w:pPr>
              <w:pStyle w:val="Compact"/>
              <w:jc w:val="left"/>
            </w:pPr>
            <w:r>
              <w:t xml:space="preserve">3.2</w:t>
            </w:r>
          </w:p>
        </w:tc>
        <w:tc>
          <w:tcPr/>
          <w:p>
            <w:pPr>
              <w:pStyle w:val="Compact"/>
              <w:jc w:val="left"/>
            </w:pPr>
            <w:r>
              <w:t xml:space="preserve">Ridge-penalized log-likelihood</w:t>
            </w:r>
          </w:p>
        </w:tc>
        <w:tc>
          <w:tcPr/>
          <w:p>
            <w:pPr>
              <w:pStyle w:val="Compact"/>
              <w:jc w:val="left"/>
            </w:pPr>
            <w:r>
              <w:t xml:space="preserve">Established</w:t>
            </w:r>
          </w:p>
        </w:tc>
        <w:tc>
          <w:tcPr/>
          <w:p>
            <w:pPr>
              <w:pStyle w:val="Compact"/>
              <w:jc w:val="left"/>
            </w:pPr>
            <w:r>
              <w:t xml:space="preserve">le Cessie &amp; van Houwelingen (1992)</w:t>
            </w:r>
          </w:p>
        </w:tc>
        <w:tc>
          <w:tcPr/>
          <w:p>
            <w:pPr>
              <w:pStyle w:val="Compact"/>
              <w:jc w:val="left"/>
            </w:pPr>
            <w:r>
              <w:t xml:space="preserve">IV (penalty constant pending)</w:t>
            </w:r>
          </w:p>
        </w:tc>
      </w:tr>
      <w:tr>
        <w:tc>
          <w:tcPr/>
          <w:p>
            <w:pPr>
              <w:pStyle w:val="Compact"/>
              <w:jc w:val="left"/>
            </w:pPr>
            <w:r>
              <w:t xml:space="preserve">3.3</w:t>
            </w:r>
          </w:p>
        </w:tc>
        <w:tc>
          <w:tcPr/>
          <w:p>
            <w:pPr>
              <w:pStyle w:val="Compact"/>
              <w:jc w:val="left"/>
            </w:pPr>
            <w:r>
              <w:t xml:space="preserve">Logistic calibration on the logit, γ</w:t>
            </w:r>
            <w:r>
              <w:rPr>
                <w:vertAlign w:val="subscript"/>
              </w:rPr>
              <w:t xml:space="preserve">1</w:t>
            </w:r>
            <w:r>
              <w:t xml:space="preserve"> </w:t>
            </w:r>
            <w:r>
              <w:t xml:space="preserve">&gt; 0</w:t>
            </w:r>
          </w:p>
        </w:tc>
        <w:tc>
          <w:tcPr/>
          <w:p>
            <w:pPr>
              <w:pStyle w:val="Compact"/>
              <w:jc w:val="left"/>
            </w:pPr>
            <w:r>
              <w:t xml:space="preserve">Adapted</w:t>
            </w:r>
          </w:p>
        </w:tc>
        <w:tc>
          <w:tcPr/>
          <w:p>
            <w:pPr>
              <w:pStyle w:val="Compact"/>
              <w:jc w:val="left"/>
            </w:pPr>
            <w:r>
              <w:t xml:space="preserve">Platt (1999); Guo et al. (2017); Kull et al. (2017)</w:t>
            </w:r>
          </w:p>
        </w:tc>
        <w:tc>
          <w:tcPr/>
          <w:p>
            <w:pPr>
              <w:pStyle w:val="Compact"/>
              <w:jc w:val="left"/>
            </w:pPr>
            <w:r>
              <w:t xml:space="preserve">Platt NC; Guo FV; Kull FV</w:t>
            </w:r>
          </w:p>
        </w:tc>
      </w:tr>
      <w:tr>
        <w:tc>
          <w:tcPr/>
          <w:p>
            <w:pPr>
              <w:pStyle w:val="Compact"/>
              <w:jc w:val="left"/>
            </w:pPr>
            <w:r>
              <w:t xml:space="preserve">3.4</w:t>
            </w:r>
          </w:p>
        </w:tc>
        <w:tc>
          <w:tcPr/>
          <w:p>
            <w:pPr>
              <w:pStyle w:val="Compact"/>
              <w:jc w:val="left"/>
            </w:pPr>
            <w:r>
              <w:t xml:space="preserve">Calibration fit by negative log-likelihood</w:t>
            </w:r>
          </w:p>
        </w:tc>
        <w:tc>
          <w:tcPr/>
          <w:p>
            <w:pPr>
              <w:pStyle w:val="Compact"/>
              <w:jc w:val="left"/>
            </w:pPr>
            <w:r>
              <w:t xml:space="preserve">Established</w:t>
            </w:r>
          </w:p>
        </w:tc>
        <w:tc>
          <w:tcPr/>
          <w:p>
            <w:pPr>
              <w:pStyle w:val="Compact"/>
              <w:jc w:val="left"/>
            </w:pPr>
            <w:r>
              <w:t xml:space="preserve">Guo et al. (2017)</w:t>
            </w:r>
          </w:p>
        </w:tc>
        <w:tc>
          <w:tcPr/>
          <w:p>
            <w:pPr>
              <w:pStyle w:val="Compact"/>
              <w:jc w:val="left"/>
            </w:pPr>
            <w:r>
              <w:t xml:space="preserve">FV</w:t>
            </w:r>
          </w:p>
        </w:tc>
      </w:tr>
      <w:tr>
        <w:tc>
          <w:tcPr/>
          <w:p>
            <w:pPr>
              <w:pStyle w:val="Compact"/>
              <w:jc w:val="left"/>
            </w:pPr>
            <w:r>
              <w:t xml:space="preserve">3.5</w:t>
            </w:r>
          </w:p>
        </w:tc>
        <w:tc>
          <w:tcPr/>
          <w:p>
            <w:pPr>
              <w:pStyle w:val="Compact"/>
              <w:jc w:val="left"/>
            </w:pPr>
            <w:r>
              <w:t xml:space="preserve">Adversarial loss of Modify</w:t>
            </w:r>
          </w:p>
        </w:tc>
        <w:tc>
          <w:tcPr/>
          <w:p>
            <w:pPr>
              <w:pStyle w:val="Compact"/>
              <w:jc w:val="left"/>
            </w:pPr>
            <w:r>
              <w:t xml:space="preserve">Derived (assumption A-Mod)</w:t>
            </w:r>
          </w:p>
        </w:tc>
        <w:tc>
          <w:tcPr/>
          <w:p>
            <w:pPr>
              <w:pStyle w:val="Compact"/>
              <w:jc w:val="left"/>
            </w:pPr>
            <w:r>
              <w:t xml:space="preserve">Law of total expectation</w:t>
            </w:r>
          </w:p>
        </w:tc>
        <w:tc>
          <w:tcPr/>
          <w:p>
            <w:pPr>
              <w:pStyle w:val="Compact"/>
              <w:jc w:val="left"/>
            </w:pPr>
            <w:r>
              <w:t xml:space="preserve">DER</w:t>
            </w:r>
          </w:p>
        </w:tc>
      </w:tr>
      <w:tr>
        <w:tc>
          <w:tcPr/>
          <w:p>
            <w:pPr>
              <w:pStyle w:val="Compact"/>
              <w:jc w:val="left"/>
            </w:pPr>
            <w:r>
              <w:t xml:space="preserve">3.6</w:t>
            </w:r>
          </w:p>
        </w:tc>
        <w:tc>
          <w:tcPr/>
          <w:p>
            <w:pPr>
              <w:pStyle w:val="Compact"/>
              <w:jc w:val="left"/>
            </w:pPr>
            <w:r>
              <w:t xml:space="preserve">Conditional risk</w:t>
            </w:r>
          </w:p>
        </w:tc>
        <w:tc>
          <w:tcPr/>
          <w:p>
            <w:pPr>
              <w:pStyle w:val="Compact"/>
              <w:jc w:val="left"/>
            </w:pPr>
            <w:r>
              <w:t xml:space="preserve">Adapted</w:t>
            </w:r>
          </w:p>
        </w:tc>
        <w:tc>
          <w:tcPr/>
          <w:p>
            <w:pPr>
              <w:pStyle w:val="Compact"/>
              <w:jc w:val="left"/>
            </w:pPr>
            <w:r>
              <w:t xml:space="preserve">Elkan (2001)</w:t>
            </w:r>
          </w:p>
        </w:tc>
        <w:tc>
          <w:tcPr/>
          <w:p>
            <w:pPr>
              <w:pStyle w:val="Compact"/>
              <w:jc w:val="left"/>
            </w:pPr>
            <w:r>
              <w:t xml:space="preserve">FV (Eq. 1 form)</w:t>
            </w:r>
          </w:p>
        </w:tc>
      </w:tr>
      <w:tr>
        <w:tc>
          <w:tcPr/>
          <w:p>
            <w:pPr>
              <w:pStyle w:val="Compact"/>
              <w:jc w:val="left"/>
            </w:pPr>
            <w:r>
              <w:t xml:space="preserve">3.7</w:t>
            </w:r>
          </w:p>
        </w:tc>
        <w:tc>
          <w:tcPr/>
          <w:p>
            <w:pPr>
              <w:pStyle w:val="Compact"/>
              <w:jc w:val="left"/>
            </w:pPr>
            <w:r>
              <w:t xml:space="preserve">Bayes verdict with tie-breaking</w:t>
            </w:r>
          </w:p>
        </w:tc>
        <w:tc>
          <w:tcPr/>
          <w:p>
            <w:pPr>
              <w:pStyle w:val="Compact"/>
              <w:jc w:val="left"/>
            </w:pPr>
            <w:r>
              <w:t xml:space="preserve">Adapted</w:t>
            </w:r>
          </w:p>
        </w:tc>
        <w:tc>
          <w:tcPr/>
          <w:p>
            <w:pPr>
              <w:pStyle w:val="Compact"/>
              <w:jc w:val="left"/>
            </w:pPr>
            <w:r>
              <w:t xml:space="preserve">Elkan (2001)</w:t>
            </w:r>
          </w:p>
        </w:tc>
        <w:tc>
          <w:tcPr/>
          <w:p>
            <w:pPr>
              <w:pStyle w:val="Compact"/>
              <w:jc w:val="left"/>
            </w:pPr>
            <w:r>
              <w:t xml:space="preserve">FV; tie order DEF</w:t>
            </w:r>
          </w:p>
        </w:tc>
      </w:tr>
      <w:tr>
        <w:tc>
          <w:tcPr/>
          <w:p>
            <w:pPr>
              <w:pStyle w:val="Compact"/>
              <w:jc w:val="left"/>
            </w:pPr>
            <w:r>
              <w:t xml:space="preserve">3.8</w:t>
            </w:r>
          </w:p>
        </w:tc>
        <w:tc>
          <w:tcPr/>
          <w:p>
            <w:pPr>
              <w:pStyle w:val="Compact"/>
              <w:jc w:val="left"/>
            </w:pPr>
            <w:r>
              <w:t xml:space="preserve">Pairwise indifference threshold</w:t>
            </w:r>
          </w:p>
        </w:tc>
        <w:tc>
          <w:tcPr/>
          <w:p>
            <w:pPr>
              <w:pStyle w:val="Compact"/>
              <w:jc w:val="left"/>
            </w:pPr>
            <w:r>
              <w:t xml:space="preserve">Derived</w:t>
            </w:r>
          </w:p>
        </w:tc>
        <w:tc>
          <w:tcPr/>
          <w:p>
            <w:pPr>
              <w:pStyle w:val="Compact"/>
              <w:jc w:val="left"/>
            </w:pPr>
            <w:r>
              <w:t xml:space="preserve">From Eq. 3.6</w:t>
            </w:r>
          </w:p>
        </w:tc>
        <w:tc>
          <w:tcPr/>
          <w:p>
            <w:pPr>
              <w:pStyle w:val="Compact"/>
              <w:jc w:val="left"/>
            </w:pPr>
            <w:r>
              <w:t xml:space="preserve">DER</w:t>
            </w:r>
          </w:p>
        </w:tc>
      </w:tr>
      <w:tr>
        <w:tc>
          <w:tcPr/>
          <w:p>
            <w:pPr>
              <w:pStyle w:val="Compact"/>
              <w:jc w:val="left"/>
            </w:pPr>
            <w:r>
              <w:t xml:space="preserve">3.9</w:t>
            </w:r>
          </w:p>
        </w:tc>
        <w:tc>
          <w:tcPr/>
          <w:p>
            <w:pPr>
              <w:pStyle w:val="Compact"/>
              <w:jc w:val="left"/>
            </w:pPr>
            <w:r>
              <w:t xml:space="preserve">Allow–Block threshold</w:t>
            </w:r>
          </w:p>
        </w:tc>
        <w:tc>
          <w:tcPr/>
          <w:p>
            <w:pPr>
              <w:pStyle w:val="Compact"/>
              <w:jc w:val="left"/>
            </w:pPr>
            <w:r>
              <w:t xml:space="preserve">Derived</w:t>
            </w:r>
          </w:p>
        </w:tc>
        <w:tc>
          <w:tcPr/>
          <w:p>
            <w:pPr>
              <w:pStyle w:val="Compact"/>
              <w:jc w:val="left"/>
            </w:pPr>
            <w:r>
              <w:t xml:space="preserve">From Eq. 3.8; consistent with Elkan (2001)</w:t>
            </w:r>
          </w:p>
        </w:tc>
        <w:tc>
          <w:tcPr/>
          <w:p>
            <w:pPr>
              <w:pStyle w:val="Compact"/>
              <w:jc w:val="left"/>
            </w:pPr>
            <w:r>
              <w:t xml:space="preserve">DER</w:t>
            </w:r>
          </w:p>
        </w:tc>
      </w:tr>
      <w:tr>
        <w:tc>
          <w:tcPr/>
          <w:p>
            <w:pPr>
              <w:pStyle w:val="Compact"/>
              <w:jc w:val="left"/>
            </w:pPr>
            <w:r>
              <w:t xml:space="preserve">3.10</w:t>
            </w:r>
          </w:p>
        </w:tc>
        <w:tc>
          <w:tcPr/>
          <w:p>
            <w:pPr>
              <w:pStyle w:val="Compact"/>
              <w:jc w:val="left"/>
            </w:pPr>
            <w:r>
              <w:t xml:space="preserve">Escalation feasibility condition</w:t>
            </w:r>
          </w:p>
        </w:tc>
        <w:tc>
          <w:tcPr/>
          <w:p>
            <w:pPr>
              <w:pStyle w:val="Compact"/>
              <w:jc w:val="left"/>
            </w:pPr>
            <w:r>
              <w:t xml:space="preserve">Derived</w:t>
            </w:r>
          </w:p>
        </w:tc>
        <w:tc>
          <w:tcPr/>
          <w:p>
            <w:pPr>
              <w:pStyle w:val="Compact"/>
              <w:jc w:val="left"/>
            </w:pPr>
            <w:r>
              <w:t xml:space="preserve">From Eqs. 3.6, 3.7, 3.9; Chow (1970) conceptual basis</w:t>
            </w:r>
          </w:p>
        </w:tc>
        <w:tc>
          <w:tcPr/>
          <w:p>
            <w:pPr>
              <w:pStyle w:val="Compact"/>
              <w:jc w:val="left"/>
            </w:pPr>
            <w:r>
              <w:t xml:space="preserve">DER; Chow IV</w:t>
            </w:r>
          </w:p>
        </w:tc>
      </w:tr>
      <w:tr>
        <w:tc>
          <w:tcPr/>
          <w:p>
            <w:pPr>
              <w:pStyle w:val="Compact"/>
              <w:jc w:val="left"/>
            </w:pPr>
            <w:r>
              <w:t xml:space="preserve">3.11</w:t>
            </w:r>
          </w:p>
        </w:tc>
        <w:tc>
          <w:tcPr/>
          <w:p>
            <w:pPr>
              <w:pStyle w:val="Compact"/>
              <w:jc w:val="left"/>
            </w:pPr>
            <w:r>
              <w:t xml:space="preserve">Linear attribution</w:t>
            </w:r>
          </w:p>
        </w:tc>
        <w:tc>
          <w:tcPr/>
          <w:p>
            <w:pPr>
              <w:pStyle w:val="Compact"/>
              <w:jc w:val="left"/>
            </w:pPr>
            <w:r>
              <w:t xml:space="preserve">Adapted</w:t>
            </w:r>
          </w:p>
        </w:tc>
        <w:tc>
          <w:tcPr/>
          <w:p>
            <w:pPr>
              <w:pStyle w:val="Compact"/>
              <w:jc w:val="left"/>
            </w:pPr>
            <w:r>
              <w:t xml:space="preserve">Lundberg &amp; Lee (2017)</w:t>
            </w:r>
          </w:p>
        </w:tc>
        <w:tc>
          <w:tcPr/>
          <w:p>
            <w:pPr>
              <w:pStyle w:val="Compact"/>
              <w:jc w:val="left"/>
            </w:pPr>
            <w:r>
              <w:t xml:space="preserve">FV</w:t>
            </w:r>
          </w:p>
        </w:tc>
      </w:tr>
      <w:tr>
        <w:tc>
          <w:tcPr/>
          <w:p>
            <w:pPr>
              <w:pStyle w:val="Compact"/>
              <w:jc w:val="left"/>
            </w:pPr>
            <w:r>
              <w:t xml:space="preserve">3.12</w:t>
            </w:r>
          </w:p>
        </w:tc>
        <w:tc>
          <w:tcPr/>
          <w:p>
            <w:pPr>
              <w:pStyle w:val="Compact"/>
              <w:jc w:val="left"/>
            </w:pPr>
            <w:r>
              <w:t xml:space="preserve">Completeness identity</w:t>
            </w:r>
          </w:p>
        </w:tc>
        <w:tc>
          <w:tcPr/>
          <w:p>
            <w:pPr>
              <w:pStyle w:val="Compact"/>
              <w:jc w:val="left"/>
            </w:pPr>
            <w:r>
              <w:t xml:space="preserve">Derived</w:t>
            </w:r>
          </w:p>
        </w:tc>
        <w:tc>
          <w:tcPr/>
          <w:p>
            <w:pPr>
              <w:pStyle w:val="Compact"/>
              <w:jc w:val="left"/>
            </w:pPr>
            <w:r>
              <w:t xml:space="preserve">Lundberg &amp; Lee (2017) local accuracy</w:t>
            </w:r>
          </w:p>
        </w:tc>
        <w:tc>
          <w:tcPr/>
          <w:p>
            <w:pPr>
              <w:pStyle w:val="Compact"/>
              <w:jc w:val="left"/>
            </w:pPr>
            <w:r>
              <w:t xml:space="preserve">FV + DER</w:t>
            </w:r>
          </w:p>
        </w:tc>
      </w:tr>
      <w:tr>
        <w:tc>
          <w:tcPr/>
          <w:p>
            <w:pPr>
              <w:pStyle w:val="Compact"/>
              <w:jc w:val="left"/>
            </w:pPr>
            <w:r>
              <w:t xml:space="preserve">3.13</w:t>
            </w:r>
          </w:p>
        </w:tc>
        <w:tc>
          <w:tcPr/>
          <w:p>
            <w:pPr>
              <w:pStyle w:val="Compact"/>
              <w:jc w:val="left"/>
            </w:pPr>
            <w:r>
              <w:t xml:space="preserve">Group attribution</w:t>
            </w:r>
          </w:p>
        </w:tc>
        <w:tc>
          <w:tcPr/>
          <w:p>
            <w:pPr>
              <w:pStyle w:val="Compact"/>
              <w:jc w:val="left"/>
            </w:pPr>
            <w:r>
              <w:t xml:space="preserve">Definition</w:t>
            </w:r>
          </w:p>
        </w:tc>
        <w:tc>
          <w:tcPr/>
          <w:p>
            <w:pPr>
              <w:pStyle w:val="Compact"/>
              <w:jc w:val="left"/>
            </w:pPr>
            <w:r>
              <w:t xml:space="preserve">—</w:t>
            </w:r>
          </w:p>
        </w:tc>
        <w:tc>
          <w:tcPr/>
          <w:p>
            <w:pPr>
              <w:pStyle w:val="Compact"/>
              <w:jc w:val="left"/>
            </w:pPr>
            <w:r>
              <w:t xml:space="preserve">DEF</w:t>
            </w:r>
          </w:p>
        </w:tc>
      </w:tr>
      <w:tr>
        <w:tc>
          <w:tcPr/>
          <w:p>
            <w:pPr>
              <w:pStyle w:val="Compact"/>
              <w:jc w:val="left"/>
            </w:pPr>
            <w:r>
              <w:t xml:space="preserve">3.14</w:t>
            </w:r>
          </w:p>
        </w:tc>
        <w:tc>
          <w:tcPr/>
          <w:p>
            <w:pPr>
              <w:pStyle w:val="Compact"/>
              <w:jc w:val="left"/>
            </w:pPr>
            <w:r>
              <w:t xml:space="preserve">Baseline operating-point threshold</w:t>
            </w:r>
          </w:p>
        </w:tc>
        <w:tc>
          <w:tcPr/>
          <w:p>
            <w:pPr>
              <w:pStyle w:val="Compact"/>
              <w:jc w:val="left"/>
            </w:pPr>
            <w:r>
              <w:t xml:space="preserve">Definition</w:t>
            </w:r>
          </w:p>
        </w:tc>
        <w:tc>
          <w:tcPr/>
          <w:p>
            <w:pPr>
              <w:pStyle w:val="Compact"/>
              <w:jc w:val="left"/>
            </w:pPr>
            <w:r>
              <w:t xml:space="preserve">—</w:t>
            </w:r>
          </w:p>
        </w:tc>
        <w:tc>
          <w:tcPr/>
          <w:p>
            <w:pPr>
              <w:pStyle w:val="Compact"/>
              <w:jc w:val="left"/>
            </w:pPr>
            <w:r>
              <w:t xml:space="preserve">DEF</w:t>
            </w:r>
          </w:p>
        </w:tc>
      </w:tr>
      <w:tr>
        <w:tc>
          <w:tcPr/>
          <w:p>
            <w:pPr>
              <w:pStyle w:val="Compact"/>
              <w:jc w:val="left"/>
            </w:pPr>
            <w:r>
              <w:t xml:space="preserve">3.15</w:t>
            </w:r>
          </w:p>
        </w:tc>
        <w:tc>
          <w:tcPr/>
          <w:p>
            <w:pPr>
              <w:pStyle w:val="Compact"/>
              <w:jc w:val="left"/>
            </w:pPr>
            <w:r>
              <w:t xml:space="preserve">Bernoulli log-likelihood ratio (optional)</w:t>
            </w:r>
          </w:p>
        </w:tc>
        <w:tc>
          <w:tcPr/>
          <w:p>
            <w:pPr>
              <w:pStyle w:val="Compact"/>
              <w:jc w:val="left"/>
            </w:pPr>
            <w:r>
              <w:t xml:space="preserve">Derived</w:t>
            </w:r>
          </w:p>
        </w:tc>
        <w:tc>
          <w:tcPr/>
          <w:p>
            <w:pPr>
              <w:pStyle w:val="Compact"/>
              <w:jc w:val="left"/>
            </w:pPr>
            <w:r>
              <w:t xml:space="preserve">Basseville &amp; Nikiforov (1993); Reynolds &amp; Stoumbos (1999)</w:t>
            </w:r>
          </w:p>
        </w:tc>
        <w:tc>
          <w:tcPr/>
          <w:p>
            <w:pPr>
              <w:pStyle w:val="Compact"/>
              <w:jc w:val="left"/>
            </w:pPr>
            <w:r>
              <w:t xml:space="preserve">FV; R&amp;S IV</w:t>
            </w:r>
          </w:p>
        </w:tc>
      </w:tr>
      <w:tr>
        <w:tc>
          <w:tcPr/>
          <w:p>
            <w:pPr>
              <w:pStyle w:val="Compact"/>
              <w:jc w:val="left"/>
            </w:pPr>
            <w:r>
              <w:t xml:space="preserve">3.16</w:t>
            </w:r>
          </w:p>
        </w:tc>
        <w:tc>
          <w:tcPr/>
          <w:p>
            <w:pPr>
              <w:pStyle w:val="Compact"/>
              <w:jc w:val="left"/>
            </w:pPr>
            <w:r>
              <w:t xml:space="preserve">CUSUM recursion (optional)</w:t>
            </w:r>
          </w:p>
        </w:tc>
        <w:tc>
          <w:tcPr/>
          <w:p>
            <w:pPr>
              <w:pStyle w:val="Compact"/>
              <w:jc w:val="left"/>
            </w:pPr>
            <w:r>
              <w:t xml:space="preserve">Established</w:t>
            </w:r>
          </w:p>
        </w:tc>
        <w:tc>
          <w:tcPr/>
          <w:p>
            <w:pPr>
              <w:pStyle w:val="Compact"/>
              <w:jc w:val="left"/>
            </w:pPr>
            <w:r>
              <w:t xml:space="preserve">Basseville &amp; Nikiforov (1993); Page (1954)</w:t>
            </w:r>
          </w:p>
        </w:tc>
        <w:tc>
          <w:tcPr/>
          <w:p>
            <w:pPr>
              <w:pStyle w:val="Compact"/>
              <w:jc w:val="left"/>
            </w:pPr>
            <w:r>
              <w:t xml:space="preserve">FV; Page IV</w:t>
            </w:r>
          </w:p>
        </w:tc>
      </w:tr>
      <w:tr>
        <w:tc>
          <w:tcPr/>
          <w:p>
            <w:pPr>
              <w:pStyle w:val="Compact"/>
              <w:jc w:val="left"/>
            </w:pPr>
            <w:r>
              <w:t xml:space="preserve">3.17</w:t>
            </w:r>
          </w:p>
        </w:tc>
        <w:tc>
          <w:tcPr/>
          <w:p>
            <w:pPr>
              <w:pStyle w:val="Compact"/>
              <w:jc w:val="left"/>
            </w:pPr>
            <w:r>
              <w:t xml:space="preserve">Alarm time (optional)</w:t>
            </w:r>
          </w:p>
        </w:tc>
        <w:tc>
          <w:tcPr/>
          <w:p>
            <w:pPr>
              <w:pStyle w:val="Compact"/>
              <w:jc w:val="left"/>
            </w:pPr>
            <w:r>
              <w:t xml:space="preserve">Established</w:t>
            </w:r>
          </w:p>
        </w:tc>
        <w:tc>
          <w:tcPr/>
          <w:p>
            <w:pPr>
              <w:pStyle w:val="Compact"/>
              <w:jc w:val="left"/>
            </w:pPr>
            <w:r>
              <w:t xml:space="preserve">Basseville &amp; Nikiforov (1993)</w:t>
            </w:r>
          </w:p>
        </w:tc>
        <w:tc>
          <w:tcPr/>
          <w:p>
            <w:pPr>
              <w:pStyle w:val="Compact"/>
              <w:jc w:val="left"/>
            </w:pPr>
            <w:r>
              <w:t xml:space="preserve">FV</w:t>
            </w:r>
          </w:p>
        </w:tc>
      </w:tr>
      <w:tr>
        <w:tc>
          <w:tcPr/>
          <w:p>
            <w:pPr>
              <w:pStyle w:val="Compact"/>
              <w:jc w:val="left"/>
            </w:pPr>
            <w:r>
              <w:t xml:space="preserve">3.18</w:t>
            </w:r>
          </w:p>
        </w:tc>
        <w:tc>
          <w:tcPr/>
          <w:p>
            <w:pPr>
              <w:pStyle w:val="Compact"/>
              <w:jc w:val="left"/>
            </w:pPr>
            <w:r>
              <w:t xml:space="preserve">Per-episode false-alarm rate (optional)</w:t>
            </w:r>
          </w:p>
        </w:tc>
        <w:tc>
          <w:tcPr/>
          <w:p>
            <w:pPr>
              <w:pStyle w:val="Compact"/>
              <w:jc w:val="left"/>
            </w:pPr>
            <w:r>
              <w:t xml:space="preserve">Definition</w:t>
            </w:r>
          </w:p>
        </w:tc>
        <w:tc>
          <w:tcPr/>
          <w:p>
            <w:pPr>
              <w:pStyle w:val="Compact"/>
              <w:jc w:val="left"/>
            </w:pPr>
            <w:r>
              <w:t xml:space="preserve">—</w:t>
            </w:r>
          </w:p>
        </w:tc>
        <w:tc>
          <w:tcPr/>
          <w:p>
            <w:pPr>
              <w:pStyle w:val="Compact"/>
              <w:jc w:val="left"/>
            </w:pPr>
            <w:r>
              <w:t xml:space="preserve">DEF</w:t>
            </w:r>
          </w:p>
        </w:tc>
      </w:tr>
      <w:tr>
        <w:tc>
          <w:tcPr/>
          <w:p>
            <w:pPr>
              <w:pStyle w:val="Compact"/>
              <w:jc w:val="left"/>
            </w:pPr>
            <w:r>
              <w:t xml:space="preserve">3.19</w:t>
            </w:r>
          </w:p>
        </w:tc>
        <w:tc>
          <w:tcPr/>
          <w:p>
            <w:pPr>
              <w:pStyle w:val="Compact"/>
              <w:jc w:val="left"/>
            </w:pPr>
            <w:r>
              <w:t xml:space="preserve">Detection delay (optional)</w:t>
            </w:r>
          </w:p>
        </w:tc>
        <w:tc>
          <w:tcPr/>
          <w:p>
            <w:pPr>
              <w:pStyle w:val="Compact"/>
              <w:jc w:val="left"/>
            </w:pPr>
            <w:r>
              <w:t xml:space="preserve">Definition</w:t>
            </w:r>
          </w:p>
        </w:tc>
        <w:tc>
          <w:tcPr/>
          <w:p>
            <w:pPr>
              <w:pStyle w:val="Compact"/>
              <w:jc w:val="left"/>
            </w:pPr>
            <w:r>
              <w:t xml:space="preserve">—</w:t>
            </w:r>
          </w:p>
        </w:tc>
        <w:tc>
          <w:tcPr/>
          <w:p>
            <w:pPr>
              <w:pStyle w:val="Compact"/>
              <w:jc w:val="left"/>
            </w:pPr>
            <w:r>
              <w:t xml:space="preserve">DEF</w:t>
            </w:r>
          </w:p>
        </w:tc>
      </w:tr>
      <w:tr>
        <w:tc>
          <w:tcPr/>
          <w:p>
            <w:pPr>
              <w:pStyle w:val="Compact"/>
              <w:jc w:val="left"/>
            </w:pPr>
            <w:r>
              <w:t xml:space="preserve">3.20</w:t>
            </w:r>
          </w:p>
        </w:tc>
        <w:tc>
          <w:tcPr/>
          <w:p>
            <w:pPr>
              <w:pStyle w:val="Compact"/>
              <w:jc w:val="left"/>
            </w:pPr>
            <w:r>
              <w:t xml:space="preserve">Expected calibration error</w:t>
            </w:r>
          </w:p>
        </w:tc>
        <w:tc>
          <w:tcPr/>
          <w:p>
            <w:pPr>
              <w:pStyle w:val="Compact"/>
              <w:jc w:val="left"/>
            </w:pPr>
            <w:r>
              <w:t xml:space="preserve">Adapted</w:t>
            </w:r>
          </w:p>
        </w:tc>
        <w:tc>
          <w:tcPr/>
          <w:p>
            <w:pPr>
              <w:pStyle w:val="Compact"/>
              <w:jc w:val="left"/>
            </w:pPr>
            <w:r>
              <w:t xml:space="preserve">Naeini et al. (2015); Guo et al. (2017)</w:t>
            </w:r>
          </w:p>
        </w:tc>
        <w:tc>
          <w:tcPr/>
          <w:p>
            <w:pPr>
              <w:pStyle w:val="Compact"/>
              <w:jc w:val="left"/>
            </w:pPr>
            <w:r>
              <w:t xml:space="preserve">FV</w:t>
            </w:r>
          </w:p>
        </w:tc>
      </w:tr>
      <w:tr>
        <w:tc>
          <w:tcPr/>
          <w:p>
            <w:pPr>
              <w:pStyle w:val="Compact"/>
              <w:jc w:val="left"/>
            </w:pPr>
            <w:r>
              <w:t xml:space="preserve">3.21</w:t>
            </w:r>
          </w:p>
        </w:tc>
        <w:tc>
          <w:tcPr/>
          <w:p>
            <w:pPr>
              <w:pStyle w:val="Compact"/>
              <w:jc w:val="left"/>
            </w:pPr>
            <w:r>
              <w:t xml:space="preserve">Log-loss</w:t>
            </w:r>
          </w:p>
        </w:tc>
        <w:tc>
          <w:tcPr/>
          <w:p>
            <w:pPr>
              <w:pStyle w:val="Compact"/>
              <w:jc w:val="left"/>
            </w:pPr>
            <w:r>
              <w:t xml:space="preserve">Derived</w:t>
            </w:r>
          </w:p>
        </w:tc>
        <w:tc>
          <w:tcPr/>
          <w:p>
            <w:pPr>
              <w:pStyle w:val="Compact"/>
              <w:jc w:val="left"/>
            </w:pPr>
            <w:r>
              <w:t xml:space="preserve">From Eq. 3.2</w:t>
            </w:r>
          </w:p>
        </w:tc>
        <w:tc>
          <w:tcPr/>
          <w:p>
            <w:pPr>
              <w:pStyle w:val="Compact"/>
              <w:jc w:val="left"/>
            </w:pPr>
            <w:r>
              <w:t xml:space="preserve">DER</w:t>
            </w:r>
          </w:p>
        </w:tc>
      </w:tr>
      <w:tr>
        <w:tc>
          <w:tcPr/>
          <w:p>
            <w:pPr>
              <w:pStyle w:val="Compact"/>
              <w:jc w:val="left"/>
            </w:pPr>
            <w:r>
              <w:t xml:space="preserve">3.22</w:t>
            </w:r>
          </w:p>
        </w:tc>
        <w:tc>
          <w:tcPr/>
          <w:p>
            <w:pPr>
              <w:pStyle w:val="Compact"/>
              <w:jc w:val="left"/>
            </w:pPr>
            <w:r>
              <w:t xml:space="preserve">Realized loss</w:t>
            </w:r>
          </w:p>
        </w:tc>
        <w:tc>
          <w:tcPr/>
          <w:p>
            <w:pPr>
              <w:pStyle w:val="Compact"/>
              <w:jc w:val="left"/>
            </w:pPr>
            <w:r>
              <w:t xml:space="preserve">Definition</w:t>
            </w:r>
          </w:p>
        </w:tc>
        <w:tc>
          <w:tcPr/>
          <w:p>
            <w:pPr>
              <w:pStyle w:val="Compact"/>
              <w:jc w:val="left"/>
            </w:pPr>
            <w:r>
              <w:t xml:space="preserve">—</w:t>
            </w:r>
          </w:p>
        </w:tc>
        <w:tc>
          <w:tcPr/>
          <w:p>
            <w:pPr>
              <w:pStyle w:val="Compact"/>
              <w:jc w:val="left"/>
            </w:pPr>
            <w:r>
              <w:t xml:space="preserve">DEF</w:t>
            </w:r>
          </w:p>
        </w:tc>
      </w:tr>
    </w:tbl>
    <w:p>
      <w:pPr>
        <w:pStyle w:val="BodyText"/>
      </w:pPr>
      <w:r>
        <w:rPr>
          <w:bCs/>
          <w:b/>
        </w:rPr>
        <w:t xml:space="preserve">Implementation conventions.</w:t>
      </w:r>
      <w:r>
        <w:t xml:space="preserve"> </w:t>
      </w:r>
      <w:r>
        <w:t xml:space="preserve">Four conventions in the implementation differ in form from the equations as printed; none changes their meaning:</w:t>
      </w:r>
    </w:p>
    <w:p>
      <w:pPr>
        <w:numPr>
          <w:ilvl w:val="0"/>
          <w:numId w:val="1154"/>
        </w:numPr>
        <w:pStyle w:val="Compact"/>
      </w:pPr>
      <w:r>
        <w:rPr>
          <w:bCs/>
          <w:b/>
        </w:rPr>
        <w:t xml:space="preserve">Eq. 3.2:</w:t>
      </w:r>
      <w:r>
        <w:t xml:space="preserve"> </w:t>
      </w:r>
      <w:r>
        <w:t xml:space="preserve">the code’s penalty is (λ</w:t>
      </w:r>
      <w:r>
        <w:rPr>
          <w:vertAlign w:val="subscript"/>
        </w:rPr>
        <w:t xml:space="preserve">impl</w:t>
      </w:r>
      <w:r>
        <w:t xml:space="preserve">/2)‖β‖², so λ = λ</w:t>
      </w:r>
      <w:r>
        <w:rPr>
          <w:vertAlign w:val="subscript"/>
        </w:rPr>
        <w:t xml:space="preserve">impl</w:t>
      </w:r>
      <w:r>
        <w:t xml:space="preserve">/2 (Section 3.7.1).</w:t>
      </w:r>
    </w:p>
    <w:p>
      <w:pPr>
        <w:numPr>
          <w:ilvl w:val="0"/>
          <w:numId w:val="1154"/>
        </w:numPr>
        <w:pStyle w:val="Compact"/>
      </w:pPr>
      <w:r>
        <w:rPr>
          <w:bCs/>
          <w:b/>
        </w:rPr>
        <w:t xml:space="preserve">Eq. 3.4:</w:t>
      </w:r>
      <w:r>
        <w:t xml:space="preserve"> </w:t>
      </w:r>
      <w:r>
        <w:t xml:space="preserve">the label-NLL fit is the reference; Platt’s smoothed targets are a sensitivity variant.</w:t>
      </w:r>
    </w:p>
    <w:p>
      <w:pPr>
        <w:numPr>
          <w:ilvl w:val="0"/>
          <w:numId w:val="1154"/>
        </w:numPr>
        <w:pStyle w:val="Compact"/>
      </w:pPr>
      <w:r>
        <w:rPr>
          <w:bCs/>
          <w:b/>
        </w:rPr>
        <w:t xml:space="preserve">Eq. 3.14:</w:t>
      </w:r>
      <w:r>
        <w:t xml:space="preserve"> </w:t>
      </w:r>
      <w:r>
        <w:t xml:space="preserve">the candidate set includes a value just above the largest benign probability.</w:t>
      </w:r>
    </w:p>
    <w:p>
      <w:pPr>
        <w:numPr>
          <w:ilvl w:val="0"/>
          <w:numId w:val="1154"/>
        </w:numPr>
        <w:pStyle w:val="Compact"/>
      </w:pPr>
      <w:r>
        <w:rPr>
          <w:bCs/>
          <w:b/>
        </w:rPr>
        <w:t xml:space="preserve">Eq. 3.20:</w:t>
      </w:r>
      <w:r>
        <w:t xml:space="preserve"> </w:t>
      </w:r>
      <w:r>
        <w:t xml:space="preserve">steps with p = 0 fall in the first bin.</w:t>
      </w:r>
    </w:p>
    <w:p>
      <w:pPr>
        <w:pStyle w:val="FirstParagraph"/>
      </w:pPr>
      <w:r>
        <w:t xml:space="preserve">These conventions are listed with the code location of each equation in the requirement–equation–function–test table of Chapter 4.</w:t>
      </w:r>
    </w:p>
    <w:p>
      <w:pPr>
        <w:pStyle w:val="BodyText"/>
      </w:pPr>
      <w:r>
        <w:rPr>
          <w:iCs/>
          <w:i/>
        </w:rPr>
        <w:t xml:space="preserve">Verification codes:</w:t>
      </w:r>
      <w:r>
        <w:t xml:space="preserve"> </w:t>
      </w:r>
      <w:r>
        <w:t xml:space="preserve">FV — formulation checked against the source; IV — source identity confirmed, formulation to be checked against the full text; NC — source not accessible during this revision; DER — derived in this chapter; DEF — design definition. The codes are retained until final reference verification is complete.</w:t>
      </w:r>
    </w:p>
    <w:bookmarkEnd w:id="159"/>
    <w:bookmarkStart w:id="160" w:name="chapter-summary-1"/>
    <w:p>
      <w:pPr>
        <w:pStyle w:val="Heading2"/>
      </w:pPr>
      <w:r>
        <w:t xml:space="preserve">3.16 Chapter Summary</w:t>
      </w:r>
    </w:p>
    <w:p>
      <w:pPr>
        <w:pStyle w:val="FirstParagraph"/>
      </w:pPr>
      <w:r>
        <w:t xml:space="preserve">This chapter specified the REM methodology as one runtime pipeline in five layers:</w:t>
      </w:r>
    </w:p>
    <w:p>
      <w:pPr>
        <w:numPr>
          <w:ilvl w:val="0"/>
          <w:numId w:val="1155"/>
        </w:numPr>
        <w:pStyle w:val="Compact"/>
      </w:pPr>
      <w:r>
        <w:rPr>
          <w:bCs/>
          <w:b/>
        </w:rPr>
        <w:t xml:space="preserve">Input &amp; Context:</w:t>
      </w:r>
      <w:r>
        <w:t xml:space="preserve"> </w:t>
      </w:r>
      <w:r>
        <w:t xml:space="preserve">captures the proposed action and labels context by provenance.</w:t>
      </w:r>
    </w:p>
    <w:p>
      <w:pPr>
        <w:numPr>
          <w:ilvl w:val="0"/>
          <w:numId w:val="1155"/>
        </w:numPr>
        <w:pStyle w:val="Compact"/>
      </w:pPr>
      <w:r>
        <w:rPr>
          <w:bCs/>
          <w:b/>
        </w:rPr>
        <w:t xml:space="preserve">Detection:</w:t>
      </w:r>
      <w:r>
        <w:t xml:space="preserve"> </w:t>
      </w:r>
      <w:r>
        <w:t xml:space="preserve">computes context evidence.</w:t>
      </w:r>
    </w:p>
    <w:p>
      <w:pPr>
        <w:numPr>
          <w:ilvl w:val="0"/>
          <w:numId w:val="1155"/>
        </w:numPr>
        <w:pStyle w:val="Compact"/>
      </w:pPr>
      <w:r>
        <w:rPr>
          <w:bCs/>
          <w:b/>
        </w:rPr>
        <w:t xml:space="preserve">Behavioral Analysis:</w:t>
      </w:r>
      <w:r>
        <w:t xml:space="preserve"> </w:t>
      </w:r>
      <w:r>
        <w:t xml:space="preserve">computes history and action-provenance evidence.</w:t>
      </w:r>
    </w:p>
    <w:p>
      <w:pPr>
        <w:numPr>
          <w:ilvl w:val="0"/>
          <w:numId w:val="1155"/>
        </w:numPr>
        <w:pStyle w:val="Compact"/>
      </w:pPr>
      <w:r>
        <w:rPr>
          <w:bCs/>
          <w:b/>
        </w:rPr>
        <w:t xml:space="preserve">Decision Engine:</w:t>
      </w:r>
      <w:r>
        <w:t xml:space="preserve"> </w:t>
      </w:r>
      <w:r>
        <w:t xml:space="preserve">estimates a calibrated probability of adversarial induction with ridge logistic regression and Platt calibration on the logit, assigns a declared consequence tier, applies policy predicates, selects a verdict by minimizing conditional risk under tier-indexed losses, and writes an audit record whose linear attribution never influences the verdict.</w:t>
      </w:r>
    </w:p>
    <w:p>
      <w:pPr>
        <w:numPr>
          <w:ilvl w:val="0"/>
          <w:numId w:val="1155"/>
        </w:numPr>
        <w:pStyle w:val="Compact"/>
      </w:pPr>
      <w:r>
        <w:rPr>
          <w:bCs/>
          <w:b/>
        </w:rPr>
        <w:t xml:space="preserve">Mitigation:</w:t>
      </w:r>
      <w:r>
        <w:t xml:space="preserve"> </w:t>
      </w:r>
      <w:r>
        <w:t xml:space="preserve">executes Allow, tool restriction, escalation, or Block.</w:t>
      </w:r>
    </w:p>
    <w:p>
      <w:pPr>
        <w:pStyle w:val="FirstParagraph"/>
      </w:pPr>
      <w:r>
        <w:t xml:space="preserve">Offline fitting and recalibration are cross-cutting activities, not a layer.</w:t>
      </w:r>
    </w:p>
    <w:p>
      <w:pPr>
        <w:pStyle w:val="BodyText"/>
      </w:pPr>
      <w:r>
        <w:t xml:space="preserve">The evaluation uses the AgentDojo banking environment with nested grouped cross-fitting instead of independent partitions. It explicitly accounts for positive-step scarcity, the shared attacker account identifier, repeated task templates, and short trajectories. It compares REM with a consequence-independent baseline on the same estimator, reports cost-free primary metrics, and reports realized loss only across a declared grid that includes misspecified costs. The contribution is bounded as an empirical and integrative one. Chapter 4 describes the implementation.</w:t>
      </w:r>
    </w:p>
    <w:bookmarkEnd w:id="160"/>
    <w:bookmarkStart w:id="161" w:name="references-2"/>
    <w:p>
      <w:pPr>
        <w:pStyle w:val="Heading2"/>
      </w:pPr>
      <w:r>
        <w:t xml:space="preserve">References</w:t>
      </w:r>
    </w:p>
    <w:p>
      <w:pPr>
        <w:pStyle w:val="FirstParagraph"/>
      </w:pPr>
      <w:r>
        <w:t xml:space="preserve">Arp, D., Quiring, E., Pendlebury, F., Warnecke, A., Pierazzi, F., Wressnegger, C., Cavallaro, L., &amp; Rieck, K. (2022). Dos and don’ts of machine learning in computer security. In</w:t>
      </w:r>
      <w:r>
        <w:t xml:space="preserve"> </w:t>
      </w:r>
      <w:r>
        <w:rPr>
          <w:iCs/>
          <w:i/>
        </w:rPr>
        <w:t xml:space="preserve">31st USENIX Security Symposium</w:t>
      </w:r>
      <w:r>
        <w:t xml:space="preserve">. USENIX Association. https://arxiv.org/abs/2010.09470</w:t>
      </w:r>
    </w:p>
    <w:p>
      <w:pPr>
        <w:pStyle w:val="BodyText"/>
      </w:pPr>
      <w:r>
        <w:t xml:space="preserve">Basseville, M., &amp; Nikiforov, I. V. (1993).</w:t>
      </w:r>
      <w:r>
        <w:t xml:space="preserve"> </w:t>
      </w:r>
      <w:r>
        <w:rPr>
          <w:iCs/>
          <w:i/>
        </w:rPr>
        <w:t xml:space="preserve">Detection of abrupt changes: Theory and application</w:t>
      </w:r>
      <w:r>
        <w:t xml:space="preserve">. Prentice Hall. https://people.irisa.fr/Michele.Basseville/kniga/</w:t>
      </w:r>
    </w:p>
    <w:p>
      <w:pPr>
        <w:pStyle w:val="BodyText"/>
      </w:pPr>
      <w:r>
        <w:t xml:space="preserve">Brier, G. W. (1950). Verification of forecasts expressed in terms of probability.</w:t>
      </w:r>
      <w:r>
        <w:t xml:space="preserve"> </w:t>
      </w:r>
      <w:r>
        <w:rPr>
          <w:iCs/>
          <w:i/>
        </w:rPr>
        <w:t xml:space="preserve">Monthly Weather Review, 78</w:t>
      </w:r>
      <w:r>
        <w:t xml:space="preserve">(1), 1–3. https://doi.org/10.1175/1520-0493(1950)078&lt;0001:VOFEIT&gt;2.0.CO;2</w:t>
      </w:r>
    </w:p>
    <w:p>
      <w:pPr>
        <w:pStyle w:val="BodyText"/>
      </w:pPr>
      <w:r>
        <w:t xml:space="preserve">Chen, H.-H. (2026).</w:t>
      </w:r>
      <w:r>
        <w:t xml:space="preserve"> </w:t>
      </w:r>
      <w:r>
        <w:rPr>
          <w:iCs/>
          <w:i/>
        </w:rPr>
        <w:t xml:space="preserve">Insuring every action: An authority frontier framework for runtime actuarial control of autonomous AI agents</w:t>
      </w:r>
      <w:r>
        <w:t xml:space="preserve"> </w:t>
      </w:r>
      <w:r>
        <w:t xml:space="preserve">(arXiv:2605.25632) [Preprint]. arXiv. https://arxiv.org/abs/2605.25632</w:t>
      </w:r>
    </w:p>
    <w:p>
      <w:pPr>
        <w:pStyle w:val="BodyText"/>
      </w:pPr>
      <w:r>
        <w:t xml:space="preserve">Chennabasappa, S., Nikolaidis, C., Song, D., Molnar, D., Ding, S., Wan, S., Whitman, S., Deason, L., Doucette, N., Montilla, A., Gampa, A., de Paola, B., Gabi, D., Crnkovich, J., Testud, J.-C., He, K., Chaturvedi, R., Zhou, W., &amp; Saxe, J. (2025).</w:t>
      </w:r>
      <w:r>
        <w:t xml:space="preserve"> </w:t>
      </w:r>
      <w:r>
        <w:rPr>
          <w:iCs/>
          <w:i/>
        </w:rPr>
        <w:t xml:space="preserve">LlamaFirewall: An open source guardrail system for building secure AI agents</w:t>
      </w:r>
      <w:r>
        <w:t xml:space="preserve"> </w:t>
      </w:r>
      <w:r>
        <w:t xml:space="preserve">(arXiv:2505.03574) [Preprint]. arXiv. https://arxiv.org/abs/2505.03574</w:t>
      </w:r>
    </w:p>
    <w:p>
      <w:pPr>
        <w:pStyle w:val="BodyText"/>
      </w:pPr>
      <w:r>
        <w:t xml:space="preserve">Chow, C. K. (1970). On optimum recognition error and reject tradeoff.</w:t>
      </w:r>
      <w:r>
        <w:t xml:space="preserve"> </w:t>
      </w:r>
      <w:r>
        <w:rPr>
          <w:iCs/>
          <w:i/>
        </w:rPr>
        <w:t xml:space="preserve">IEEE Transactions on Information Theory, 16</w:t>
      </w:r>
      <w:r>
        <w:t xml:space="preserve">(1), 41–46. https://doi.org/10.1109/TIT.1970.1054406</w:t>
      </w:r>
    </w:p>
    <w:p>
      <w:pPr>
        <w:pStyle w:val="BodyText"/>
      </w:pPr>
      <w:r>
        <w:t xml:space="preserve">Cox, D. R. (1958). The regression analysis of binary sequences.</w:t>
      </w:r>
      <w:r>
        <w:t xml:space="preserve"> </w:t>
      </w:r>
      <w:r>
        <w:rPr>
          <w:iCs/>
          <w:i/>
        </w:rPr>
        <w:t xml:space="preserve">Journal of the Royal Statistical Society: Series B (Methodological), 20</w:t>
      </w:r>
      <w:r>
        <w:t xml:space="preserve">(2), 215–232. https://doi.org/10.1111/j.2517-6161.1958.tb00292.x</w:t>
      </w:r>
    </w:p>
    <w:p>
      <w:pPr>
        <w:pStyle w:val="BodyText"/>
      </w:pPr>
      <w:r>
        <w:t xml:space="preserve">Davis, J., &amp; Goadrich, M. (2006). The relationship between precision-recall and ROC curves. In</w:t>
      </w:r>
      <w:r>
        <w:t xml:space="preserve"> </w:t>
      </w:r>
      <w:r>
        <w:rPr>
          <w:iCs/>
          <w:i/>
        </w:rPr>
        <w:t xml:space="preserve">Proceedings of the 23rd International Conference on Machine Learning</w:t>
      </w:r>
      <w:r>
        <w:t xml:space="preserve"> </w:t>
      </w:r>
      <w:r>
        <w:t xml:space="preserve">(pp. 233–240). ACM. https://doi.org/10.1145/1143844.1143874</w:t>
      </w:r>
    </w:p>
    <w:p>
      <w:pPr>
        <w:pStyle w:val="BodyText"/>
      </w:pPr>
      <w:r>
        <w:t xml:space="preserve">Debenedetti, E., Shumailov, I., Fan, T., Hayes, J., Carlini, N., Fabian, D., Kern, C., Shi, C., Terzis, A., &amp; Tramèr, F. (2025).</w:t>
      </w:r>
      <w:r>
        <w:t xml:space="preserve"> </w:t>
      </w:r>
      <w:r>
        <w:rPr>
          <w:iCs/>
          <w:i/>
        </w:rPr>
        <w:t xml:space="preserve">Defeating prompt injections by design</w:t>
      </w:r>
      <w:r>
        <w:t xml:space="preserve"> </w:t>
      </w:r>
      <w:r>
        <w:t xml:space="preserve">(arXiv:2503.18813) [Preprint]. arXiv. https://arxiv.org/abs/2503.18813</w:t>
      </w:r>
    </w:p>
    <w:p>
      <w:pPr>
        <w:pStyle w:val="BodyText"/>
      </w:pPr>
      <w:r>
        <w:t xml:space="preserve">Debenedetti, E., Zhang, J., Balunović, M., Beurer-Kellner, L., Fischer, M., &amp; Tramèr, F. (2024). AgentDojo: A dynamic environment to evaluate prompt injection attacks and defenses for LLM agents. In</w:t>
      </w:r>
      <w:r>
        <w:t xml:space="preserve"> </w:t>
      </w:r>
      <w:r>
        <w:rPr>
          <w:iCs/>
          <w:i/>
        </w:rPr>
        <w:t xml:space="preserve">Advances in Neural Information Processing Systems 37</w:t>
      </w:r>
      <w:r>
        <w:t xml:space="preserve">. https://doi.org/10.52202/079017-2636</w:t>
      </w:r>
    </w:p>
    <w:p>
      <w:pPr>
        <w:pStyle w:val="BodyText"/>
      </w:pPr>
      <w:r>
        <w:t xml:space="preserve">Efron, B. (1979). Bootstrap methods: Another look at the jackknife.</w:t>
      </w:r>
      <w:r>
        <w:t xml:space="preserve"> </w:t>
      </w:r>
      <w:r>
        <w:rPr>
          <w:iCs/>
          <w:i/>
        </w:rPr>
        <w:t xml:space="preserve">The Annals of Statistics, 7</w:t>
      </w:r>
      <w:r>
        <w:t xml:space="preserve">(1). https://doi.org/10.1214/aos/1176344552</w:t>
      </w:r>
    </w:p>
    <w:p>
      <w:pPr>
        <w:pStyle w:val="BodyText"/>
      </w:pPr>
      <w:r>
        <w:t xml:space="preserve">Elkan, C. (2001). The foundations of cost-sensitive learning. In</w:t>
      </w:r>
      <w:r>
        <w:t xml:space="preserve"> </w:t>
      </w:r>
      <w:r>
        <w:rPr>
          <w:iCs/>
          <w:i/>
        </w:rPr>
        <w:t xml:space="preserve">Proceedings of the Seventeenth International Joint Conference on Artificial Intelligence (IJCAI-01)</w:t>
      </w:r>
      <w:r>
        <w:t xml:space="preserve">. https://cseweb.ucsd.edu/~elkan/rescale.pdf</w:t>
      </w:r>
    </w:p>
    <w:p>
      <w:pPr>
        <w:pStyle w:val="BodyText"/>
      </w:pPr>
      <w:r>
        <w:t xml:space="preserve">Fawcett, T. (2006). An introduction to ROC analysis.</w:t>
      </w:r>
      <w:r>
        <w:t xml:space="preserve"> </w:t>
      </w:r>
      <w:r>
        <w:rPr>
          <w:iCs/>
          <w:i/>
        </w:rPr>
        <w:t xml:space="preserve">Pattern Recognition Letters, 27</w:t>
      </w:r>
      <w:r>
        <w:t xml:space="preserve">(8), 861–874. https://doi.org/10.1016/j.patrec.2005.10.010</w:t>
      </w:r>
    </w:p>
    <w:p>
      <w:pPr>
        <w:pStyle w:val="BodyText"/>
      </w:pPr>
      <w:r>
        <w:t xml:space="preserve">Greshake, K., Abdelnabi, S., Mishra, S., Endres, C., Holz, T., &amp; Fritz, M. (2023). Not what you’ve signed up for: Compromising real-world LLM-integrated applications with indirect prompt injection. In</w:t>
      </w:r>
      <w:r>
        <w:t xml:space="preserve"> </w:t>
      </w:r>
      <w:r>
        <w:rPr>
          <w:iCs/>
          <w:i/>
        </w:rPr>
        <w:t xml:space="preserve">Proceedings of the 16th ACM Workshop on Artificial Intelligence and Security</w:t>
      </w:r>
      <w:r>
        <w:t xml:space="preserve"> </w:t>
      </w:r>
      <w:r>
        <w:t xml:space="preserve">(pp. 79–90). ACM. https://doi.org/10.1145/3605764.3623985</w:t>
      </w:r>
    </w:p>
    <w:p>
      <w:pPr>
        <w:pStyle w:val="BodyText"/>
      </w:pPr>
      <w:r>
        <w:t xml:space="preserve">Guo, C., Pleiss, G., Sun, Y., &amp; Weinberger, K. Q. (2017). On calibration of modern neural networks. In</w:t>
      </w:r>
      <w:r>
        <w:t xml:space="preserve"> </w:t>
      </w:r>
      <w:r>
        <w:rPr>
          <w:iCs/>
          <w:i/>
        </w:rPr>
        <w:t xml:space="preserve">Proceedings of the 34th International Conference on Machine Learning</w:t>
      </w:r>
      <w:r>
        <w:t xml:space="preserve"> </w:t>
      </w:r>
      <w:r>
        <w:t xml:space="preserve">(Vol. 70, pp. 1321–1330). PMLR. https://proceedings.mlr.press/v70/guo17a.html</w:t>
      </w:r>
    </w:p>
    <w:p>
      <w:pPr>
        <w:pStyle w:val="BodyText"/>
      </w:pPr>
      <w:r>
        <w:t xml:space="preserve">Hevner, A. R., March, S. T., Park, J., &amp; Ram, S. (2004). Design science in information systems research.</w:t>
      </w:r>
      <w:r>
        <w:t xml:space="preserve"> </w:t>
      </w:r>
      <w:r>
        <w:rPr>
          <w:iCs/>
          <w:i/>
        </w:rPr>
        <w:t xml:space="preserve">MIS Quarterly, 28</w:t>
      </w:r>
      <w:r>
        <w:t xml:space="preserve">(1), 75–106. https://doi.org/10.2307/25148625</w:t>
      </w:r>
    </w:p>
    <w:p>
      <w:pPr>
        <w:pStyle w:val="BodyText"/>
      </w:pPr>
      <w:r>
        <w:t xml:space="preserve">Hines, K., Lopez, G., Hall, M., Zarfati, F., Zunger, Y., &amp; Kiciman, E. (2024).</w:t>
      </w:r>
      <w:r>
        <w:t xml:space="preserve"> </w:t>
      </w:r>
      <w:r>
        <w:rPr>
          <w:iCs/>
          <w:i/>
        </w:rPr>
        <w:t xml:space="preserve">Defending against indirect prompt injection attacks with spotlighting</w:t>
      </w:r>
      <w:r>
        <w:t xml:space="preserve"> </w:t>
      </w:r>
      <w:r>
        <w:t xml:space="preserve">(arXiv:2403.14720) [Preprint]. arXiv. https://arxiv.org/abs/2403.14720</w:t>
      </w:r>
    </w:p>
    <w:p>
      <w:pPr>
        <w:pStyle w:val="BodyText"/>
      </w:pPr>
      <w:r>
        <w:t xml:space="preserve">Hossain, E., Nipu, M. M. H., Ornee, T. N., Rana, R., &amp; Yousefi, N. (2026).</w:t>
      </w:r>
      <w:r>
        <w:t xml:space="preserve"> </w:t>
      </w:r>
      <w:r>
        <w:rPr>
          <w:iCs/>
          <w:i/>
        </w:rPr>
        <w:t xml:space="preserve">NEXUS: Structured runtime safety for tool-using LLM agents</w:t>
      </w:r>
      <w:r>
        <w:t xml:space="preserve"> </w:t>
      </w:r>
      <w:r>
        <w:t xml:space="preserve">(arXiv:2607.19356) [Preprint]. arXiv. https://arxiv.org/abs/2607.19356</w:t>
      </w:r>
    </w:p>
    <w:p>
      <w:pPr>
        <w:pStyle w:val="BodyText"/>
      </w:pPr>
      <w:r>
        <w:t xml:space="preserve">Jia, H., Liu, Y., Chong, B., Yang, Y., Chen, Y., Liang, J., Li, Q., Lu, H., Xu, K., Zheng, H., Zhang, C., Peng, H., &amp; Yu, P. S. (2026).</w:t>
      </w:r>
      <w:r>
        <w:t xml:space="preserve"> </w:t>
      </w:r>
      <w:r>
        <w:rPr>
          <w:iCs/>
          <w:i/>
        </w:rPr>
        <w:t xml:space="preserve">FinHarness: An inline lifecycle safety harness for finance LLM agents</w:t>
      </w:r>
      <w:r>
        <w:t xml:space="preserve"> </w:t>
      </w:r>
      <w:r>
        <w:t xml:space="preserve">(arXiv:2605.27333) [Preprint]. arXiv. https://arxiv.org/abs/2605.27333</w:t>
      </w:r>
    </w:p>
    <w:p>
      <w:pPr>
        <w:pStyle w:val="BodyText"/>
      </w:pPr>
      <w:r>
        <w:t xml:space="preserve">Kull, M., Silva Filho, T., &amp; Flach, P. (2017). Beta calibration: A well-founded and easily implemented improvement on logistic calibration for binary classifiers. In</w:t>
      </w:r>
      <w:r>
        <w:t xml:space="preserve"> </w:t>
      </w:r>
      <w:r>
        <w:rPr>
          <w:iCs/>
          <w:i/>
        </w:rPr>
        <w:t xml:space="preserve">Proceedings of the 20th International Conference on Artificial Intelligence and Statistics</w:t>
      </w:r>
      <w:r>
        <w:t xml:space="preserve"> </w:t>
      </w:r>
      <w:r>
        <w:t xml:space="preserve">(Vol. 54, pp. 623–631). PMLR. https://proceedings.mlr.press/v54/kull17a.html</w:t>
      </w:r>
    </w:p>
    <w:p>
      <w:pPr>
        <w:pStyle w:val="BodyText"/>
      </w:pPr>
      <w:r>
        <w:t xml:space="preserve">le Cessie, S., &amp; van Houwelingen, J. C. (1992). Ridge estimators in logistic regression.</w:t>
      </w:r>
      <w:r>
        <w:t xml:space="preserve"> </w:t>
      </w:r>
      <w:r>
        <w:rPr>
          <w:iCs/>
          <w:i/>
        </w:rPr>
        <w:t xml:space="preserve">Applied Statistics, 41</w:t>
      </w:r>
      <w:r>
        <w:t xml:space="preserve">(1), 191–201. https://doi.org/10.2307/2347628</w:t>
      </w:r>
    </w:p>
    <w:p>
      <w:pPr>
        <w:pStyle w:val="BodyText"/>
      </w:pPr>
      <w:r>
        <w:t xml:space="preserve">Li, M. Q., Fung, B. C. M., Li, B., Ismail, H., &amp; Iqbal, F. (2026).</w:t>
      </w:r>
      <w:r>
        <w:t xml:space="preserve"> </w:t>
      </w:r>
      <w:r>
        <w:rPr>
          <w:iCs/>
          <w:i/>
        </w:rPr>
        <w:t xml:space="preserve">Taxonomy and consistency analysis of safety benchmarks for AI agents</w:t>
      </w:r>
      <w:r>
        <w:t xml:space="preserve"> </w:t>
      </w:r>
      <w:r>
        <w:t xml:space="preserve">(arXiv:2605.16282) [Preprint]. arXiv. https://arxiv.org/abs/2605.16282</w:t>
      </w:r>
    </w:p>
    <w:p>
      <w:pPr>
        <w:pStyle w:val="BodyText"/>
      </w:pPr>
      <w:r>
        <w:t xml:space="preserve">Liu, H., Ilyushin, E., Ni, J., &amp; Zhu, M. (2026).</w:t>
      </w:r>
      <w:r>
        <w:t xml:space="preserve"> </w:t>
      </w:r>
      <w:r>
        <w:rPr>
          <w:iCs/>
          <w:i/>
        </w:rPr>
        <w:t xml:space="preserve">SafeAgent: A runtime protection architecture for agentic systems</w:t>
      </w:r>
      <w:r>
        <w:t xml:space="preserve"> </w:t>
      </w:r>
      <w:r>
        <w:t xml:space="preserve">(arXiv:2604.17562) [Preprint]. arXiv. https://arxiv.org/abs/2604.17562</w:t>
      </w:r>
    </w:p>
    <w:p>
      <w:pPr>
        <w:pStyle w:val="BodyText"/>
      </w:pPr>
      <w:r>
        <w:t xml:space="preserve">Lorden, G. (1971). Procedures for reacting to a change in distribution.</w:t>
      </w:r>
      <w:r>
        <w:t xml:space="preserve"> </w:t>
      </w:r>
      <w:r>
        <w:rPr>
          <w:iCs/>
          <w:i/>
        </w:rPr>
        <w:t xml:space="preserve">The Annals of Mathematical Statistics, 42</w:t>
      </w:r>
      <w:r>
        <w:t xml:space="preserve">(6), 1897–1908. https://doi.org/10.1214/aoms/1177693055</w:t>
      </w:r>
    </w:p>
    <w:p>
      <w:pPr>
        <w:pStyle w:val="BodyText"/>
      </w:pPr>
      <w:r>
        <w:t xml:space="preserve">Lundberg, S. M., &amp; Lee, S.-I. (2017). A unified approach to interpreting model predictions. In</w:t>
      </w:r>
      <w:r>
        <w:t xml:space="preserve"> </w:t>
      </w:r>
      <w:r>
        <w:rPr>
          <w:iCs/>
          <w:i/>
        </w:rPr>
        <w:t xml:space="preserve">Advances in Neural Information Processing Systems 30</w:t>
      </w:r>
      <w:r>
        <w:t xml:space="preserve">. https://arxiv.org/abs/1705.07874</w:t>
      </w:r>
    </w:p>
    <w:p>
      <w:pPr>
        <w:pStyle w:val="BodyText"/>
      </w:pPr>
      <w:r>
        <w:t xml:space="preserve">Moustakides, G. V. (1986). Optimal stopping times for detecting changes in distributions.</w:t>
      </w:r>
      <w:r>
        <w:t xml:space="preserve"> </w:t>
      </w:r>
      <w:r>
        <w:rPr>
          <w:iCs/>
          <w:i/>
        </w:rPr>
        <w:t xml:space="preserve">The Annals of Statistics, 14</w:t>
      </w:r>
      <w:r>
        <w:t xml:space="preserve">(4). https://doi.org/10.1214/aos/1176350164</w:t>
      </w:r>
    </w:p>
    <w:p>
      <w:pPr>
        <w:pStyle w:val="BodyText"/>
      </w:pPr>
      <w:r>
        <w:t xml:space="preserve">Naeini, M. P., Cooper, G., &amp; Hauskrecht, M. (2015). Obtaining well calibrated probabilities using Bayesian binning.</w:t>
      </w:r>
      <w:r>
        <w:t xml:space="preserve"> </w:t>
      </w:r>
      <w:r>
        <w:rPr>
          <w:iCs/>
          <w:i/>
        </w:rPr>
        <w:t xml:space="preserve">Proceedings of the AAAI Conference on Artificial Intelligence, 29</w:t>
      </w:r>
      <w:r>
        <w:t xml:space="preserve">(1). https://doi.org/10.1609/aaai.v29i1.9602</w:t>
      </w:r>
    </w:p>
    <w:p>
      <w:pPr>
        <w:pStyle w:val="BodyText"/>
      </w:pPr>
      <w:r>
        <w:t xml:space="preserve">OWASP Gen AI Security Project. (2025).</w:t>
      </w:r>
      <w:r>
        <w:t xml:space="preserve"> </w:t>
      </w:r>
      <w:r>
        <w:rPr>
          <w:iCs/>
          <w:i/>
        </w:rPr>
        <w:t xml:space="preserve">LLM01:2025 Prompt injection</w:t>
      </w:r>
      <w:r>
        <w:t xml:space="preserve">. OWASP Foundation. https://genai.owasp.org/llmrisk/llm01-prompt-injection/</w:t>
      </w:r>
    </w:p>
    <w:p>
      <w:pPr>
        <w:pStyle w:val="BodyText"/>
      </w:pPr>
      <w:r>
        <w:t xml:space="preserve">Page, E. S. (1954). Continuous inspection schemes.</w:t>
      </w:r>
      <w:r>
        <w:t xml:space="preserve"> </w:t>
      </w:r>
      <w:r>
        <w:rPr>
          <w:iCs/>
          <w:i/>
        </w:rPr>
        <w:t xml:space="preserve">Biometrika, 41</w:t>
      </w:r>
      <w:r>
        <w:t xml:space="preserve">(1–2), 100–115. https://doi.org/10.1093/biomet/41.1-2.100</w:t>
      </w:r>
    </w:p>
    <w:p>
      <w:pPr>
        <w:pStyle w:val="BodyText"/>
      </w:pPr>
      <w:r>
        <w:t xml:space="preserve">Peffers, K., Tuunanen, T., Rothenberger, M. A., &amp; Chatterjee, S. (2007). A design science research methodology for information systems research.</w:t>
      </w:r>
      <w:r>
        <w:t xml:space="preserve"> </w:t>
      </w:r>
      <w:r>
        <w:rPr>
          <w:iCs/>
          <w:i/>
        </w:rPr>
        <w:t xml:space="preserve">Journal of Management Information Systems, 24</w:t>
      </w:r>
      <w:r>
        <w:t xml:space="preserve">(3), 45–77. https://doi.org/10.2753/MIS0742-1222240302</w:t>
      </w:r>
    </w:p>
    <w:p>
      <w:pPr>
        <w:pStyle w:val="BodyText"/>
      </w:pPr>
      <w:r>
        <w:t xml:space="preserve">Platt, J. C. (1999). Probabilistic outputs for support vector machines and comparisons to regularized likelihood methods. In A. J. Smola, P. Bartlett, B. Schölkopf, &amp; D. Schuurmans (Eds.),</w:t>
      </w:r>
      <w:r>
        <w:t xml:space="preserve"> </w:t>
      </w:r>
      <w:r>
        <w:rPr>
          <w:iCs/>
          <w:i/>
        </w:rPr>
        <w:t xml:space="preserve">Advances in large margin classifiers</w:t>
      </w:r>
      <w:r>
        <w:t xml:space="preserve"> </w:t>
      </w:r>
      <w:r>
        <w:t xml:space="preserve">(pp. 61–74). MIT Press.</w:t>
      </w:r>
    </w:p>
    <w:p>
      <w:pPr>
        <w:pStyle w:val="BodyText"/>
      </w:pPr>
      <w:r>
        <w:t xml:space="preserve">Reynolds, M. R., Jr., &amp; Stoumbos, Z. G. (1999). A CUSUM chart for monitoring a proportion when inspecting continuously.</w:t>
      </w:r>
      <w:r>
        <w:t xml:space="preserve"> </w:t>
      </w:r>
      <w:r>
        <w:rPr>
          <w:iCs/>
          <w:i/>
        </w:rPr>
        <w:t xml:space="preserve">Journal of Quality Technology, 31</w:t>
      </w:r>
      <w:r>
        <w:t xml:space="preserve">(1), 87–108. https://doi.org/10.1080/00224065.1999.11979900</w:t>
      </w:r>
    </w:p>
    <w:p>
      <w:pPr>
        <w:pStyle w:val="BodyText"/>
      </w:pPr>
      <w:r>
        <w:t xml:space="preserve">She, Y., Liang, Y., &amp; Kang, E. (2026). Safeguarding LLM agents from misalignment through provenance analysis. In</w:t>
      </w:r>
      <w:r>
        <w:t xml:space="preserve"> </w:t>
      </w:r>
      <w:r>
        <w:rPr>
          <w:iCs/>
          <w:i/>
        </w:rPr>
        <w:t xml:space="preserve">Proceedings of the 41st IEEE/ACM International Conference on Automated Software Engineering</w:t>
      </w:r>
      <w:r>
        <w:t xml:space="preserve"> </w:t>
      </w:r>
      <w:r>
        <w:t xml:space="preserve">(pp. 3036–3048). ACM. https://doi.org/10.1145/3832783.3837535</w:t>
      </w:r>
    </w:p>
    <w:p>
      <w:pPr>
        <w:pStyle w:val="BodyText"/>
      </w:pPr>
      <w:r>
        <w:t xml:space="preserve">Wang, C. L., Singhal, T., Kelkar, A., &amp; Tuo, J. (2025).</w:t>
      </w:r>
      <w:r>
        <w:t xml:space="preserve"> </w:t>
      </w:r>
      <w:r>
        <w:rPr>
          <w:iCs/>
          <w:i/>
        </w:rPr>
        <w:t xml:space="preserve">MI9: An integrated runtime governance framework for agentic AI</w:t>
      </w:r>
      <w:r>
        <w:t xml:space="preserve"> </w:t>
      </w:r>
      <w:r>
        <w:t xml:space="preserve">(arXiv:2508.03858) [Preprint]. arXiv. https://arxiv.org/abs/2508.03858</w:t>
      </w:r>
    </w:p>
    <w:p>
      <w:pPr>
        <w:pStyle w:val="BodyText"/>
      </w:pPr>
      <w:r>
        <w:t xml:space="preserve">Wang, Y., Han, X., Shang, D., Tang, Y., &amp; Liu, B. (2026).</w:t>
      </w:r>
      <w:r>
        <w:t xml:space="preserve"> </w:t>
      </w:r>
      <w:r>
        <w:rPr>
          <w:iCs/>
          <w:i/>
        </w:rPr>
        <w:t xml:space="preserve">Safety, or just capability? A validity audit of agent-safety benchmarks</w:t>
      </w:r>
      <w:r>
        <w:t xml:space="preserve"> </w:t>
      </w:r>
      <w:r>
        <w:t xml:space="preserve">(arXiv:2607.28685) [Preprint]. arXiv. https://arxiv.org/abs/2607.28685</w:t>
      </w:r>
    </w:p>
    <w:p>
      <w:pPr>
        <w:pStyle w:val="BodyText"/>
      </w:pPr>
      <w:r>
        <w:t xml:space="preserve">Yang, C. (2026).</w:t>
      </w:r>
      <w:r>
        <w:t xml:space="preserve"> </w:t>
      </w:r>
      <w:r>
        <w:rPr>
          <w:iCs/>
          <w:i/>
        </w:rPr>
        <w:t xml:space="preserve">AgentTrust: Runtime safety evaluation and interception for AI agent tool use</w:t>
      </w:r>
      <w:r>
        <w:t xml:space="preserve"> </w:t>
      </w:r>
      <w:r>
        <w:t xml:space="preserve">(arXiv:2605.04785) [Preprint]. arXiv. https://arxiv.org/abs/2605.04785</w:t>
      </w:r>
    </w:p>
    <w:p>
      <w:pPr>
        <w:pStyle w:val="BodyText"/>
      </w:pPr>
      <w:r>
        <w:t xml:space="preserve">Zhang, C., Wan, Z., Yu, X., Wu, J., Wen, Q., Zhou, P., Zhao, W., &amp; Tsang, I. (2026).</w:t>
      </w:r>
      <w:r>
        <w:t xml:space="preserve"> </w:t>
      </w:r>
      <w:r>
        <w:rPr>
          <w:iCs/>
          <w:i/>
        </w:rPr>
        <w:t xml:space="preserve">Calibration is not control: Intervention value for LLM-agent oversight</w:t>
      </w:r>
      <w:r>
        <w:t xml:space="preserve"> </w:t>
      </w:r>
      <w:r>
        <w:t xml:space="preserve">(arXiv:2606.21399) [Preprint]. arXiv. https://arxiv.org/abs/2606.21399</w:t>
      </w:r>
    </w:p>
    <w:bookmarkEnd w:id="161"/>
    <w:bookmarkEnd w:id="162"/>
    <w:bookmarkStart w:id="163" w:name="chapter-four"/>
    <w:p>
      <w:pPr>
        <w:pStyle w:val="Heading1"/>
      </w:pPr>
      <w:r>
        <w:t xml:space="preserve">CHAPTER FOUR</w:t>
      </w:r>
    </w:p>
    <w:bookmarkEnd w:id="163"/>
    <w:bookmarkStart w:id="183" w:name="implementation-of-the-rem-framework"/>
    <w:p>
      <w:pPr>
        <w:pStyle w:val="Heading1"/>
      </w:pPr>
      <w:r>
        <w:t xml:space="preserve">IMPLEMENTATION OF THE REM FRAMEWORK</w:t>
      </w:r>
    </w:p>
    <w:bookmarkStart w:id="164" w:name="purpose-and-scope-of-the-chapter"/>
    <w:p>
      <w:pPr>
        <w:pStyle w:val="Heading2"/>
      </w:pPr>
      <w:r>
        <w:t xml:space="preserve">4.1 Purpose and Scope of the Chapter</w:t>
      </w:r>
    </w:p>
    <w:p>
      <w:pPr>
        <w:pStyle w:val="FirstParagraph"/>
      </w:pPr>
      <w:r>
        <w:t xml:space="preserve">Chapter 3 specified REM as a five-layer runtime framework that selects one of four verdicts (Allow, Modify, Escalate, Block) for each tool call proposed by an LLM agent. The verdict minimizes expected loss under a calibrated probability of adversarial inducement and a declared consequence tier, and every verdict is recorded for audit.</w:t>
      </w:r>
    </w:p>
    <w:p>
      <w:pPr>
        <w:pStyle w:val="BodyText"/>
      </w:pPr>
      <w:r>
        <w:t xml:space="preserve">This chapter reports how that specification was realized in software, how the software reaches the benchmark, and how it was verified. It distinguishes three kinds of verification throughout:</w:t>
      </w:r>
    </w:p>
    <w:p>
      <w:pPr>
        <w:numPr>
          <w:ilvl w:val="0"/>
          <w:numId w:val="1156"/>
        </w:numPr>
        <w:pStyle w:val="Compact"/>
      </w:pPr>
      <w:r>
        <w:rPr>
          <w:bCs/>
          <w:b/>
        </w:rPr>
        <w:t xml:space="preserve">Unit verification:</w:t>
      </w:r>
      <w:r>
        <w:t xml:space="preserve"> </w:t>
      </w:r>
      <w:r>
        <w:t xml:space="preserve">a function computes what its equation states, on constructed inputs.</w:t>
      </w:r>
    </w:p>
    <w:p>
      <w:pPr>
        <w:numPr>
          <w:ilvl w:val="0"/>
          <w:numId w:val="1156"/>
        </w:numPr>
        <w:pStyle w:val="Compact"/>
      </w:pPr>
      <w:r>
        <w:rPr>
          <w:bCs/>
          <w:b/>
        </w:rPr>
        <w:t xml:space="preserve">Integration verification:</w:t>
      </w:r>
      <w:r>
        <w:t xml:space="preserve"> </w:t>
      </w:r>
      <w:r>
        <w:t xml:space="preserve">the components operate together inside the benchmark’s execution loop, and the benchmark’s own checks behave as expected.</w:t>
      </w:r>
    </w:p>
    <w:p>
      <w:pPr>
        <w:numPr>
          <w:ilvl w:val="0"/>
          <w:numId w:val="1156"/>
        </w:numPr>
        <w:pStyle w:val="Compact"/>
      </w:pPr>
      <w:r>
        <w:rPr>
          <w:bCs/>
          <w:b/>
        </w:rPr>
        <w:t xml:space="preserve">Security effectiveness:</w:t>
      </w:r>
      <w:r>
        <w:t xml:space="preserve"> </w:t>
      </w:r>
      <w:r>
        <w:t xml:space="preserve">whether REM reduces attack success at acceptable cost.</w:t>
      </w:r>
    </w:p>
    <w:p>
      <w:pPr>
        <w:pStyle w:val="FirstParagraph"/>
      </w:pPr>
      <w:r>
        <w:rPr>
          <w:bCs/>
          <w:b/>
        </w:rPr>
        <w:t xml:space="preserve">This chapter establishes only the first two.</w:t>
      </w:r>
      <w:r>
        <w:t xml:space="preserve"> </w:t>
      </w:r>
      <w:r>
        <w:t xml:space="preserve">Chapter 5 reports the evidence on the third, and its limits.</w:t>
      </w:r>
    </w:p>
    <w:p>
      <w:pPr>
        <w:pStyle w:val="BodyText"/>
      </w:pPr>
      <w:r>
        <w:t xml:space="preserve">Three rules governed the implementation:</w:t>
      </w:r>
    </w:p>
    <w:p>
      <w:pPr>
        <w:numPr>
          <w:ilvl w:val="0"/>
          <w:numId w:val="1157"/>
        </w:numPr>
        <w:pStyle w:val="Compact"/>
      </w:pPr>
      <w:r>
        <w:rPr>
          <w:bCs/>
          <w:b/>
        </w:rPr>
        <w:t xml:space="preserve">Fail closed.</w:t>
      </w:r>
      <w:r>
        <w:t xml:space="preserve"> </w:t>
      </w:r>
      <w:r>
        <w:t xml:space="preserve">A design value that has not been declared stops the software (</w:t>
      </w:r>
      <w:r>
        <w:rPr>
          <w:rStyle w:val="VerbatimChar"/>
        </w:rPr>
        <w:t xml:space="preserve">DesignNotSpecifiedError</w:t>
      </w:r>
      <w:r>
        <w:t xml:space="preserve">) instead of being replaced by a default.</w:t>
      </w:r>
    </w:p>
    <w:p>
      <w:pPr>
        <w:numPr>
          <w:ilvl w:val="0"/>
          <w:numId w:val="1157"/>
        </w:numPr>
        <w:pStyle w:val="Compact"/>
      </w:pPr>
      <w:r>
        <w:rPr>
          <w:bCs/>
          <w:b/>
        </w:rPr>
        <w:t xml:space="preserve">No silent resolution.</w:t>
      </w:r>
      <w:r>
        <w:t xml:space="preserve"> </w:t>
      </w:r>
      <w:r>
        <w:t xml:space="preserve">Where Chapter 3 and the design decisions of Stage 2 disagree, both alternatives are implemented and selected explicitly. The correspondence is recorded in Section 4.12.</w:t>
      </w:r>
    </w:p>
    <w:p>
      <w:pPr>
        <w:numPr>
          <w:ilvl w:val="0"/>
          <w:numId w:val="1157"/>
        </w:numPr>
        <w:pStyle w:val="Compact"/>
      </w:pPr>
      <w:r>
        <w:rPr>
          <w:bCs/>
          <w:b/>
        </w:rPr>
        <w:t xml:space="preserve">Separation of decision and audit.</w:t>
      </w:r>
      <w:r>
        <w:t xml:space="preserve"> </w:t>
      </w:r>
      <w:r>
        <w:t xml:space="preserve">Attribution is computed after the verdict and cannot reach the decision function; this is enforced by the function’s signature and checked by a test.</w:t>
      </w:r>
    </w:p>
    <w:bookmarkEnd w:id="164"/>
    <w:bookmarkStart w:id="165" w:name="software-environment"/>
    <w:p>
      <w:pPr>
        <w:pStyle w:val="Heading2"/>
      </w:pPr>
      <w:r>
        <w:t xml:space="preserve">4.2 Software Environment</w:t>
      </w:r>
    </w:p>
    <w:p>
      <w:pPr>
        <w:pStyle w:val="FirstParagraph"/>
      </w:pPr>
      <w:r>
        <w:rPr>
          <w:bCs/>
          <w:b/>
        </w:rPr>
        <w:t xml:space="preserve">Table 4.1. Software and hardware environment of the reported runs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Language</w:t>
            </w:r>
          </w:p>
        </w:tc>
        <w:tc>
          <w:tcPr/>
          <w:p>
            <w:pPr>
              <w:pStyle w:val="Compact"/>
              <w:jc w:val="left"/>
            </w:pPr>
            <w:r>
              <w:t xml:space="preserve">Python 3.11.17</w:t>
            </w:r>
          </w:p>
        </w:tc>
      </w:tr>
      <w:tr>
        <w:tc>
          <w:tcPr/>
          <w:p>
            <w:pPr>
              <w:pStyle w:val="Compact"/>
              <w:jc w:val="left"/>
            </w:pPr>
            <w:r>
              <w:t xml:space="preserve">Numerical library</w:t>
            </w:r>
          </w:p>
        </w:tc>
        <w:tc>
          <w:tcPr/>
          <w:p>
            <w:pPr>
              <w:pStyle w:val="Compact"/>
              <w:jc w:val="left"/>
            </w:pPr>
            <w:r>
              <w:t xml:space="preserve">NumPy 2.4.6</w:t>
            </w:r>
          </w:p>
        </w:tc>
      </w:tr>
      <w:tr>
        <w:tc>
          <w:tcPr/>
          <w:p>
            <w:pPr>
              <w:pStyle w:val="Compact"/>
              <w:jc w:val="left"/>
            </w:pPr>
            <w:r>
              <w:t xml:space="preserve">Benchmark</w:t>
            </w:r>
          </w:p>
        </w:tc>
        <w:tc>
          <w:tcPr/>
          <w:p>
            <w:pPr>
              <w:pStyle w:val="Compact"/>
              <w:jc w:val="left"/>
            </w:pPr>
            <w:r>
              <w:t xml:space="preserve">AgentDojo 0.1.35 (PyPI), banking suite; suite version v1 for execution</w:t>
            </w:r>
          </w:p>
        </w:tc>
      </w:tr>
      <w:tr>
        <w:tc>
          <w:tcPr/>
          <w:p>
            <w:pPr>
              <w:pStyle w:val="Compact"/>
              <w:jc w:val="left"/>
            </w:pPr>
            <w:r>
              <w:t xml:space="preserve">Recorded traces</w:t>
            </w:r>
          </w:p>
        </w:tc>
        <w:tc>
          <w:tcPr/>
          <w:p>
            <w:pPr>
              <w:pStyle w:val="Compact"/>
              <w:jc w:val="left"/>
            </w:pPr>
            <w:r>
              <w:t xml:space="preserve">AgentDojo repository</w:t>
            </w:r>
            <w:r>
              <w:t xml:space="preserve"> </w:t>
            </w:r>
            <w:r>
              <w:rPr>
                <w:rStyle w:val="VerbatimChar"/>
              </w:rPr>
              <w:t xml:space="preserve">runs/</w:t>
            </w:r>
            <w:r>
              <w:t xml:space="preserve">, commit</w:t>
            </w:r>
            <w:r>
              <w:t xml:space="preserve"> </w:t>
            </w:r>
            <w:r>
              <w:rPr>
                <w:rStyle w:val="VerbatimChar"/>
              </w:rPr>
              <w:t xml:space="preserve">089ed468cf3ed0322acc66b0211f26d9d90dbf60</w:t>
            </w:r>
          </w:p>
        </w:tc>
      </w:tr>
      <w:tr>
        <w:tc>
          <w:tcPr/>
          <w:p>
            <w:pPr>
              <w:pStyle w:val="Compact"/>
              <w:jc w:val="left"/>
            </w:pPr>
            <w:r>
              <w:t xml:space="preserve">Test framework</w:t>
            </w:r>
          </w:p>
        </w:tc>
        <w:tc>
          <w:tcPr/>
          <w:p>
            <w:pPr>
              <w:pStyle w:val="Compact"/>
              <w:jc w:val="left"/>
            </w:pPr>
            <w:r>
              <w:t xml:space="preserve">pytest 9.1.1</w:t>
            </w:r>
          </w:p>
        </w:tc>
      </w:tr>
      <w:tr>
        <w:tc>
          <w:tcPr/>
          <w:p>
            <w:pPr>
              <w:pStyle w:val="Compact"/>
              <w:jc w:val="left"/>
            </w:pPr>
            <w:r>
              <w:t xml:space="preserve">Hardware</w:t>
            </w:r>
          </w:p>
        </w:tc>
        <w:tc>
          <w:tcPr/>
          <w:p>
            <w:pPr>
              <w:pStyle w:val="Compact"/>
              <w:jc w:val="left"/>
            </w:pPr>
            <w:r>
              <w:t xml:space="preserve">Linux container, 4 vCPU (Intel Xeon @ 2.80 GHz), 15 GB RAM</w:t>
            </w:r>
          </w:p>
        </w:tc>
      </w:tr>
      <w:tr>
        <w:tc>
          <w:tcPr/>
          <w:p>
            <w:pPr>
              <w:pStyle w:val="Compact"/>
              <w:jc w:val="left"/>
            </w:pPr>
            <w:r>
              <w:t xml:space="preserve">Code version of the reported results</w:t>
            </w:r>
          </w:p>
        </w:tc>
        <w:tc>
          <w:tcPr/>
          <w:p>
            <w:pPr>
              <w:pStyle w:val="Compact"/>
              <w:jc w:val="left"/>
            </w:pPr>
            <w:r>
              <w:t xml:space="preserve">git commit</w:t>
            </w:r>
            <w:r>
              <w:t xml:space="preserve"> </w:t>
            </w:r>
            <w:r>
              <w:rPr>
                <w:rStyle w:val="VerbatimChar"/>
              </w:rPr>
              <w:t xml:space="preserve">84a8c21</w:t>
            </w:r>
            <w:r>
              <w:t xml:space="preserve"> </w:t>
            </w:r>
            <w:r>
              <w:t xml:space="preserve">(revision R2). The first run (commit</w:t>
            </w:r>
            <w:r>
              <w:t xml:space="preserve"> </w:t>
            </w:r>
            <w:r>
              <w:rPr>
                <w:rStyle w:val="VerbatimChar"/>
              </w:rPr>
              <w:t xml:space="preserve">aa66f22</w:t>
            </w:r>
            <w:r>
              <w:t xml:space="preserve">) gave identical analytical results; see Section 4.11</w:t>
            </w:r>
          </w:p>
        </w:tc>
      </w:tr>
    </w:tbl>
    <w:p>
      <w:pPr>
        <w:pStyle w:val="BodyText"/>
      </w:pPr>
      <w:r>
        <w:t xml:space="preserve">No machine-learning framework is used. The estimator, the calibrators and every metric are implemented directly in NumPy, so that each operation can be traced to its equation (Table 4.6).</w:t>
      </w:r>
    </w:p>
    <w:bookmarkEnd w:id="165"/>
    <w:bookmarkStart w:id="166" w:name="code-organization-and-execution-paths"/>
    <w:p>
      <w:pPr>
        <w:pStyle w:val="Heading2"/>
      </w:pPr>
      <w:r>
        <w:t xml:space="preserve">4.3 Code Organization and Execution Paths</w:t>
      </w:r>
    </w:p>
    <w:p>
      <w:pPr>
        <w:pStyle w:val="FirstParagraph"/>
      </w:pPr>
      <w:r>
        <w:rPr>
          <w:bCs/>
          <w:b/>
        </w:rPr>
        <w:t xml:space="preserve">Table 4.2. Code organization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Package</w:t>
            </w:r>
          </w:p>
        </w:tc>
        <w:tc>
          <w:tcPr/>
          <w:p>
            <w:pPr>
              <w:pStyle w:val="Compact"/>
              <w:jc w:val="left"/>
            </w:pPr>
            <w:r>
              <w:t xml:space="preserve">Content</w:t>
            </w:r>
          </w:p>
        </w:tc>
      </w:tr>
      <w:tr>
        <w:tc>
          <w:tcPr/>
          <w:p>
            <w:pPr>
              <w:pStyle w:val="Compact"/>
              <w:jc w:val="left"/>
            </w:pPr>
            <w:r>
              <w:rPr>
                <w:rStyle w:val="VerbatimChar"/>
              </w:rPr>
              <w:t xml:space="preserve">rem/core/</w:t>
            </w:r>
          </w:p>
        </w:tc>
        <w:tc>
          <w:tcPr/>
          <w:p>
            <w:pPr>
              <w:pStyle w:val="Compact"/>
              <w:jc w:val="left"/>
            </w:pPr>
            <w:r>
              <w:t xml:space="preserve">Frozen pipeline skeleton (</w:t>
            </w:r>
            <w:r>
              <w:rPr>
                <w:rStyle w:val="VerbatimChar"/>
              </w:rPr>
              <w:t xml:space="preserve">RemPipeline</w:t>
            </w:r>
            <w:r>
              <w:t xml:space="preserve">), interfaces, step-level mitigation engine, append-only audit log, result types</w:t>
            </w:r>
          </w:p>
        </w:tc>
      </w:tr>
      <w:tr>
        <w:tc>
          <w:tcPr/>
          <w:p>
            <w:pPr>
              <w:pStyle w:val="Compact"/>
              <w:jc w:val="left"/>
            </w:pPr>
            <w:r>
              <w:rPr>
                <w:rStyle w:val="VerbatimChar"/>
              </w:rPr>
              <w:t xml:space="preserve">rem/algorithms/detection/</w:t>
            </w:r>
          </w:p>
        </w:tc>
        <w:tc>
          <w:tcPr/>
          <w:p>
            <w:pPr>
              <w:pStyle w:val="Compact"/>
              <w:jc w:val="left"/>
            </w:pPr>
            <w:r>
              <w:t xml:space="preserve">Ridge logistic regression (Eqs. 3.1–3.2); instruction-pattern indicator x^ctx₂</w:t>
            </w:r>
          </w:p>
        </w:tc>
      </w:tr>
      <w:tr>
        <w:tc>
          <w:tcPr/>
          <w:p>
            <w:pPr>
              <w:pStyle w:val="Compact"/>
              <w:jc w:val="left"/>
            </w:pPr>
            <w:r>
              <w:rPr>
                <w:rStyle w:val="VerbatimChar"/>
              </w:rPr>
              <w:t xml:space="preserve">rem/algorithms/calibration/</w:t>
            </w:r>
          </w:p>
        </w:tc>
        <w:tc>
          <w:tcPr/>
          <w:p>
            <w:pPr>
              <w:pStyle w:val="Compact"/>
              <w:jc w:val="left"/>
            </w:pPr>
            <w:r>
              <w:t xml:space="preserve">Platt calibration on the logit: smoothed-target fit (</w:t>
            </w:r>
            <w:r>
              <w:rPr>
                <w:rStyle w:val="VerbatimChar"/>
              </w:rPr>
              <w:t xml:space="preserve">PlattLogitCalibrator</w:t>
            </w:r>
            <w:r>
              <w:t xml:space="preserve">) and label-NLL fit (</w:t>
            </w:r>
            <w:r>
              <w:rPr>
                <w:rStyle w:val="VerbatimChar"/>
              </w:rPr>
              <w:t xml:space="preserve">LabelNLLLogitCalibrator</w:t>
            </w:r>
            <w:r>
              <w:t xml:space="preserve">, Eq. 3.4)</w:t>
            </w:r>
          </w:p>
        </w:tc>
      </w:tr>
      <w:tr>
        <w:tc>
          <w:tcPr/>
          <w:p>
            <w:pPr>
              <w:pStyle w:val="Compact"/>
              <w:jc w:val="left"/>
            </w:pPr>
            <w:r>
              <w:rPr>
                <w:rStyle w:val="VerbatimChar"/>
              </w:rPr>
              <w:t xml:space="preserve">rem/algorithms/context/</w:t>
            </w:r>
          </w:p>
        </w:tc>
        <w:tc>
          <w:tcPr/>
          <w:p>
            <w:pPr>
              <w:pStyle w:val="Compact"/>
              <w:jc w:val="left"/>
            </w:pPr>
            <w:r>
              <w:t xml:space="preserve">Provenance labels, hygiene, entity extraction</w:t>
            </w:r>
          </w:p>
        </w:tc>
      </w:tr>
      <w:tr>
        <w:tc>
          <w:tcPr/>
          <w:p>
            <w:pPr>
              <w:pStyle w:val="Compact"/>
              <w:jc w:val="left"/>
            </w:pPr>
            <w:r>
              <w:rPr>
                <w:rStyle w:val="VerbatimChar"/>
              </w:rPr>
              <w:t xml:space="preserve">rem/algorithms/behavior/</w:t>
            </w:r>
          </w:p>
        </w:tc>
        <w:tc>
          <w:tcPr/>
          <w:p>
            <w:pPr>
              <w:pStyle w:val="Compact"/>
              <w:jc w:val="left"/>
            </w:pPr>
            <w:r>
              <w:t xml:space="preserve">Evidence features (Tables 3.8–3.9); Bernoulli CUSUM (observe-only)</w:t>
            </w:r>
          </w:p>
        </w:tc>
      </w:tr>
      <w:tr>
        <w:tc>
          <w:tcPr/>
          <w:p>
            <w:pPr>
              <w:pStyle w:val="Compact"/>
              <w:jc w:val="left"/>
            </w:pPr>
            <w:r>
              <w:rPr>
                <w:rStyle w:val="VerbatimChar"/>
              </w:rPr>
              <w:t xml:space="preserve">rem/algorithms/decision/</w:t>
            </w:r>
          </w:p>
        </w:tc>
        <w:tc>
          <w:tcPr/>
          <w:p>
            <w:pPr>
              <w:pStyle w:val="Compact"/>
              <w:jc w:val="left"/>
            </w:pPr>
            <w:r>
              <w:t xml:space="preserve">Expected-loss engine; consequence tiers; loss structure and dominance check; predicates and feasible set</w:t>
            </w:r>
          </w:p>
        </w:tc>
      </w:tr>
      <w:tr>
        <w:tc>
          <w:tcPr/>
          <w:p>
            <w:pPr>
              <w:pStyle w:val="Compact"/>
              <w:jc w:val="left"/>
            </w:pPr>
            <w:r>
              <w:rPr>
                <w:rStyle w:val="VerbatimChar"/>
              </w:rPr>
              <w:t xml:space="preserve">rem/algorithms/a3.py</w:t>
            </w:r>
            <w:r>
              <w:t xml:space="preserve">,</w:t>
            </w:r>
            <w:r>
              <w:t xml:space="preserve"> </w:t>
            </w:r>
            <w:r>
              <w:rPr>
                <w:rStyle w:val="VerbatimChar"/>
              </w:rPr>
              <w:t xml:space="preserve">a1.py</w:t>
            </w:r>
            <w:r>
              <w:t xml:space="preserve">,</w:t>
            </w:r>
            <w:r>
              <w:t xml:space="preserve"> </w:t>
            </w:r>
            <w:r>
              <w:rPr>
                <w:rStyle w:val="VerbatimChar"/>
              </w:rPr>
              <w:t xml:space="preserve">a2.py</w:t>
            </w:r>
          </w:p>
        </w:tc>
        <w:tc>
          <w:tcPr/>
          <w:p>
            <w:pPr>
              <w:pStyle w:val="Compact"/>
              <w:jc w:val="left"/>
            </w:pPr>
            <w:r>
              <w:t xml:space="preserve">REM verdict rule; baseline B1; observe-only CUSUM analysis</w:t>
            </w:r>
          </w:p>
        </w:tc>
      </w:tr>
      <w:tr>
        <w:tc>
          <w:tcPr/>
          <w:p>
            <w:pPr>
              <w:pStyle w:val="Compact"/>
              <w:jc w:val="left"/>
            </w:pPr>
            <w:r>
              <w:rPr>
                <w:rStyle w:val="VerbatimChar"/>
              </w:rPr>
              <w:t xml:space="preserve">rem/evaluation/</w:t>
            </w:r>
          </w:p>
        </w:tc>
        <w:tc>
          <w:tcPr/>
          <w:p>
            <w:pPr>
              <w:pStyle w:val="Compact"/>
              <w:jc w:val="left"/>
            </w:pPr>
            <w:r>
              <w:t xml:space="preserve">Discrimination and calibration metrics; grouped bootstrap; nested grouped cross-fitting</w:t>
            </w:r>
          </w:p>
        </w:tc>
      </w:tr>
      <w:tr>
        <w:tc>
          <w:tcPr/>
          <w:p>
            <w:pPr>
              <w:pStyle w:val="Compact"/>
              <w:jc w:val="left"/>
            </w:pPr>
            <w:r>
              <w:rPr>
                <w:rStyle w:val="VerbatimChar"/>
              </w:rPr>
              <w:t xml:space="preserve">rem/integration/</w:t>
            </w:r>
          </w:p>
        </w:tc>
        <w:tc>
          <w:tcPr/>
          <w:p>
            <w:pPr>
              <w:pStyle w:val="Compact"/>
              <w:jc w:val="left"/>
            </w:pPr>
            <w:r>
              <w:t xml:space="preserve">AgentDojo trace loader, labeller, step builder, replay harness with the REM guard</w:t>
            </w:r>
          </w:p>
        </w:tc>
      </w:tr>
      <w:tr>
        <w:tc>
          <w:tcPr/>
          <w:p>
            <w:pPr>
              <w:pStyle w:val="Compact"/>
              <w:jc w:val="left"/>
            </w:pPr>
            <w:r>
              <w:rPr>
                <w:rStyle w:val="VerbatimChar"/>
              </w:rPr>
              <w:t xml:space="preserve">experiments/pilot/</w:t>
            </w:r>
          </w:p>
        </w:tc>
        <w:tc>
          <w:tcPr/>
          <w:p>
            <w:pPr>
              <w:pStyle w:val="Compact"/>
              <w:jc w:val="left"/>
            </w:pPr>
            <w:r>
              <w:t xml:space="preserve">Experiment scripts and the reproduction script</w:t>
            </w:r>
            <w:r>
              <w:t xml:space="preserve"> </w:t>
            </w:r>
            <w:r>
              <w:rPr>
                <w:rStyle w:val="VerbatimChar"/>
              </w:rPr>
              <w:t xml:space="preserve">run_all.sh</w:t>
            </w:r>
          </w:p>
        </w:tc>
      </w:tr>
    </w:tbl>
    <w:p>
      <w:pPr>
        <w:pStyle w:val="BodyText"/>
      </w:pPr>
      <w:r>
        <w:t xml:space="preserve">The names A1, A2 and A3 come from the project brief and do not denote three methodologies:</w:t>
      </w:r>
    </w:p>
    <w:p>
      <w:pPr>
        <w:numPr>
          <w:ilvl w:val="0"/>
          <w:numId w:val="1158"/>
        </w:numPr>
        <w:pStyle w:val="Compact"/>
      </w:pPr>
      <w:r>
        <w:rPr>
          <w:bCs/>
          <w:b/>
        </w:rPr>
        <w:t xml:space="preserve">A3</w:t>
      </w:r>
      <w:r>
        <w:t xml:space="preserve"> </w:t>
      </w:r>
      <w:r>
        <w:t xml:space="preserve">is the REM verdict rule;</w:t>
      </w:r>
    </w:p>
    <w:p>
      <w:pPr>
        <w:numPr>
          <w:ilvl w:val="0"/>
          <w:numId w:val="1158"/>
        </w:numPr>
        <w:pStyle w:val="Compact"/>
      </w:pPr>
      <w:r>
        <w:rPr>
          <w:bCs/>
          <w:b/>
        </w:rPr>
        <w:t xml:space="preserve">A1</w:t>
      </w:r>
      <w:r>
        <w:t xml:space="preserve"> </w:t>
      </w:r>
      <w:r>
        <w:t xml:space="preserve">is the consequence-independent baseline B1 (Chapter 3, Section 3.7.7);</w:t>
      </w:r>
    </w:p>
    <w:p>
      <w:pPr>
        <w:numPr>
          <w:ilvl w:val="0"/>
          <w:numId w:val="1158"/>
        </w:numPr>
        <w:pStyle w:val="Compact"/>
      </w:pPr>
      <w:r>
        <w:rPr>
          <w:bCs/>
          <w:b/>
        </w:rPr>
        <w:t xml:space="preserve">A2</w:t>
      </w:r>
      <w:r>
        <w:t xml:space="preserve"> </w:t>
      </w:r>
      <w:r>
        <w:t xml:space="preserve">is the optional observe-only CUSUM (Chapter 3, Section 3.11.10).</w:t>
      </w:r>
    </w:p>
    <w:p>
      <w:pPr>
        <w:pStyle w:val="FirstParagraph"/>
      </w:pPr>
      <w:r>
        <w:rPr>
          <w:bCs/>
          <w:b/>
        </w:rPr>
        <w:t xml:space="preserve">Layer of the estimator.</w:t>
      </w:r>
      <w:r>
        <w:t xml:space="preserve"> </w:t>
      </w:r>
      <w:r>
        <w:t xml:space="preserve">In this thesis the ridge estimator and the calibration map belong to the Decision Engine (Layer 4), as in Chapter 3 and Figure 3.1. The comments and layer constants of the frozen pipeline’s code label the estimator as part of Detection (Layer 2). The label does not affect any computation, and the frozen code was not edited to change it.</w:t>
      </w:r>
    </w:p>
    <w:p>
      <w:pPr>
        <w:pStyle w:val="BodyText"/>
      </w:pPr>
      <w:r>
        <w:rPr>
          <w:bCs/>
          <w:b/>
        </w:rPr>
        <w:t xml:space="preserve">Two execution paths exist, and the experiments use only one of them.</w:t>
      </w:r>
    </w:p>
    <w:p>
      <w:pPr>
        <w:numPr>
          <w:ilvl w:val="0"/>
          <w:numId w:val="1159"/>
        </w:numPr>
        <w:pStyle w:val="Compact"/>
      </w:pPr>
      <w:r>
        <w:rPr>
          <w:bCs/>
          <w:b/>
        </w:rPr>
        <w:t xml:space="preserve">The frozen pipeline</w:t>
      </w:r>
      <w:r>
        <w:t xml:space="preserve"> </w:t>
      </w:r>
      <w:r>
        <w:t xml:space="preserve">(</w:t>
      </w:r>
      <w:r>
        <w:rPr>
          <w:rStyle w:val="VerbatimChar"/>
        </w:rPr>
        <w:t xml:space="preserve">rem/core/pipeline.py</w:t>
      </w:r>
      <w:r>
        <w:t xml:space="preserve">,</w:t>
      </w:r>
      <w:r>
        <w:t xml:space="preserve"> </w:t>
      </w:r>
      <w:r>
        <w:rPr>
          <w:rStyle w:val="VerbatimChar"/>
        </w:rPr>
        <w:t xml:space="preserve">RemPipeline.evaluate_step</w:t>
      </w:r>
      <w:r>
        <w:t xml:space="preserve">) chains injected components through the five layers. It is exercised by unit and contract tests. It is</w:t>
      </w:r>
      <w:r>
        <w:t xml:space="preserve"> </w:t>
      </w:r>
      <w:r>
        <w:rPr>
          <w:bCs/>
          <w:b/>
        </w:rPr>
        <w:t xml:space="preserve">not</w:t>
      </w:r>
      <w:r>
        <w:t xml:space="preserve"> </w:t>
      </w:r>
      <w:r>
        <w:t xml:space="preserve">the path that produced any result in Chapter 5.</w:t>
      </w:r>
    </w:p>
    <w:p>
      <w:pPr>
        <w:numPr>
          <w:ilvl w:val="0"/>
          <w:numId w:val="1159"/>
        </w:numPr>
        <w:pStyle w:val="Compact"/>
      </w:pPr>
      <w:r>
        <w:rPr>
          <w:bCs/>
          <w:b/>
        </w:rPr>
        <w:t xml:space="preserve">The evaluation path</w:t>
      </w:r>
      <w:r>
        <w:t xml:space="preserve"> </w:t>
      </w:r>
      <w:r>
        <w:t xml:space="preserve">(</w:t>
      </w:r>
      <w:r>
        <w:rPr>
          <w:rStyle w:val="VerbatimChar"/>
        </w:rPr>
        <w:t xml:space="preserve">rem/integration/agentdojo_replay.py</w:t>
      </w:r>
      <w:r>
        <w:t xml:space="preserve">,</w:t>
      </w:r>
      <w:r>
        <w:t xml:space="preserve"> </w:t>
      </w:r>
      <w:r>
        <w:rPr>
          <w:rStyle w:val="VerbatimChar"/>
        </w:rPr>
        <w:t xml:space="preserve">RemGuard.evaluate</w:t>
      </w:r>
      <w:r>
        <w:t xml:space="preserve">, together with</w:t>
      </w:r>
      <w:r>
        <w:t xml:space="preserve"> </w:t>
      </w:r>
      <w:r>
        <w:rPr>
          <w:rStyle w:val="VerbatimChar"/>
        </w:rPr>
        <w:t xml:space="preserve">rem/algorithms/a3.py</w:t>
      </w:r>
      <w:r>
        <w:t xml:space="preserve">,</w:t>
      </w:r>
      <w:r>
        <w:t xml:space="preserve"> </w:t>
      </w:r>
      <w:r>
        <w:rPr>
          <w:rStyle w:val="VerbatimChar"/>
        </w:rPr>
        <w:t xml:space="preserve">A3Policy.decide</w:t>
      </w:r>
      <w:r>
        <w:t xml:space="preserve">) is the path used in every experiment. It calls the frozen components:</w:t>
      </w:r>
    </w:p>
    <w:p>
      <w:pPr>
        <w:numPr>
          <w:ilvl w:val="1"/>
          <w:numId w:val="1160"/>
        </w:numPr>
        <w:pStyle w:val="Compact"/>
      </w:pPr>
      <w:r>
        <w:t xml:space="preserve">the fitted ridge coefficients;</w:t>
      </w:r>
    </w:p>
    <w:p>
      <w:pPr>
        <w:numPr>
          <w:ilvl w:val="1"/>
          <w:numId w:val="1160"/>
        </w:numPr>
        <w:pStyle w:val="Compact"/>
      </w:pPr>
      <w:r>
        <w:t xml:space="preserve">the calibration map;</w:t>
      </w:r>
    </w:p>
    <w:p>
      <w:pPr>
        <w:numPr>
          <w:ilvl w:val="1"/>
          <w:numId w:val="1160"/>
        </w:numPr>
        <w:pStyle w:val="Compact"/>
      </w:pPr>
      <w:r>
        <w:rPr>
          <w:rStyle w:val="VerbatimChar"/>
        </w:rPr>
        <w:t xml:space="preserve">ExpectedLossDecisionEngine.conditional_risk</w:t>
      </w:r>
      <w:r>
        <w:t xml:space="preserve"> </w:t>
      </w:r>
      <w:r>
        <w:t xml:space="preserve">for Eq. 3.6;</w:t>
      </w:r>
    </w:p>
    <w:p>
      <w:pPr>
        <w:numPr>
          <w:ilvl w:val="1"/>
          <w:numId w:val="1160"/>
        </w:numPr>
        <w:pStyle w:val="Compact"/>
      </w:pPr>
      <w:r>
        <w:rPr>
          <w:rStyle w:val="VerbatimChar"/>
        </w:rPr>
        <w:t xml:space="preserve">LinearShapleyAttributor</w:t>
      </w:r>
      <w:r>
        <w:t xml:space="preserve"> </w:t>
      </w:r>
      <w:r>
        <w:t xml:space="preserve">for Eq. 3.11.</w:t>
      </w:r>
    </w:p>
    <w:p>
      <w:pPr>
        <w:numPr>
          <w:ilvl w:val="0"/>
          <w:numId w:val="1000"/>
        </w:numPr>
        <w:pStyle w:val="Compact"/>
      </w:pPr>
      <w:r>
        <w:t xml:space="preserve">It adds the Chapter 3 components the frozen pipeline lacks: features, tiers, predicates, feasible set and both mitigation semantics. Mitigation is implemented in</w:t>
      </w:r>
      <w:r>
        <w:t xml:space="preserve"> </w:t>
      </w:r>
      <w:r>
        <w:rPr>
          <w:rStyle w:val="VerbatimChar"/>
        </w:rPr>
        <w:t xml:space="preserve">RemGuard._mitigate</w:t>
      </w:r>
      <w:r>
        <w:t xml:space="preserve">, not in the frozen</w:t>
      </w:r>
      <w:r>
        <w:t xml:space="preserve"> </w:t>
      </w:r>
      <w:r>
        <w:rPr>
          <w:rStyle w:val="VerbatimChar"/>
        </w:rPr>
        <w:t xml:space="preserve">DeterministicMitigationEngine</w:t>
      </w:r>
      <w:r>
        <w:t xml:space="preserve">.</w:t>
      </w:r>
    </w:p>
    <w:p>
      <w:pPr>
        <w:pStyle w:val="FirstParagraph"/>
      </w:pPr>
      <w:r>
        <w:rPr>
          <w:bCs/>
          <w:b/>
        </w:rPr>
        <w:t xml:space="preserve">Table 4.3. Entry points and call paths of each experiment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Experiment (Chapter 5)</w:t>
            </w:r>
          </w:p>
        </w:tc>
        <w:tc>
          <w:tcPr/>
          <w:p>
            <w:pPr>
              <w:pStyle w:val="Compact"/>
              <w:jc w:val="left"/>
            </w:pPr>
            <w:r>
              <w:t xml:space="preserve">Entry point</w:t>
            </w:r>
          </w:p>
        </w:tc>
        <w:tc>
          <w:tcPr/>
          <w:p>
            <w:pPr>
              <w:pStyle w:val="Compact"/>
              <w:jc w:val="left"/>
            </w:pPr>
            <w:r>
              <w:t xml:space="preserve">Call path</w:t>
            </w:r>
          </w:p>
        </w:tc>
      </w:tr>
      <w:tr>
        <w:tc>
          <w:tcPr/>
          <w:p>
            <w:pPr>
              <w:pStyle w:val="Compact"/>
              <w:jc w:val="left"/>
            </w:pPr>
            <w:r>
              <w:t xml:space="preserve">Dataset</w:t>
            </w:r>
          </w:p>
        </w:tc>
        <w:tc>
          <w:tcPr/>
          <w:p>
            <w:pPr>
              <w:pStyle w:val="Compact"/>
              <w:jc w:val="left"/>
            </w:pPr>
            <w:r>
              <w:rPr>
                <w:rStyle w:val="VerbatimChar"/>
              </w:rPr>
              <w:t xml:space="preserve">experiments/pilot/build_dataset.py</w:t>
            </w:r>
          </w:p>
        </w:tc>
        <w:tc>
          <w:tcPr/>
          <w:p>
            <w:pPr>
              <w:pStyle w:val="Compact"/>
              <w:jc w:val="left"/>
            </w:pPr>
            <w:r>
              <w:rPr>
                <w:rStyle w:val="VerbatimChar"/>
              </w:rPr>
              <w:t xml:space="preserve">load_episode</w:t>
            </w:r>
            <w:r>
              <w:t xml:space="preserve"> </w:t>
            </w:r>
            <w:r>
              <w:t xml:space="preserve">→</w:t>
            </w:r>
            <w:r>
              <w:t xml:space="preserve"> </w:t>
            </w:r>
            <w:r>
              <w:rPr>
                <w:rStyle w:val="VerbatimChar"/>
              </w:rPr>
              <w:t xml:space="preserve">build_steps</w:t>
            </w:r>
            <w:r>
              <w:t xml:space="preserve"> </w:t>
            </w:r>
            <w:r>
              <w:t xml:space="preserve">→</w:t>
            </w:r>
            <w:r>
              <w:t xml:space="preserve"> </w:t>
            </w:r>
            <w:r>
              <w:rPr>
                <w:rStyle w:val="VerbatimChar"/>
              </w:rPr>
              <w:t xml:space="preserve">EpisodeTracker.features</w:t>
            </w:r>
            <w:r>
              <w:t xml:space="preserve"> </w:t>
            </w:r>
            <w:r>
              <w:t xml:space="preserve">→</w:t>
            </w:r>
            <w:r>
              <w:t xml:space="preserve"> </w:t>
            </w:r>
            <w:r>
              <w:rPr>
                <w:rStyle w:val="VerbatimChar"/>
              </w:rPr>
              <w:t xml:space="preserve">ReferenceLabeler.label</w:t>
            </w:r>
            <w:r>
              <w:t xml:space="preserve"> </w:t>
            </w:r>
            <w:r>
              <w:t xml:space="preserve">→</w:t>
            </w:r>
            <w:r>
              <w:t xml:space="preserve"> </w:t>
            </w:r>
            <w:r>
              <w:rPr>
                <w:rStyle w:val="VerbatimChar"/>
              </w:rPr>
              <w:t xml:space="preserve">ConsequenceTierMap.tier</w:t>
            </w:r>
          </w:p>
        </w:tc>
      </w:tr>
      <w:tr>
        <w:tc>
          <w:tcPr/>
          <w:p>
            <w:pPr>
              <w:pStyle w:val="Compact"/>
              <w:jc w:val="left"/>
            </w:pPr>
            <w:r>
              <w:t xml:space="preserve">Pilot E0</w:t>
            </w:r>
          </w:p>
        </w:tc>
        <w:tc>
          <w:tcPr/>
          <w:p>
            <w:pPr>
              <w:pStyle w:val="Compact"/>
              <w:jc w:val="left"/>
            </w:pPr>
            <w:r>
              <w:rPr>
                <w:rStyle w:val="VerbatimChar"/>
              </w:rPr>
              <w:t xml:space="preserve">e0_pilot.py</w:t>
            </w:r>
          </w:p>
        </w:tc>
        <w:tc>
          <w:tcPr/>
          <w:p>
            <w:pPr>
              <w:pStyle w:val="Compact"/>
              <w:jc w:val="left"/>
            </w:pPr>
            <w:r>
              <w:rPr>
                <w:rStyle w:val="VerbatimChar"/>
              </w:rPr>
              <w:t xml:space="preserve">nested_crossfit</w:t>
            </w:r>
            <w:r>
              <w:t xml:space="preserve"> </w:t>
            </w:r>
            <w:r>
              <w:t xml:space="preserve">on each fold’s fitting portion →</w:t>
            </w:r>
            <w:r>
              <w:t xml:space="preserve"> </w:t>
            </w:r>
            <w:r>
              <w:rPr>
                <w:rStyle w:val="VerbatimChar"/>
              </w:rPr>
              <w:t xml:space="preserve">roc_auc</w:t>
            </w:r>
          </w:p>
        </w:tc>
      </w:tr>
      <w:tr>
        <w:tc>
          <w:tcPr/>
          <w:p>
            <w:pPr>
              <w:pStyle w:val="Compact"/>
              <w:jc w:val="left"/>
            </w:pPr>
            <w:r>
              <w:t xml:space="preserve">E1 discrimination and calibration; ablation refits; grouping sensitivity</w:t>
            </w:r>
          </w:p>
        </w:tc>
        <w:tc>
          <w:tcPr/>
          <w:p>
            <w:pPr>
              <w:pStyle w:val="Compact"/>
              <w:jc w:val="left"/>
            </w:pPr>
            <w:r>
              <w:rPr>
                <w:rStyle w:val="VerbatimChar"/>
              </w:rPr>
              <w:t xml:space="preserve">run_main.py crossfit</w:t>
            </w:r>
          </w:p>
        </w:tc>
        <w:tc>
          <w:tcPr/>
          <w:p>
            <w:pPr>
              <w:pStyle w:val="Compact"/>
              <w:jc w:val="left"/>
            </w:pPr>
            <w:r>
              <w:rPr>
                <w:rStyle w:val="VerbatimChar"/>
              </w:rPr>
              <w:t xml:space="preserve">Designer</w:t>
            </w:r>
            <w:r>
              <w:t xml:space="preserve"> </w:t>
            </w:r>
            <w:r>
              <w:t xml:space="preserve">(fold-specific x^beh₄) →</w:t>
            </w:r>
            <w:r>
              <w:t xml:space="preserve"> </w:t>
            </w:r>
            <w:r>
              <w:rPr>
                <w:rStyle w:val="VerbatimChar"/>
              </w:rPr>
              <w:t xml:space="preserve">nested_crossfit</w:t>
            </w:r>
            <w:r>
              <w:t xml:space="preserve"> </w:t>
            </w:r>
            <w:r>
              <w:t xml:space="preserve">→</w:t>
            </w:r>
            <w:r>
              <w:t xml:space="preserve"> </w:t>
            </w:r>
            <w:r>
              <w:rPr>
                <w:rStyle w:val="VerbatimChar"/>
              </w:rPr>
              <w:t xml:space="preserve">RidgeLogisticRegression.fit</w:t>
            </w:r>
            <w:r>
              <w:t xml:space="preserve"> </w:t>
            </w:r>
            <w:r>
              <w:t xml:space="preserve">→ calibrator</w:t>
            </w:r>
            <w:r>
              <w:t xml:space="preserve"> </w:t>
            </w:r>
            <w:r>
              <w:rPr>
                <w:rStyle w:val="VerbatimChar"/>
              </w:rPr>
              <w:t xml:space="preserve">fit</w:t>
            </w:r>
            <w:r>
              <w:t xml:space="preserve"> </w:t>
            </w:r>
            <w:r>
              <w:t xml:space="preserve">→</w:t>
            </w:r>
            <w:r>
              <w:t xml:space="preserve"> </w:t>
            </w:r>
            <w:r>
              <w:rPr>
                <w:rStyle w:val="VerbatimChar"/>
              </w:rPr>
              <w:t xml:space="preserve">A1Thresholds.fit</w:t>
            </w:r>
          </w:p>
        </w:tc>
      </w:tr>
      <w:tr>
        <w:tc>
          <w:tcPr/>
          <w:p>
            <w:pPr>
              <w:pStyle w:val="Compact"/>
              <w:jc w:val="left"/>
            </w:pPr>
            <w:r>
              <w:t xml:space="preserve">r</w:t>
            </w:r>
            <w:r>
              <w:rPr>
                <w:vertAlign w:val="subscript"/>
              </w:rPr>
              <w:t xml:space="preserve">mod</w:t>
            </w:r>
            <w:r>
              <w:t xml:space="preserve"> </w:t>
            </w:r>
            <w:r>
              <w:t xml:space="preserve">and replay validity</w:t>
            </w:r>
          </w:p>
        </w:tc>
        <w:tc>
          <w:tcPr/>
          <w:p>
            <w:pPr>
              <w:pStyle w:val="Compact"/>
              <w:jc w:val="left"/>
            </w:pPr>
            <w:r>
              <w:rPr>
                <w:rStyle w:val="VerbatimChar"/>
              </w:rPr>
              <w:t xml:space="preserve">run_main.py rmod</w:t>
            </w:r>
          </w:p>
        </w:tc>
        <w:tc>
          <w:tcPr/>
          <w:p>
            <w:pPr>
              <w:pStyle w:val="Compact"/>
              <w:jc w:val="left"/>
            </w:pPr>
            <w:r>
              <w:rPr>
                <w:rStyle w:val="VerbatimChar"/>
              </w:rPr>
              <w:t xml:space="preserve">replay_episode</w:t>
            </w:r>
            <w:r>
              <w:t xml:space="preserve"> </w:t>
            </w:r>
            <w:r>
              <w:t xml:space="preserve">→</w:t>
            </w:r>
            <w:r>
              <w:t xml:space="preserve"> </w:t>
            </w:r>
            <w:r>
              <w:rPr>
                <w:rStyle w:val="VerbatimChar"/>
              </w:rPr>
              <w:t xml:space="preserve">GuardedToolsExecutor.query</w:t>
            </w:r>
            <w:r>
              <w:t xml:space="preserve"> </w:t>
            </w:r>
            <w:r>
              <w:t xml:space="preserve">→</w:t>
            </w:r>
            <w:r>
              <w:t xml:space="preserve"> </w:t>
            </w:r>
            <w:r>
              <w:rPr>
                <w:rStyle w:val="VerbatimChar"/>
              </w:rPr>
              <w:t xml:space="preserve">RemGuard.evaluate</w:t>
            </w:r>
            <w:r>
              <w:t xml:space="preserve"> </w:t>
            </w:r>
            <w:r>
              <w:t xml:space="preserve">(oracle Modify)</w:t>
            </w:r>
          </w:p>
        </w:tc>
      </w:tr>
      <w:tr>
        <w:tc>
          <w:tcPr/>
          <w:p>
            <w:pPr>
              <w:pStyle w:val="Compact"/>
              <w:jc w:val="left"/>
            </w:pPr>
            <w:r>
              <w:t xml:space="preserve">E2, E5 and E6 observe-only</w:t>
            </w:r>
          </w:p>
        </w:tc>
        <w:tc>
          <w:tcPr/>
          <w:p>
            <w:pPr>
              <w:pStyle w:val="Compact"/>
              <w:jc w:val="left"/>
            </w:pPr>
            <w:r>
              <w:rPr>
                <w:rStyle w:val="VerbatimChar"/>
              </w:rPr>
              <w:t xml:space="preserve">run_main.py observe</w:t>
            </w:r>
          </w:p>
        </w:tc>
        <w:tc>
          <w:tcPr/>
          <w:p>
            <w:pPr>
              <w:pStyle w:val="Compact"/>
              <w:jc w:val="left"/>
            </w:pPr>
            <w:r>
              <w:rPr>
                <w:rStyle w:val="VerbatimChar"/>
              </w:rPr>
              <w:t xml:space="preserve">A3Policy.decide</w:t>
            </w:r>
            <w:r>
              <w:t xml:space="preserve"> </w:t>
            </w:r>
            <w:r>
              <w:t xml:space="preserve">/</w:t>
            </w:r>
            <w:r>
              <w:t xml:space="preserve"> </w:t>
            </w:r>
            <w:r>
              <w:rPr>
                <w:rStyle w:val="VerbatimChar"/>
              </w:rPr>
              <w:t xml:space="preserve">A1Policy.decide</w:t>
            </w:r>
            <w:r>
              <w:t xml:space="preserve"> </w:t>
            </w:r>
            <w:r>
              <w:t xml:space="preserve">on held-out recorded steps</w:t>
            </w:r>
          </w:p>
        </w:tc>
      </w:tr>
      <w:tr>
        <w:tc>
          <w:tcPr/>
          <w:p>
            <w:pPr>
              <w:pStyle w:val="Compact"/>
              <w:jc w:val="left"/>
            </w:pPr>
            <w:r>
              <w:t xml:space="preserve">E4, E5 replay</w:t>
            </w:r>
          </w:p>
        </w:tc>
        <w:tc>
          <w:tcPr/>
          <w:p>
            <w:pPr>
              <w:pStyle w:val="Compact"/>
              <w:jc w:val="left"/>
            </w:pPr>
            <w:r>
              <w:rPr>
                <w:rStyle w:val="VerbatimChar"/>
              </w:rPr>
              <w:t xml:space="preserve">run_main.py replay</w:t>
            </w:r>
          </w:p>
        </w:tc>
        <w:tc>
          <w:tcPr/>
          <w:p>
            <w:pPr>
              <w:pStyle w:val="Compact"/>
              <w:jc w:val="left"/>
            </w:pPr>
            <w:r>
              <w:rPr>
                <w:rStyle w:val="VerbatimChar"/>
              </w:rPr>
              <w:t xml:space="preserve">replay_episode</w:t>
            </w:r>
            <w:r>
              <w:t xml:space="preserve"> </w:t>
            </w:r>
            <w:r>
              <w:t xml:space="preserve">→</w:t>
            </w:r>
            <w:r>
              <w:t xml:space="preserve"> </w:t>
            </w:r>
            <w:r>
              <w:rPr>
                <w:rStyle w:val="VerbatimChar"/>
              </w:rPr>
              <w:t xml:space="preserve">RemGuard.evaluate</w:t>
            </w:r>
            <w:r>
              <w:t xml:space="preserve"> </w:t>
            </w:r>
            <w:r>
              <w:t xml:space="preserve">→</w:t>
            </w:r>
            <w:r>
              <w:t xml:space="preserve"> </w:t>
            </w:r>
            <w:r>
              <w:rPr>
                <w:rStyle w:val="VerbatimChar"/>
              </w:rPr>
              <w:t xml:space="preserve">A3Policy.decide</w:t>
            </w:r>
            <w:r>
              <w:t xml:space="preserve"> </w:t>
            </w:r>
            <w:r>
              <w:t xml:space="preserve">→</w:t>
            </w:r>
            <w:r>
              <w:t xml:space="preserve"> </w:t>
            </w:r>
            <w:r>
              <w:rPr>
                <w:rStyle w:val="VerbatimChar"/>
              </w:rPr>
              <w:t xml:space="preserve">RemGuard._mitigate</w:t>
            </w:r>
          </w:p>
        </w:tc>
      </w:tr>
      <w:tr>
        <w:tc>
          <w:tcPr/>
          <w:p>
            <w:pPr>
              <w:pStyle w:val="Compact"/>
              <w:jc w:val="left"/>
            </w:pPr>
            <w:r>
              <w:t xml:space="preserve">E3 CUSUM</w:t>
            </w:r>
          </w:p>
        </w:tc>
        <w:tc>
          <w:tcPr/>
          <w:p>
            <w:pPr>
              <w:pStyle w:val="Compact"/>
              <w:jc w:val="left"/>
            </w:pPr>
            <w:r>
              <w:rPr>
                <w:rStyle w:val="VerbatimChar"/>
              </w:rPr>
              <w:t xml:space="preserve">run_main.py a2</w:t>
            </w:r>
          </w:p>
        </w:tc>
        <w:tc>
          <w:tcPr/>
          <w:p>
            <w:pPr>
              <w:pStyle w:val="Compact"/>
              <w:jc w:val="left"/>
            </w:pPr>
            <w:r>
              <w:rPr>
                <w:rStyle w:val="VerbatimChar"/>
              </w:rPr>
              <w:t xml:space="preserve">fit_a2</w:t>
            </w:r>
            <w:r>
              <w:t xml:space="preserve"> </w:t>
            </w:r>
            <w:r>
              <w:t xml:space="preserve">→</w:t>
            </w:r>
            <w:r>
              <w:t xml:space="preserve"> </w:t>
            </w:r>
            <w:r>
              <w:rPr>
                <w:rStyle w:val="VerbatimChar"/>
              </w:rPr>
              <w:t xml:space="preserve">evaluate_episode</w:t>
            </w:r>
          </w:p>
        </w:tc>
      </w:tr>
      <w:tr>
        <w:tc>
          <w:tcPr/>
          <w:p>
            <w:pPr>
              <w:pStyle w:val="Compact"/>
              <w:jc w:val="left"/>
            </w:pPr>
            <w:r>
              <w:t xml:space="preserve">Cross-template; recorded defenses</w:t>
            </w:r>
          </w:p>
        </w:tc>
        <w:tc>
          <w:tcPr/>
          <w:p>
            <w:pPr>
              <w:pStyle w:val="Compact"/>
              <w:jc w:val="left"/>
            </w:pPr>
            <w:r>
              <w:rPr>
                <w:rStyle w:val="VerbatimChar"/>
              </w:rPr>
              <w:t xml:space="preserve">run_main.py xt</w:t>
            </w:r>
          </w:p>
        </w:tc>
        <w:tc>
          <w:tcPr/>
          <w:p>
            <w:pPr>
              <w:pStyle w:val="Compact"/>
              <w:jc w:val="left"/>
            </w:pPr>
            <w:r>
              <w:t xml:space="preserve">as E1 scoring, and as E4 replay</w:t>
            </w:r>
          </w:p>
        </w:tc>
      </w:tr>
      <w:tr>
        <w:tc>
          <w:tcPr/>
          <w:p>
            <w:pPr>
              <w:pStyle w:val="Compact"/>
              <w:jc w:val="left"/>
            </w:pPr>
            <w:r>
              <w:t xml:space="preserve">Breakdowns, replay failures, label-audit package</w:t>
            </w:r>
          </w:p>
        </w:tc>
        <w:tc>
          <w:tcPr/>
          <w:p>
            <w:pPr>
              <w:pStyle w:val="Compact"/>
              <w:jc w:val="left"/>
            </w:pPr>
            <w:r>
              <w:rPr>
                <w:rStyle w:val="VerbatimChar"/>
              </w:rPr>
              <w:t xml:space="preserve">r2_analyses.py</w:t>
            </w:r>
          </w:p>
        </w:tc>
        <w:tc>
          <w:tcPr/>
          <w:p>
            <w:pPr>
              <w:pStyle w:val="Compact"/>
              <w:jc w:val="left"/>
            </w:pPr>
            <w:r>
              <w:t xml:space="preserve">stored state from the stages above</w:t>
            </w:r>
          </w:p>
        </w:tc>
      </w:tr>
      <w:tr>
        <w:tc>
          <w:tcPr/>
          <w:p>
            <w:pPr>
              <w:pStyle w:val="Compact"/>
              <w:jc w:val="left"/>
            </w:pPr>
            <w:r>
              <w:t xml:space="preserve">All of the above</w:t>
            </w:r>
          </w:p>
        </w:tc>
        <w:tc>
          <w:tcPr/>
          <w:p>
            <w:pPr>
              <w:pStyle w:val="Compact"/>
              <w:jc w:val="left"/>
            </w:pPr>
            <w:r>
              <w:rPr>
                <w:rStyle w:val="VerbatimChar"/>
              </w:rPr>
              <w:t xml:space="preserve">run_all.sh</w:t>
            </w:r>
          </w:p>
        </w:tc>
        <w:tc>
          <w:tcPr/>
          <w:p>
            <w:pPr>
              <w:pStyle w:val="Compact"/>
              <w:jc w:val="left"/>
            </w:pPr>
            <w:r>
              <w:t xml:space="preserve">in order; writes</w:t>
            </w:r>
            <w:r>
              <w:t xml:space="preserve"> </w:t>
            </w:r>
            <w:r>
              <w:rPr>
                <w:rStyle w:val="VerbatimChar"/>
              </w:rPr>
              <w:t xml:space="preserve">results/pilot_R2/</w:t>
            </w:r>
            <w:r>
              <w:t xml:space="preserve"> </w:t>
            </w:r>
            <w:r>
              <w:t xml:space="preserve">when</w:t>
            </w:r>
            <w:r>
              <w:t xml:space="preserve"> </w:t>
            </w:r>
            <w:r>
              <w:rPr>
                <w:rStyle w:val="VerbatimChar"/>
              </w:rPr>
              <w:t xml:space="preserve">PILOT_RESULTS_DIR</w:t>
            </w:r>
            <w:r>
              <w:t xml:space="preserve"> </w:t>
            </w:r>
            <w:r>
              <w:t xml:space="preserve">is set</w:t>
            </w:r>
          </w:p>
        </w:tc>
      </w:tr>
    </w:tbl>
    <w:bookmarkEnd w:id="166"/>
    <w:bookmarkStart w:id="167" w:name="layer-1-input-and-context"/>
    <w:p>
      <w:pPr>
        <w:pStyle w:val="Heading2"/>
      </w:pPr>
      <w:r>
        <w:t xml:space="preserve">4.4 Layer 1 — Input and Context</w:t>
      </w:r>
    </w:p>
    <w:p>
      <w:pPr>
        <w:pStyle w:val="FirstParagraph"/>
      </w:pPr>
      <w:r>
        <w:rPr>
          <w:rStyle w:val="VerbatimChar"/>
        </w:rPr>
        <w:t xml:space="preserve">rem/algorithms/context/provenance.py</w:t>
      </w:r>
      <w:r>
        <w:t xml:space="preserve"> </w:t>
      </w:r>
      <w:r>
        <w:t xml:space="preserve">implements the provenance rule of Chapter 3, Section 3.4.2:</w:t>
      </w:r>
    </w:p>
    <w:p>
      <w:pPr>
        <w:numPr>
          <w:ilvl w:val="0"/>
          <w:numId w:val="1161"/>
        </w:numPr>
        <w:pStyle w:val="Compact"/>
      </w:pPr>
      <w:r>
        <w:t xml:space="preserve">every segment is labelled trusted (system), semi-trusted (user) or untrusted (tool output);</w:t>
      </w:r>
    </w:p>
    <w:p>
      <w:pPr>
        <w:numPr>
          <w:ilvl w:val="0"/>
          <w:numId w:val="1161"/>
        </w:numPr>
        <w:pStyle w:val="Compact"/>
      </w:pPr>
      <w:r>
        <w:t xml:space="preserve">derived content takes the least-trusted label of its inputs;</w:t>
      </w:r>
    </w:p>
    <w:p>
      <w:pPr>
        <w:numPr>
          <w:ilvl w:val="0"/>
          <w:numId w:val="1161"/>
        </w:numPr>
        <w:pStyle w:val="Compact"/>
      </w:pPr>
      <w:r>
        <w:t xml:space="preserve">model-generated content has no channel label, so asking for one raises an error rather than guessing.</w:t>
      </w:r>
    </w:p>
    <w:p>
      <w:pPr>
        <w:pStyle w:val="FirstParagraph"/>
      </w:pPr>
      <w:r>
        <w:rPr>
          <w:bCs/>
          <w:b/>
        </w:rPr>
        <w:t xml:space="preserve">Hygiene.</w:t>
      </w:r>
      <w:r>
        <w:t xml:space="preserve"> </w:t>
      </w:r>
      <w:r>
        <w:t xml:space="preserve">Zero-width, bidirectional and other Unicode format characters are removed from REM’s copy of untrusted text (</w:t>
      </w:r>
      <w:r>
        <w:rPr>
          <w:rStyle w:val="VerbatimChar"/>
        </w:rPr>
        <w:t xml:space="preserve">strip_invisible</w:t>
      </w:r>
      <w:r>
        <w:t xml:space="preserve">). The text the agent receives is not altered.</w:t>
      </w:r>
    </w:p>
    <w:p>
      <w:pPr>
        <w:pStyle w:val="BodyText"/>
      </w:pPr>
      <w:r>
        <w:rPr>
          <w:bCs/>
          <w:b/>
        </w:rPr>
        <w:t xml:space="preserve">Entity extraction</w:t>
      </w:r>
      <w:r>
        <w:t xml:space="preserve"> </w:t>
      </w:r>
      <w:r>
        <w:t xml:space="preserve">is partly implemented: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Entity (Chapter 3, Section 3.4.3)</w:t>
            </w:r>
          </w:p>
        </w:tc>
        <w:tc>
          <w:tcPr/>
          <w:p>
            <w:pPr>
              <w:pStyle w:val="Compact"/>
              <w:jc w:val="left"/>
            </w:pPr>
            <w:r>
              <w:t xml:space="preserve">Status</w:t>
            </w:r>
          </w:p>
        </w:tc>
      </w:tr>
      <w:tr>
        <w:tc>
          <w:tcPr/>
          <w:p>
            <w:pPr>
              <w:pStyle w:val="Compact"/>
              <w:jc w:val="left"/>
            </w:pPr>
            <w:r>
              <w:t xml:space="preserve">Account identifiers</w:t>
            </w:r>
          </w:p>
        </w:tc>
        <w:tc>
          <w:tcPr/>
          <w:p>
            <w:pPr>
              <w:pStyle w:val="Compact"/>
              <w:jc w:val="left"/>
            </w:pPr>
            <w:r>
              <w:t xml:space="preserve">Implemented (IBAN pattern)</w:t>
            </w:r>
          </w:p>
        </w:tc>
      </w:tr>
      <w:tr>
        <w:tc>
          <w:tcPr/>
          <w:p>
            <w:pPr>
              <w:pStyle w:val="Compact"/>
              <w:jc w:val="left"/>
            </w:pPr>
            <w:r>
              <w:t xml:space="preserve">Monetary amounts</w:t>
            </w:r>
          </w:p>
        </w:tc>
        <w:tc>
          <w:tcPr/>
          <w:p>
            <w:pPr>
              <w:pStyle w:val="Compact"/>
              <w:jc w:val="left"/>
            </w:pPr>
            <w:r>
              <w:t xml:space="preserve">Implemented (numeric tokens)</w:t>
            </w:r>
          </w:p>
        </w:tc>
      </w:tr>
      <w:tr>
        <w:tc>
          <w:tcPr/>
          <w:p>
            <w:pPr>
              <w:pStyle w:val="Compact"/>
              <w:jc w:val="left"/>
            </w:pPr>
            <w:r>
              <w:t xml:space="preserve">User-profile values</w:t>
            </w:r>
          </w:p>
        </w:tc>
        <w:tc>
          <w:tcPr/>
          <w:p>
            <w:pPr>
              <w:pStyle w:val="Compact"/>
              <w:jc w:val="left"/>
            </w:pPr>
            <w:r>
              <w:t xml:space="preserve">Implemented for the values returned by the profile read</w:t>
            </w:r>
          </w:p>
        </w:tc>
      </w:tr>
      <w:tr>
        <w:tc>
          <w:tcPr/>
          <w:p>
            <w:pPr>
              <w:pStyle w:val="Compact"/>
              <w:jc w:val="left"/>
            </w:pPr>
            <w:r>
              <w:t xml:space="preserve">Tool names mentioned in text</w:t>
            </w:r>
          </w:p>
        </w:tc>
        <w:tc>
          <w:tcPr/>
          <w:p>
            <w:pPr>
              <w:pStyle w:val="Compact"/>
              <w:jc w:val="left"/>
            </w:pPr>
            <w:r>
              <w:t xml:space="preserve">Implemented, through the instruction-pattern indicator</w:t>
            </w:r>
          </w:p>
        </w:tc>
      </w:tr>
      <w:tr>
        <w:tc>
          <w:tcPr/>
          <w:p>
            <w:pPr>
              <w:pStyle w:val="Compact"/>
              <w:jc w:val="left"/>
            </w:pPr>
            <w:r>
              <w:t xml:space="preserve">Credential values</w:t>
            </w:r>
          </w:p>
        </w:tc>
        <w:tc>
          <w:tcPr/>
          <w:p>
            <w:pPr>
              <w:pStyle w:val="Compact"/>
              <w:jc w:val="left"/>
            </w:pPr>
            <w:r>
              <w:t xml:space="preserve">Not extracted as entities; a password argument is still traced to its source through argument provenance</w:t>
            </w:r>
          </w:p>
        </w:tc>
      </w:tr>
      <w:tr>
        <w:tc>
          <w:tcPr/>
          <w:p>
            <w:pPr>
              <w:pStyle w:val="Compact"/>
              <w:jc w:val="left"/>
            </w:pPr>
            <w:r>
              <w:t xml:space="preserve">Phone numbers and other profile identifiers</w:t>
            </w:r>
          </w:p>
        </w:tc>
        <w:tc>
          <w:tcPr/>
          <w:p>
            <w:pPr>
              <w:pStyle w:val="Compact"/>
              <w:jc w:val="left"/>
            </w:pPr>
            <w:r>
              <w:t xml:space="preserve">Not implemented separately</w:t>
            </w:r>
          </w:p>
        </w:tc>
      </w:tr>
    </w:tbl>
    <w:p>
      <w:pPr>
        <w:pStyle w:val="BodyText"/>
      </w:pPr>
      <w:r>
        <w:t xml:space="preserve">A declared matching rule (</w:t>
      </w:r>
      <w:r>
        <w:rPr>
          <w:rStyle w:val="VerbatimChar"/>
        </w:rPr>
        <w:t xml:space="preserve">value_occurs_in</w:t>
      </w:r>
      <w:r>
        <w:t xml:space="preserve">) links an argument value to the texts that contain it:</w:t>
      </w:r>
    </w:p>
    <w:p>
      <w:pPr>
        <w:numPr>
          <w:ilvl w:val="0"/>
          <w:numId w:val="1162"/>
        </w:numPr>
        <w:pStyle w:val="Compact"/>
      </w:pPr>
      <w:r>
        <w:t xml:space="preserve">numbers match numerically;</w:t>
      </w:r>
    </w:p>
    <w:p>
      <w:pPr>
        <w:numPr>
          <w:ilvl w:val="0"/>
          <w:numId w:val="1162"/>
        </w:numPr>
        <w:pStyle w:val="Compact"/>
      </w:pPr>
      <w:r>
        <w:t xml:space="preserve">strings match as case-insensitive substrings;</w:t>
      </w:r>
    </w:p>
    <w:p>
      <w:pPr>
        <w:numPr>
          <w:ilvl w:val="0"/>
          <w:numId w:val="1162"/>
        </w:numPr>
        <w:pStyle w:val="Compact"/>
      </w:pPr>
      <w:r>
        <w:t xml:space="preserve">strings shorter than three characters never match.</w:t>
      </w:r>
    </w:p>
    <w:bookmarkEnd w:id="167"/>
    <w:bookmarkStart w:id="168" w:name="layer-2-detection"/>
    <w:p>
      <w:pPr>
        <w:pStyle w:val="Heading2"/>
      </w:pPr>
      <w:r>
        <w:t xml:space="preserve">4.5 Layer 2 — Detection</w:t>
      </w:r>
    </w:p>
    <w:p>
      <w:pPr>
        <w:pStyle w:val="FirstParagraph"/>
      </w:pPr>
      <w:r>
        <w:rPr>
          <w:bCs/>
          <w:b/>
        </w:rPr>
        <w:t xml:space="preserve">x^ctx₂ (instruction-pattern indicator)</w:t>
      </w:r>
      <w:r>
        <w:t xml:space="preserve"> </w:t>
      </w:r>
      <w:r>
        <w:t xml:space="preserve">is implemented by</w:t>
      </w:r>
      <w:r>
        <w:t xml:space="preserve"> </w:t>
      </w:r>
      <w:r>
        <w:rPr>
          <w:rStyle w:val="VerbatimChar"/>
        </w:rPr>
        <w:t xml:space="preserve">InstructionPatternDetector</w:t>
      </w:r>
      <w:r>
        <w:t xml:space="preserve">. It fires if a declared regular expression, or the name of a tool, occurs in new untrusted segments. The pattern set is declared in the pilot configuration, and the detector refuses to run without one. The configuration discloses that the author of the patterns knew the benchmark’s templates.</w:t>
      </w:r>
    </w:p>
    <w:p>
      <w:pPr>
        <w:pStyle w:val="BodyText"/>
      </w:pPr>
      <w:r>
        <w:rPr>
          <w:bCs/>
          <w:b/>
        </w:rPr>
        <w:t xml:space="preserve">x^ctx₁ (pre-trained injection classifier) is not implemented.</w:t>
      </w:r>
      <w:r>
        <w:t xml:space="preserve"> </w:t>
      </w:r>
      <w:r>
        <w:t xml:space="preserve">The classifier choice is pending, and the candidate model’s host was unreachable from the execution environment. The feature is absent from x</w:t>
      </w:r>
      <w:r>
        <w:rPr>
          <w:vertAlign w:val="subscript"/>
        </w:rPr>
        <w:t xml:space="preserve">t</w:t>
      </w:r>
      <w:r>
        <w:t xml:space="preserve">; it is not replaced by a substitute. The context evidence tested in Chapter 5 is therefore the instruction-pattern indicator only.</w:t>
      </w:r>
    </w:p>
    <w:bookmarkEnd w:id="168"/>
    <w:bookmarkStart w:id="169" w:name="layer-3-behavioral-and-action-evidence"/>
    <w:p>
      <w:pPr>
        <w:pStyle w:val="Heading2"/>
      </w:pPr>
      <w:r>
        <w:t xml:space="preserve">4.6 Layer 3 — Behavioral and Action Evidence</w:t>
      </w:r>
    </w:p>
    <w:p>
      <w:pPr>
        <w:pStyle w:val="FirstParagraph"/>
      </w:pPr>
      <w:r>
        <w:rPr>
          <w:rStyle w:val="VerbatimChar"/>
        </w:rPr>
        <w:t xml:space="preserve">rem/algorithms/behavior/evidence.py</w:t>
      </w:r>
      <w:r>
        <w:t xml:space="preserve"> </w:t>
      </w:r>
      <w:r>
        <w:t xml:space="preserve">implements x</w:t>
      </w:r>
      <w:r>
        <w:rPr>
          <w:vertAlign w:val="superscript"/>
        </w:rPr>
        <w:t xml:space="preserve">beh₁–x</w:t>
      </w:r>
      <w:r>
        <w:t xml:space="preserve">beh₄ and x</w:t>
      </w:r>
      <w:r>
        <w:rPr>
          <w:vertAlign w:val="superscript"/>
        </w:rPr>
        <w:t xml:space="preserve">act₁–x</w:t>
      </w:r>
      <w:r>
        <w:t xml:space="preserve">act₃ (Chapter 3, Table 3.9). An</w:t>
      </w:r>
      <w:r>
        <w:t xml:space="preserve"> </w:t>
      </w:r>
      <w:r>
        <w:rPr>
          <w:rStyle w:val="VerbatimChar"/>
        </w:rPr>
        <w:t xml:space="preserve">EpisodeTracker</w:t>
      </w:r>
      <w:r>
        <w:t xml:space="preserve"> </w:t>
      </w:r>
      <w:r>
        <w:t xml:space="preserve">holds the episode history; it is reset at each episode start and never changes REM’s parameters. Where Chapter 3 is silent, the module states an interpretation (Table 4.4), so that the reader can disagree with it.</w:t>
      </w:r>
    </w:p>
    <w:p>
      <w:pPr>
        <w:pStyle w:val="BodyText"/>
      </w:pPr>
      <w:r>
        <w:rPr>
          <w:bCs/>
          <w:b/>
        </w:rPr>
        <w:t xml:space="preserve">Table 4.4. Interpretations made where Chapter 3 is silent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Question</w:t>
            </w:r>
          </w:p>
        </w:tc>
        <w:tc>
          <w:tcPr/>
          <w:p>
            <w:pPr>
              <w:pStyle w:val="Compact"/>
              <w:jc w:val="left"/>
            </w:pPr>
            <w:r>
              <w:t xml:space="preserve">Interpretation</w:t>
            </w:r>
          </w:p>
        </w:tc>
      </w:tr>
      <w:tr>
        <w:tc>
          <w:tcPr/>
          <w:p>
            <w:pPr>
              <w:pStyle w:val="Compact"/>
              <w:jc w:val="left"/>
            </w:pPr>
            <w:r>
              <w:t xml:space="preserve">I-1</w:t>
            </w:r>
          </w:p>
        </w:tc>
        <w:tc>
          <w:tcPr/>
          <w:p>
            <w:pPr>
              <w:pStyle w:val="Compact"/>
              <w:jc w:val="left"/>
            </w:pPr>
            <w:r>
              <w:t xml:space="preserve">What is a</w:t>
            </w:r>
            <w:r>
              <w:t xml:space="preserve"> </w:t>
            </w:r>
            <w:r>
              <w:t xml:space="preserve">“</w:t>
            </w:r>
            <w:r>
              <w:t xml:space="preserve">step</w:t>
            </w:r>
            <w:r>
              <w:t xml:space="preserve">”</w:t>
            </w:r>
            <w:r>
              <w:t xml:space="preserve"> </w:t>
            </w:r>
            <w:r>
              <w:t xml:space="preserve">when the agent proposes several calls at once?</w:t>
            </w:r>
          </w:p>
        </w:tc>
        <w:tc>
          <w:tcPr/>
          <w:p>
            <w:pPr>
              <w:pStyle w:val="Compact"/>
              <w:jc w:val="left"/>
            </w:pPr>
            <w:r>
              <w:t xml:space="preserve">Each proposed call is a step; calls in one assistant message share one decision point</w:t>
            </w:r>
          </w:p>
        </w:tc>
      </w:tr>
      <w:tr>
        <w:tc>
          <w:tcPr/>
          <w:p>
            <w:pPr>
              <w:pStyle w:val="Compact"/>
              <w:jc w:val="left"/>
            </w:pPr>
            <w:r>
              <w:t xml:space="preserve">I-2</w:t>
            </w:r>
          </w:p>
        </w:tc>
        <w:tc>
          <w:tcPr/>
          <w:p>
            <w:pPr>
              <w:pStyle w:val="Compact"/>
              <w:jc w:val="left"/>
            </w:pPr>
            <w:r>
              <w:t xml:space="preserve">Does x^beh₂ count refused calls?</w:t>
            </w:r>
          </w:p>
        </w:tc>
        <w:tc>
          <w:tcPr/>
          <w:p>
            <w:pPr>
              <w:pStyle w:val="Compact"/>
              <w:jc w:val="left"/>
            </w:pPr>
            <w:r>
              <w:t xml:space="preserve">Yes, because Chapter 3 states that retries raise x^beh₂</w:t>
            </w:r>
          </w:p>
        </w:tc>
      </w:tr>
      <w:tr>
        <w:tc>
          <w:tcPr/>
          <w:p>
            <w:pPr>
              <w:pStyle w:val="Compact"/>
              <w:jc w:val="left"/>
            </w:pPr>
            <w:r>
              <w:t xml:space="preserve">I-3</w:t>
            </w:r>
          </w:p>
        </w:tc>
        <w:tc>
          <w:tcPr/>
          <w:p>
            <w:pPr>
              <w:pStyle w:val="Compact"/>
              <w:jc w:val="left"/>
            </w:pPr>
            <w:r>
              <w:t xml:space="preserve">x^beh₃ at the first call</w:t>
            </w:r>
          </w:p>
        </w:tc>
        <w:tc>
          <w:tcPr/>
          <w:p>
            <w:pPr>
              <w:pStyle w:val="Compact"/>
              <w:jc w:val="left"/>
            </w:pPr>
            <w:r>
              <w:t xml:space="preserve">“</w:t>
            </w:r>
            <w:r>
              <w:t xml:space="preserve">Highest level so far</w:t>
            </w:r>
            <w:r>
              <w:t xml:space="preserve">”</w:t>
            </w:r>
            <w:r>
              <w:t xml:space="preserve"> </w:t>
            </w:r>
            <w:r>
              <w:t xml:space="preserve">is the lowest level (0)</w:t>
            </w:r>
          </w:p>
        </w:tc>
      </w:tr>
      <w:tr>
        <w:tc>
          <w:tcPr/>
          <w:p>
            <w:pPr>
              <w:pStyle w:val="Compact"/>
              <w:jc w:val="left"/>
            </w:pPr>
            <w:r>
              <w:t xml:space="preserve">I-4</w:t>
            </w:r>
          </w:p>
        </w:tc>
        <w:tc>
          <w:tcPr/>
          <w:p>
            <w:pPr>
              <w:pStyle w:val="Compact"/>
              <w:jc w:val="left"/>
            </w:pPr>
            <w:r>
              <w:t xml:space="preserve">x^beh₄ at the first call</w:t>
            </w:r>
          </w:p>
        </w:tc>
        <w:tc>
          <w:tcPr/>
          <w:p>
            <w:pPr>
              <w:pStyle w:val="Compact"/>
              <w:jc w:val="left"/>
            </w:pPr>
            <w:r>
              <w:t xml:space="preserve">Previous tool is a start symbol; start transitions belong to the reference set</w:t>
            </w:r>
          </w:p>
        </w:tc>
      </w:tr>
      <w:tr>
        <w:tc>
          <w:tcPr/>
          <w:p>
            <w:pPr>
              <w:pStyle w:val="Compact"/>
              <w:jc w:val="left"/>
            </w:pPr>
            <w:r>
              <w:t xml:space="preserve">I-5</w:t>
            </w:r>
          </w:p>
        </w:tc>
        <w:tc>
          <w:tcPr/>
          <w:p>
            <w:pPr>
              <w:pStyle w:val="Compact"/>
              <w:jc w:val="left"/>
            </w:pPr>
            <w:r>
              <w:t xml:space="preserve">x^act₂</w:t>
            </w:r>
            <w:r>
              <w:t xml:space="preserve"> </w:t>
            </w:r>
            <w:r>
              <w:t xml:space="preserve">“</w:t>
            </w:r>
            <w:r>
              <w:t xml:space="preserve">transactions before first untrusted ingestion</w:t>
            </w:r>
            <w:r>
              <w:t xml:space="preserve">”</w:t>
            </w:r>
          </w:p>
        </w:tc>
        <w:tc>
          <w:tcPr/>
          <w:p>
            <w:pPr>
              <w:pStyle w:val="Compact"/>
              <w:jc w:val="left"/>
            </w:pPr>
            <w:r>
              <w:t xml:space="preserve">Observable only through untrusted tool outputs, so it reduces to</w:t>
            </w:r>
            <w:r>
              <w:t xml:space="preserve"> </w:t>
            </w:r>
            <w:r>
              <w:t xml:space="preserve">“</w:t>
            </w:r>
            <w:r>
              <w:t xml:space="preserve">recipient not in the objective</w:t>
            </w:r>
            <w:r>
              <w:t xml:space="preserve">”</w:t>
            </w:r>
          </w:p>
        </w:tc>
      </w:tr>
      <w:tr>
        <w:tc>
          <w:tcPr/>
          <w:p>
            <w:pPr>
              <w:pStyle w:val="Compact"/>
              <w:jc w:val="left"/>
            </w:pPr>
            <w:r>
              <w:t xml:space="preserve">I-6</w:t>
            </w:r>
          </w:p>
        </w:tc>
        <w:tc>
          <w:tcPr/>
          <w:p>
            <w:pPr>
              <w:pStyle w:val="Compact"/>
              <w:jc w:val="left"/>
            </w:pPr>
            <w:r>
              <w:t xml:space="preserve">x^act₃</w:t>
            </w:r>
            <w:r>
              <w:t xml:space="preserve"> </w:t>
            </w:r>
            <w:r>
              <w:t xml:space="preserve">“</w:t>
            </w:r>
            <w:r>
              <w:t xml:space="preserve">external recipient</w:t>
            </w:r>
            <w:r>
              <w:t xml:space="preserve">”</w:t>
            </w:r>
            <w:r>
              <w:t xml:space="preserve">,</w:t>
            </w:r>
            <w:r>
              <w:t xml:space="preserve"> </w:t>
            </w:r>
            <w:r>
              <w:t xml:space="preserve">“</w:t>
            </w:r>
            <w:r>
              <w:t xml:space="preserve">sensitive values</w:t>
            </w:r>
            <w:r>
              <w:t xml:space="preserve">”</w:t>
            </w:r>
          </w:p>
        </w:tc>
        <w:tc>
          <w:tcPr/>
          <w:p>
            <w:pPr>
              <w:pStyle w:val="Compact"/>
              <w:jc w:val="left"/>
            </w:pPr>
            <w:r>
              <w:t xml:space="preserve">Recipient differs from the user’s own IBAN; sensitive values are identifiers and profile values from sensitive reads</w:t>
            </w:r>
          </w:p>
        </w:tc>
      </w:tr>
      <w:tr>
        <w:tc>
          <w:tcPr/>
          <w:p>
            <w:pPr>
              <w:pStyle w:val="Compact"/>
              <w:jc w:val="left"/>
            </w:pPr>
            <w:r>
              <w:t xml:space="preserve">I-7</w:t>
            </w:r>
          </w:p>
        </w:tc>
        <w:tc>
          <w:tcPr/>
          <w:p>
            <w:pPr>
              <w:pStyle w:val="Compact"/>
              <w:jc w:val="left"/>
            </w:pPr>
            <w:r>
              <w:t xml:space="preserve">Availability of x^act₁ for predicate D2</w:t>
            </w:r>
          </w:p>
        </w:tc>
        <w:tc>
          <w:tcPr/>
          <w:p>
            <w:pPr>
              <w:pStyle w:val="Compact"/>
              <w:jc w:val="left"/>
            </w:pPr>
            <w:r>
              <w:t xml:space="preserve">Unavailable when the tool has key arguments but the call carries none</w:t>
            </w:r>
          </w:p>
        </w:tc>
      </w:tr>
      <w:tr>
        <w:tc>
          <w:tcPr/>
          <w:p>
            <w:pPr>
              <w:pStyle w:val="Compact"/>
              <w:jc w:val="left"/>
            </w:pPr>
            <w:r>
              <w:t xml:space="preserve">I-8</w:t>
            </w:r>
          </w:p>
        </w:tc>
        <w:tc>
          <w:tcPr/>
          <w:p>
            <w:pPr>
              <w:pStyle w:val="Compact"/>
              <w:jc w:val="left"/>
            </w:pPr>
            <w:r>
              <w:t xml:space="preserve">“</w:t>
            </w:r>
            <w:r>
              <w:t xml:space="preserve">Tool class</w:t>
            </w:r>
            <w:r>
              <w:t xml:space="preserve">”</w:t>
            </w:r>
            <w:r>
              <w:t xml:space="preserve"> </w:t>
            </w:r>
            <w:r>
              <w:t xml:space="preserve">in episode-level Modify</w:t>
            </w:r>
          </w:p>
        </w:tc>
        <w:tc>
          <w:tcPr/>
          <w:p>
            <w:pPr>
              <w:pStyle w:val="Compact"/>
              <w:jc w:val="left"/>
            </w:pPr>
            <w:r>
              <w:t xml:space="preserve">The tool’s action category (Table 3.7) within 𝒯</w:t>
            </w:r>
            <w:r>
              <w:rPr>
                <w:vertAlign w:val="subscript"/>
              </w:rPr>
              <w:t xml:space="preserve">R</w:t>
            </w:r>
          </w:p>
        </w:tc>
      </w:tr>
      <w:tr>
        <w:tc>
          <w:tcPr/>
          <w:p>
            <w:pPr>
              <w:pStyle w:val="Compact"/>
              <w:jc w:val="left"/>
            </w:pPr>
            <w:r>
              <w:t xml:space="preserve">I-9</w:t>
            </w:r>
          </w:p>
        </w:tc>
        <w:tc>
          <w:tcPr/>
          <w:p>
            <w:pPr>
              <w:pStyle w:val="Compact"/>
              <w:jc w:val="left"/>
            </w:pPr>
            <w:r>
              <w:t xml:space="preserve">Unavailable feature below k</w:t>
            </w:r>
            <w:r>
              <w:rPr>
                <w:vertAlign w:val="subscript"/>
              </w:rPr>
              <w:t xml:space="preserve">D2</w:t>
            </w:r>
          </w:p>
        </w:tc>
        <w:tc>
          <w:tcPr/>
          <w:p>
            <w:pPr>
              <w:pStyle w:val="Compact"/>
              <w:jc w:val="left"/>
            </w:pPr>
            <w:r>
              <w:t xml:space="preserve">Takes the value 0 (</w:t>
            </w:r>
            <w:r>
              <w:t xml:space="preserve">“</w:t>
            </w:r>
            <w:r>
              <w:t xml:space="preserve">not observed</w:t>
            </w:r>
            <w:r>
              <w:t xml:space="preserve">”</w:t>
            </w:r>
            <w:r>
              <w:t xml:space="preserve">) and is flagged in the audit record</w:t>
            </w:r>
          </w:p>
        </w:tc>
      </w:tr>
    </w:tbl>
    <w:p>
      <w:pPr>
        <w:pStyle w:val="BodyText"/>
      </w:pPr>
      <w:r>
        <w:t xml:space="preserve">The benign transition set used by x^beh₄ must be estimated within each fold (Chapter 3, Section 3.11.6). Each step record therefore stores its transition, and x^beh₄ is recomputed for every fold’s reference.</w:t>
      </w:r>
    </w:p>
    <w:bookmarkEnd w:id="169"/>
    <w:bookmarkStart w:id="170" w:name="layer-4-decision-engine"/>
    <w:p>
      <w:pPr>
        <w:pStyle w:val="Heading2"/>
      </w:pPr>
      <w:r>
        <w:t xml:space="preserve">4.7 Layer 4 — Decision Engine</w:t>
      </w:r>
    </w:p>
    <w:p>
      <w:pPr>
        <w:pStyle w:val="FirstParagraph"/>
      </w:pPr>
      <w:r>
        <w:rPr>
          <w:bCs/>
          <w:b/>
        </w:rPr>
        <w:t xml:space="preserve">Estimation.</w:t>
      </w:r>
      <w:r>
        <w:t xml:space="preserve"> </w:t>
      </w:r>
      <w:r>
        <w:rPr>
          <w:rStyle w:val="VerbatimChar"/>
        </w:rPr>
        <w:t xml:space="preserve">RidgeLogisticRegression</w:t>
      </w:r>
      <w:r>
        <w:t xml:space="preserve"> </w:t>
      </w:r>
      <w:r>
        <w:t xml:space="preserve">computes s = β₀ + βᵀx and p̃ = σ(s) (Eq. 3.1), fitted by Newton–Raphson with the intercept unpenalized. Fitting without a declared λ raises</w:t>
      </w:r>
      <w:r>
        <w:t xml:space="preserve"> </w:t>
      </w:r>
      <w:r>
        <w:rPr>
          <w:rStyle w:val="VerbatimChar"/>
        </w:rPr>
        <w:t xml:space="preserve">DesignNotSpecifiedError</w:t>
      </w:r>
      <w:r>
        <w:t xml:space="preserve">. The implementation minimizes NLL + (λ</w:t>
      </w:r>
      <w:r>
        <w:rPr>
          <w:vertAlign w:val="subscript"/>
        </w:rPr>
        <w:t xml:space="preserve">impl</w:t>
      </w:r>
      <w:r>
        <w:t xml:space="preserve">/2)‖β‖², so λ on the scale of Eq. 3.2 is λ</w:t>
      </w:r>
      <w:r>
        <w:rPr>
          <w:vertAlign w:val="subscript"/>
        </w:rPr>
        <w:t xml:space="preserve">impl</w:t>
      </w:r>
      <w:r>
        <w:t xml:space="preserve">/2 (Chapter 3, Section 3.7.1). Selected values are reported on both scales.</w:t>
      </w:r>
    </w:p>
    <w:p>
      <w:pPr>
        <w:pStyle w:val="BodyText"/>
      </w:pPr>
      <w:r>
        <w:rPr>
          <w:bCs/>
          <w:b/>
        </w:rPr>
        <w:t xml:space="preserve">Calibration.</w:t>
      </w:r>
      <w:r>
        <w:t xml:space="preserve"> </w:t>
      </w:r>
      <w:r>
        <w:t xml:space="preserve">Both calibrators compute p = σ(γ₁s + γ₀) and reject a fit with γ₁ ≤ 0. They differ only in the fitting target: labels (Eq. 3.4, the reference) or Platt’s smoothed targets (sensitivity).</w:t>
      </w:r>
    </w:p>
    <w:p>
      <w:pPr>
        <w:pStyle w:val="BodyText"/>
      </w:pPr>
      <w:r>
        <w:rPr>
          <w:bCs/>
          <w:b/>
        </w:rPr>
        <w:t xml:space="preserve">Consequence tiers, predicates and feasible set.</w:t>
      </w:r>
    </w:p>
    <w:p>
      <w:pPr>
        <w:numPr>
          <w:ilvl w:val="0"/>
          <w:numId w:val="1163"/>
        </w:numPr>
        <w:pStyle w:val="Compact"/>
      </w:pPr>
      <w:r>
        <w:rPr>
          <w:rStyle w:val="VerbatimChar"/>
        </w:rPr>
        <w:t xml:space="preserve">ConsequenceTierMap</w:t>
      </w:r>
      <w:r>
        <w:t xml:space="preserve"> </w:t>
      </w:r>
      <w:r>
        <w:t xml:space="preserve">maps each tool to its category and the call to a tier. A transfer with a missing or unparseable amount receives the above-limit tier.</w:t>
      </w:r>
    </w:p>
    <w:p>
      <w:pPr>
        <w:numPr>
          <w:ilvl w:val="0"/>
          <w:numId w:val="1163"/>
        </w:numPr>
        <w:pStyle w:val="Compact"/>
      </w:pPr>
      <w:r>
        <w:rPr>
          <w:rStyle w:val="VerbatimChar"/>
        </w:rPr>
        <w:t xml:space="preserve">PredicatePolicy</w:t>
      </w:r>
      <w:r>
        <w:t xml:space="preserve"> </w:t>
      </w:r>
      <w:r>
        <w:t xml:space="preserve">implements D1 and D2, and the feasible set (Modify only for tools in 𝒯</w:t>
      </w:r>
      <w:r>
        <w:rPr>
          <w:vertAlign w:val="subscript"/>
        </w:rPr>
        <w:t xml:space="preserve">R</w:t>
      </w:r>
      <w:r>
        <w:t xml:space="preserve">).</w:t>
      </w:r>
    </w:p>
    <w:p>
      <w:pPr>
        <w:numPr>
          <w:ilvl w:val="0"/>
          <w:numId w:val="1163"/>
        </w:numPr>
        <w:pStyle w:val="Compact"/>
      </w:pPr>
      <w:r>
        <w:rPr>
          <w:rStyle w:val="VerbatimChar"/>
        </w:rPr>
        <w:t xml:space="preserve">A3Policy.decide</w:t>
      </w:r>
      <w:r>
        <w:t xml:space="preserve"> </w:t>
      </w:r>
      <w:r>
        <w:t xml:space="preserve">applies D1 and D2 before the expected-loss rule. When a predicate applies, the risk table is recorded as</w:t>
      </w:r>
      <w:r>
        <w:t xml:space="preserve"> </w:t>
      </w:r>
      <w:r>
        <w:rPr>
          <w:iCs/>
          <w:i/>
        </w:rPr>
        <w:t xml:space="preserve">not applicable</w:t>
      </w:r>
      <w:r>
        <w:t xml:space="preserve"> </w:t>
      </w:r>
      <w:r>
        <w:t xml:space="preserve">and p is marked as not used.</w:t>
      </w:r>
    </w:p>
    <w:p>
      <w:pPr>
        <w:pStyle w:val="FirstParagraph"/>
      </w:pPr>
      <w:r>
        <w:rPr>
          <w:bCs/>
          <w:b/>
        </w:rPr>
        <w:t xml:space="preserve">Verdict.</w:t>
      </w:r>
      <w:r>
        <w:t xml:space="preserve"> </w:t>
      </w:r>
      <w:r>
        <w:rPr>
          <w:rStyle w:val="VerbatimChar"/>
        </w:rPr>
        <w:t xml:space="preserve">A3Policy</w:t>
      </w:r>
      <w:r>
        <w:t xml:space="preserve"> </w:t>
      </w:r>
      <w:r>
        <w:t xml:space="preserve">computes R(v) for v ∈ 𝒱(aₜ) through the frozen</w:t>
      </w:r>
      <w:r>
        <w:t xml:space="preserve"> </w:t>
      </w:r>
      <w:r>
        <w:rPr>
          <w:rStyle w:val="VerbatimChar"/>
        </w:rPr>
        <w:t xml:space="preserve">conditional_risk</w:t>
      </w:r>
      <w:r>
        <w:t xml:space="preserve"> </w:t>
      </w:r>
      <w:r>
        <w:t xml:space="preserve">and returns the minimizer. Ties are handled by an explicit</w:t>
      </w:r>
      <w:r>
        <w:t xml:space="preserve"> </w:t>
      </w:r>
      <w:r>
        <w:rPr>
          <w:rStyle w:val="VerbatimChar"/>
        </w:rPr>
        <w:t xml:space="preserve">tie_mode</w:t>
      </w:r>
      <w:r>
        <w:t xml:space="preserve">:</w:t>
      </w:r>
    </w:p>
    <w:p>
      <w:pPr>
        <w:numPr>
          <w:ilvl w:val="0"/>
          <w:numId w:val="1164"/>
        </w:numPr>
        <w:pStyle w:val="Compact"/>
      </w:pPr>
      <w:r>
        <w:rPr>
          <w:rStyle w:val="VerbatimChar"/>
        </w:rPr>
        <w:t xml:space="preserve">"raise"</w:t>
      </w:r>
      <w:r>
        <w:t xml:space="preserve"> </w:t>
      </w:r>
      <w:r>
        <w:t xml:space="preserve">reproduces the frozen behavior;</w:t>
      </w:r>
    </w:p>
    <w:p>
      <w:pPr>
        <w:numPr>
          <w:ilvl w:val="0"/>
          <w:numId w:val="1164"/>
        </w:numPr>
        <w:pStyle w:val="Compact"/>
      </w:pPr>
      <w:r>
        <w:rPr>
          <w:rStyle w:val="VerbatimChar"/>
        </w:rPr>
        <w:t xml:space="preserve">"record_chapter3_order"</w:t>
      </w:r>
      <w:r>
        <w:t xml:space="preserve"> </w:t>
      </w:r>
      <w:r>
        <w:t xml:space="preserve">applies the Chapter 3 order and marks the step as tied.</w:t>
      </w:r>
    </w:p>
    <w:p>
      <w:pPr>
        <w:pStyle w:val="FirstParagraph"/>
      </w:pPr>
      <w:r>
        <w:t xml:space="preserve">An option</w:t>
      </w:r>
      <w:r>
        <w:t xml:space="preserve"> </w:t>
      </w:r>
      <w:r>
        <w:rPr>
          <w:rStyle w:val="VerbatimChar"/>
        </w:rPr>
        <w:t xml:space="preserve">exclude_from_expected_loss=(Escalate,)</w:t>
      </w:r>
      <w:r>
        <w:t xml:space="preserve"> </w:t>
      </w:r>
      <w:r>
        <w:t xml:space="preserve">produces the comparison configuration</w:t>
      </w:r>
      <w:r>
        <w:t xml:space="preserve"> </w:t>
      </w:r>
      <w:r>
        <w:t xml:space="preserve">“</w:t>
      </w:r>
      <w:r>
        <w:t xml:space="preserve">REM without expected-loss Escalate</w:t>
      </w:r>
      <w:r>
        <w:t xml:space="preserve">”</w:t>
      </w:r>
      <w:r>
        <w:t xml:space="preserve"> </w:t>
      </w:r>
      <w:r>
        <w:t xml:space="preserve">(Chapter 3, Section 3.7.7).</w:t>
      </w:r>
    </w:p>
    <w:p>
      <w:pPr>
        <w:pStyle w:val="BodyText"/>
      </w:pPr>
      <w:r>
        <w:rPr>
          <w:bCs/>
          <w:b/>
        </w:rPr>
        <w:t xml:space="preserve">Loss structure and dominance check.</w:t>
      </w:r>
      <w:r>
        <w:t xml:space="preserve"> </w:t>
      </w:r>
      <w:r>
        <w:rPr>
          <w:rStyle w:val="VerbatimChar"/>
        </w:rPr>
        <w:t xml:space="preserve">build_loss_grid</w:t>
      </w:r>
      <w:r>
        <w:t xml:space="preserve"> </w:t>
      </w:r>
      <w:r>
        <w:t xml:space="preserve">constructs Table 3.13 including Eq. 3.5, and</w:t>
      </w:r>
      <w:r>
        <w:t xml:space="preserve"> </w:t>
      </w:r>
      <w:r>
        <w:rPr>
          <w:rStyle w:val="VerbatimChar"/>
        </w:rPr>
        <w:t xml:space="preserve">reachable_verdicts</w:t>
      </w:r>
      <w:r>
        <w:t xml:space="preserve"> </w:t>
      </w:r>
      <w:r>
        <w:t xml:space="preserve">reports any verdict that is never the unique minimizer.</w:t>
      </w:r>
    </w:p>
    <w:p>
      <w:pPr>
        <w:pStyle w:val="BodyText"/>
      </w:pPr>
      <w:r>
        <w:rPr>
          <w:bCs/>
          <w:b/>
        </w:rPr>
        <w:t xml:space="preserve">Baseline B1.</w:t>
      </w:r>
      <w:r>
        <w:t xml:space="preserve"> </w:t>
      </w:r>
      <w:r>
        <w:rPr>
          <w:rStyle w:val="VerbatimChar"/>
        </w:rPr>
        <w:t xml:space="preserve">operating_threshold</w:t>
      </w:r>
      <w:r>
        <w:t xml:space="preserve"> </w:t>
      </w:r>
      <w:r>
        <w:t xml:space="preserve">implements Eq. 3.14, and</w:t>
      </w:r>
      <w:r>
        <w:t xml:space="preserve"> </w:t>
      </w:r>
      <w:r>
        <w:rPr>
          <w:rStyle w:val="VerbatimChar"/>
        </w:rPr>
        <w:t xml:space="preserve">A1Policy</w:t>
      </w:r>
      <w:r>
        <w:t xml:space="preserve"> </w:t>
      </w:r>
      <w:r>
        <w:t xml:space="preserve">applies it with the same estimator, calibration and predicates.</w:t>
      </w:r>
    </w:p>
    <w:p>
      <w:pPr>
        <w:pStyle w:val="BodyText"/>
      </w:pPr>
      <w:r>
        <w:rPr>
          <w:bCs/>
          <w:b/>
        </w:rPr>
        <w:t xml:space="preserve">Audit record.</w:t>
      </w:r>
      <w:r>
        <w:t xml:space="preserve"> </w:t>
      </w:r>
      <w:r>
        <w:t xml:space="preserve">For each step,</w:t>
      </w:r>
      <w:r>
        <w:t xml:space="preserve"> </w:t>
      </w:r>
      <w:r>
        <w:rPr>
          <w:rStyle w:val="VerbatimChar"/>
        </w:rPr>
        <w:t xml:space="preserve">RemGuard.evaluate</w:t>
      </w:r>
      <w:r>
        <w:t xml:space="preserve"> </w:t>
      </w:r>
      <w:r>
        <w:t xml:space="preserve">writes:</w:t>
      </w:r>
    </w:p>
    <w:p>
      <w:pPr>
        <w:numPr>
          <w:ilvl w:val="0"/>
          <w:numId w:val="1165"/>
        </w:numPr>
        <w:pStyle w:val="Compact"/>
      </w:pPr>
      <w:r>
        <w:t xml:space="preserve">the tool name and a SHA-256 digest of its arguments, with the argument keys;</w:t>
      </w:r>
    </w:p>
    <w:p>
      <w:pPr>
        <w:numPr>
          <w:ilvl w:val="0"/>
          <w:numId w:val="1165"/>
        </w:numPr>
        <w:pStyle w:val="Compact"/>
      </w:pPr>
      <w:r>
        <w:t xml:space="preserve">the evidence vector and its availability;</w:t>
      </w:r>
    </w:p>
    <w:p>
      <w:pPr>
        <w:numPr>
          <w:ilvl w:val="0"/>
          <w:numId w:val="1165"/>
        </w:numPr>
        <w:pStyle w:val="Compact"/>
      </w:pPr>
      <w:r>
        <w:t xml:space="preserve">s, p̃ and p, and whether p was used;</w:t>
      </w:r>
    </w:p>
    <w:p>
      <w:pPr>
        <w:numPr>
          <w:ilvl w:val="0"/>
          <w:numId w:val="1165"/>
        </w:numPr>
        <w:pStyle w:val="Compact"/>
      </w:pPr>
      <w:r>
        <w:t xml:space="preserve">the tier, and the risk table or</w:t>
      </w:r>
      <w:r>
        <w:t xml:space="preserve"> </w:t>
      </w:r>
      <w:r>
        <w:rPr>
          <w:iCs/>
          <w:i/>
        </w:rPr>
        <w:t xml:space="preserve">not applicable</w:t>
      </w:r>
      <w:r>
        <w:t xml:space="preserve">;</w:t>
      </w:r>
    </w:p>
    <w:p>
      <w:pPr>
        <w:numPr>
          <w:ilvl w:val="0"/>
          <w:numId w:val="1165"/>
        </w:numPr>
        <w:pStyle w:val="Compact"/>
      </w:pPr>
      <w:r>
        <w:t xml:space="preserve">the verdict, its source and the mitigation;</w:t>
      </w:r>
    </w:p>
    <w:p>
      <w:pPr>
        <w:numPr>
          <w:ilvl w:val="0"/>
          <w:numId w:val="1165"/>
        </w:numPr>
        <w:pStyle w:val="Compact"/>
      </w:pPr>
      <w:r>
        <w:t xml:space="preserve">the linear attributions with their additivity error;</w:t>
      </w:r>
    </w:p>
    <w:p>
      <w:pPr>
        <w:numPr>
          <w:ilvl w:val="0"/>
          <w:numId w:val="1165"/>
        </w:numPr>
        <w:pStyle w:val="Compact"/>
      </w:pPr>
      <w:r>
        <w:t xml:space="preserve">REM’s processing time.</w:t>
      </w:r>
    </w:p>
    <w:p>
      <w:pPr>
        <w:pStyle w:val="FirstParagraph"/>
      </w:pPr>
      <w:r>
        <w:t xml:space="preserve">Raw argument values are not written.</w:t>
      </w:r>
    </w:p>
    <w:bookmarkEnd w:id="170"/>
    <w:bookmarkStart w:id="171" w:name="Xe132d43681a21b91196dd3d1733f83fff04fd42"/>
    <w:p>
      <w:pPr>
        <w:pStyle w:val="Heading2"/>
      </w:pPr>
      <w:r>
        <w:t xml:space="preserve">4.8 Layer 5 — Mitigation, and What Happens at the Tool Boundary</w:t>
      </w:r>
    </w:p>
    <w:p>
      <w:pPr>
        <w:pStyle w:val="FirstParagraph"/>
      </w:pPr>
      <w:r>
        <w:t xml:space="preserve">Mitigation is applied before any tool executes. In</w:t>
      </w:r>
      <w:r>
        <w:t xml:space="preserve"> </w:t>
      </w:r>
      <w:r>
        <w:rPr>
          <w:rStyle w:val="VerbatimChar"/>
        </w:rPr>
        <w:t xml:space="preserve">GuardedToolsExecutor.query</w:t>
      </w:r>
      <w:r>
        <w:t xml:space="preserve">, each proposed call is evaluated by</w:t>
      </w:r>
      <w:r>
        <w:t xml:space="preserve"> </w:t>
      </w:r>
      <w:r>
        <w:rPr>
          <w:rStyle w:val="VerbatimChar"/>
        </w:rPr>
        <w:t xml:space="preserve">RemGuard.evaluate</w:t>
      </w:r>
      <w:r>
        <w:t xml:space="preserve">. If the call is released,</w:t>
      </w:r>
      <w:r>
        <w:t xml:space="preserve"> </w:t>
      </w:r>
      <w:r>
        <w:rPr>
          <w:rStyle w:val="VerbatimChar"/>
        </w:rPr>
        <w:t xml:space="preserve">runtime.run_function</w:t>
      </w:r>
      <w:r>
        <w:t xml:space="preserve"> </w:t>
      </w:r>
      <w:r>
        <w:t xml:space="preserve">executes it. Otherwise it is not executed, and a tool-result message carrying the refusal or restriction notice is returned to the agent in its place. The replay tests check this directly: an oracle that blocks every labelled step leaves the benchmark’s security check false, and the withheld steps appear in the audit record with their tool and argument digest.</w:t>
      </w:r>
    </w:p>
    <w:p>
      <w:pPr>
        <w:pStyle w:val="BodyText"/>
      </w:pPr>
      <w:r>
        <w:rPr>
          <w:bCs/>
          <w:b/>
        </w:rPr>
        <w:t xml:space="preserve">Both mitigation semantics are implemented</w:t>
      </w:r>
      <w:r>
        <w:t xml:space="preserve"> </w:t>
      </w:r>
      <w:r>
        <w:t xml:space="preserve">(Chapter 3, Table 3.14). Step-level semantics is the reference; the episode-level variant maintains a restriction set S for the episode. Under step-level semantics, Modify and Block have the same effect on the current call. Under the replay used in Chapter 5, the two semantics cannot differ, because a non-adaptive agent does not retry.</w:t>
      </w:r>
    </w:p>
    <w:p>
      <w:pPr>
        <w:pStyle w:val="BodyText"/>
      </w:pPr>
      <w:r>
        <w:rPr>
          <w:bCs/>
          <w:b/>
        </w:rPr>
        <w:t xml:space="preserve">Escalate.</w:t>
      </w:r>
      <w:r>
        <w:t xml:space="preserve"> </w:t>
      </w:r>
      <w:r>
        <w:t xml:space="preserve">No reviewer exists. Escalation is resolved by one of two bounds:</w:t>
      </w:r>
    </w:p>
    <w:p>
      <w:pPr>
        <w:numPr>
          <w:ilvl w:val="0"/>
          <w:numId w:val="1166"/>
        </w:numPr>
        <w:pStyle w:val="Compact"/>
      </w:pPr>
      <w:r>
        <w:t xml:space="preserve">an idealized reviewer, which releases the call if and only if its label is 0;</w:t>
      </w:r>
    </w:p>
    <w:p>
      <w:pPr>
        <w:numPr>
          <w:ilvl w:val="0"/>
          <w:numId w:val="1166"/>
        </w:numPr>
        <w:pStyle w:val="Compact"/>
      </w:pPr>
      <w:r>
        <w:t xml:space="preserve">no reviewer, in which the call is withheld.</w:t>
      </w:r>
    </w:p>
    <w:p>
      <w:pPr>
        <w:pStyle w:val="FirstParagraph"/>
      </w:pPr>
      <w:r>
        <w:rPr>
          <w:bCs/>
          <w:b/>
        </w:rPr>
        <w:t xml:space="preserve">Correction made in revision R2.</w:t>
      </w:r>
      <w:r>
        <w:t xml:space="preserve"> </w:t>
      </w:r>
      <w:r>
        <w:t xml:space="preserve">In the frozen pipeline, the Block mechanism cleared the step’s tool call before the audit record was written. The record therefore lost the identity of the blocked action. A test now reproduces the defect, and the fix keeps the tool name and argument digest in the step’s metadata, without raw arguments. The audit record uses them. The fix does not change any verdict or mitigation, and it does not affect any result in Chapter 5, because the experiments use the evaluation path, in which mitigation never alters the proposed call, so the tool’s identity was always recorded; the argument digest was added to that record in this revision.</w:t>
      </w:r>
    </w:p>
    <w:bookmarkEnd w:id="171"/>
    <w:bookmarkStart w:id="172" w:name="non-invasive-placement-and-its-limits"/>
    <w:p>
      <w:pPr>
        <w:pStyle w:val="Heading2"/>
      </w:pPr>
      <w:r>
        <w:t xml:space="preserve">4.9 Non-Invasive Placement and Its Limits</w:t>
      </w:r>
    </w:p>
    <w:p>
      <w:pPr>
        <w:pStyle w:val="FirstParagraph"/>
      </w:pPr>
      <w:r>
        <w:t xml:space="preserve">“</w:t>
      </w:r>
      <w:r>
        <w:t xml:space="preserve">Non-invasive</w:t>
      </w:r>
      <w:r>
        <w:t xml:space="preserve">”</w:t>
      </w:r>
      <w:r>
        <w:t xml:space="preserve"> </w:t>
      </w:r>
      <w:r>
        <w:t xml:space="preserve">means here that</w:t>
      </w:r>
      <w:r>
        <w:t xml:space="preserve"> </w:t>
      </w:r>
      <w:r>
        <w:rPr>
          <w:bCs/>
          <w:b/>
        </w:rPr>
        <w:t xml:space="preserve">the agent’s model, prompts and tools are not modified</w:t>
      </w:r>
      <w:r>
        <w:t xml:space="preserve">: REM observes the messages the agent produces and the results the tools return. The placement has limits:</w:t>
      </w:r>
    </w:p>
    <w:p>
      <w:pPr>
        <w:numPr>
          <w:ilvl w:val="0"/>
          <w:numId w:val="1167"/>
        </w:numPr>
        <w:pStyle w:val="Compact"/>
      </w:pPr>
      <w:r>
        <w:rPr>
          <w:bCs/>
          <w:b/>
        </w:rPr>
        <w:t xml:space="preserve">REM replaces the executor.</w:t>
      </w:r>
      <w:r>
        <w:t xml:space="preserve"> </w:t>
      </w:r>
      <w:r>
        <w:t xml:space="preserve">It must be inserted into the agent’s execution loop, here as a subclass of the benchmark’s</w:t>
      </w:r>
      <w:r>
        <w:t xml:space="preserve"> </w:t>
      </w:r>
      <w:r>
        <w:rPr>
          <w:rStyle w:val="VerbatimChar"/>
        </w:rPr>
        <w:t xml:space="preserve">ToolsExecutor</w:t>
      </w:r>
      <w:r>
        <w:t xml:space="preserve">. A framework in which tools are executed by a component REM cannot wrap is not covered.</w:t>
      </w:r>
    </w:p>
    <w:p>
      <w:pPr>
        <w:numPr>
          <w:ilvl w:val="0"/>
          <w:numId w:val="1167"/>
        </w:numPr>
        <w:pStyle w:val="Compact"/>
      </w:pPr>
      <w:r>
        <w:rPr>
          <w:bCs/>
          <w:b/>
        </w:rPr>
        <w:t xml:space="preserve">Only executor calls are mediated.</w:t>
      </w:r>
      <w:r>
        <w:t xml:space="preserve"> </w:t>
      </w:r>
      <w:r>
        <w:t xml:space="preserve">Effects that do not pass through the tool executor (for example, a tool with side effects inside its own implementation, or a second agent) are outside REM’s view.</w:t>
      </w:r>
    </w:p>
    <w:p>
      <w:pPr>
        <w:numPr>
          <w:ilvl w:val="0"/>
          <w:numId w:val="1167"/>
        </w:numPr>
        <w:pStyle w:val="Compact"/>
      </w:pPr>
      <w:r>
        <w:rPr>
          <w:bCs/>
          <w:b/>
        </w:rPr>
        <w:t xml:space="preserve">Refusals are visible to the agent.</w:t>
      </w:r>
      <w:r>
        <w:t xml:space="preserve"> </w:t>
      </w:r>
      <w:r>
        <w:t xml:space="preserve">They are returned as tool-result messages. The agent’s reaction to them is part of the system’s behavior, and the replay analysis does not observe it.</w:t>
      </w:r>
    </w:p>
    <w:p>
      <w:pPr>
        <w:numPr>
          <w:ilvl w:val="0"/>
          <w:numId w:val="1167"/>
        </w:numPr>
        <w:pStyle w:val="Compact"/>
      </w:pPr>
      <w:r>
        <w:rPr>
          <w:bCs/>
          <w:b/>
        </w:rPr>
        <w:t xml:space="preserve">Some context is inferred, not received.</w:t>
      </w:r>
      <w:r>
        <w:t xml:space="preserve"> </w:t>
      </w:r>
      <w:r>
        <w:t xml:space="preserve">In the evaluation, REM receives the objective and system prompt from the recorded trace. A deployment must supply them through the same channel.</w:t>
      </w:r>
    </w:p>
    <w:bookmarkEnd w:id="172"/>
    <w:bookmarkStart w:id="173" w:name="optional-sequential-analysis-a2"/>
    <w:p>
      <w:pPr>
        <w:pStyle w:val="Heading2"/>
      </w:pPr>
      <w:r>
        <w:t xml:space="preserve">4.10 Optional Sequential Analysis (A2)</w:t>
      </w:r>
    </w:p>
    <w:p>
      <w:pPr>
        <w:pStyle w:val="FirstParagraph"/>
      </w:pPr>
      <w:r>
        <w:rPr>
          <w:rStyle w:val="VerbatimChar"/>
        </w:rPr>
        <w:t xml:space="preserve">rem/algorithms/behavior/cusum.py</w:t>
      </w:r>
      <w:r>
        <w:t xml:space="preserve"> </w:t>
      </w:r>
      <w:r>
        <w:t xml:space="preserve">and</w:t>
      </w:r>
      <w:r>
        <w:t xml:space="preserve"> </w:t>
      </w:r>
      <w:r>
        <w:rPr>
          <w:rStyle w:val="VerbatimChar"/>
        </w:rPr>
        <w:t xml:space="preserve">rem/algorithms/a2.py</w:t>
      </w:r>
      <w:r>
        <w:t xml:space="preserve"> </w:t>
      </w:r>
      <w:r>
        <w:t xml:space="preserve">implement the Bernoulli CUSUM of Chapter 3 (Eqs. 3.15–3.19). The module has no interface to the decision engine and returns no verdict; a test checks both properties.</w:t>
      </w:r>
    </w:p>
    <w:p>
      <w:pPr>
        <w:pStyle w:val="BodyText"/>
      </w:pPr>
      <w:r>
        <w:t xml:space="preserve">An A2-driven enforcement policy and a retrained</w:t>
      </w:r>
      <w:r>
        <w:t xml:space="preserve"> </w:t>
      </w:r>
      <w:r>
        <w:t xml:space="preserve">“</w:t>
      </w:r>
      <w:r>
        <w:t xml:space="preserve">A3 + A2</w:t>
      </w:r>
      <w:r>
        <w:t xml:space="preserve">”</w:t>
      </w:r>
      <w:r>
        <w:t xml:space="preserve"> </w:t>
      </w:r>
      <w:r>
        <w:t xml:space="preserve">variant are not implemented, because they would place CUSUM in the verdict path.</w:t>
      </w:r>
    </w:p>
    <w:bookmarkEnd w:id="173"/>
    <w:bookmarkStart w:id="177" w:name="verification"/>
    <w:p>
      <w:pPr>
        <w:pStyle w:val="Heading2"/>
      </w:pPr>
      <w:r>
        <w:t xml:space="preserve">4.11 Verification</w:t>
      </w:r>
    </w:p>
    <w:bookmarkStart w:id="174" w:name="unit-and-contract-verification"/>
    <w:p>
      <w:pPr>
        <w:pStyle w:val="Heading3"/>
      </w:pPr>
      <w:r>
        <w:t xml:space="preserve">4.11.1 Unit and contract verification</w:t>
      </w:r>
    </w:p>
    <w:p>
      <w:pPr>
        <w:pStyle w:val="FirstParagraph"/>
      </w:pPr>
      <w:r>
        <w:rPr>
          <w:bCs/>
          <w:b/>
        </w:rPr>
        <w:t xml:space="preserve">Table 4.5. Test suite (executed on 28 Oct 2026: 193 passed with AgentDojo installed; 189 passed and 1 module skipped without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Tests</w:t>
            </w:r>
          </w:p>
        </w:tc>
        <w:tc>
          <w:tcPr/>
          <w:p>
            <w:pPr>
              <w:pStyle w:val="Compact"/>
              <w:jc w:val="left"/>
            </w:pPr>
            <w:r>
              <w:t xml:space="preserve">Verifies</w:t>
            </w:r>
          </w:p>
        </w:tc>
      </w:tr>
      <w:tr>
        <w:tc>
          <w:tcPr/>
          <w:p>
            <w:pPr>
              <w:pStyle w:val="Compact"/>
              <w:jc w:val="left"/>
            </w:pPr>
            <w:r>
              <w:rPr>
                <w:rStyle w:val="VerbatimChar"/>
              </w:rPr>
              <w:t xml:space="preserve">test_frozen_math.py</w:t>
            </w:r>
          </w:p>
        </w:tc>
        <w:tc>
          <w:tcPr/>
          <w:p>
            <w:pPr>
              <w:pStyle w:val="Compact"/>
              <w:jc w:val="left"/>
            </w:pPr>
            <w:r>
              <w:t xml:space="preserve">43</w:t>
            </w:r>
          </w:p>
        </w:tc>
        <w:tc>
          <w:tcPr/>
          <w:p>
            <w:pPr>
              <w:pStyle w:val="Compact"/>
              <w:jc w:val="left"/>
            </w:pPr>
            <w:r>
              <w:t xml:space="preserve">Eqs. 3.1–3.3, 3.6; fail-closed fitting; γ₁ &gt; 0; a tie raises</w:t>
            </w:r>
          </w:p>
        </w:tc>
      </w:tr>
      <w:tr>
        <w:tc>
          <w:tcPr/>
          <w:p>
            <w:pPr>
              <w:pStyle w:val="Compact"/>
              <w:jc w:val="left"/>
            </w:pPr>
            <w:r>
              <w:rPr>
                <w:rStyle w:val="VerbatimChar"/>
              </w:rPr>
              <w:t xml:space="preserve">test_contract_compliance.py</w:t>
            </w:r>
          </w:p>
        </w:tc>
        <w:tc>
          <w:tcPr/>
          <w:p>
            <w:pPr>
              <w:pStyle w:val="Compact"/>
              <w:jc w:val="left"/>
            </w:pPr>
            <w:r>
              <w:t xml:space="preserve">20</w:t>
            </w:r>
          </w:p>
        </w:tc>
        <w:tc>
          <w:tcPr/>
          <w:p>
            <w:pPr>
              <w:pStyle w:val="Compact"/>
              <w:jc w:val="left"/>
            </w:pPr>
            <w:r>
              <w:t xml:space="preserve">Five layers, no sixth; frozen mitigation mapping; no equation IDs; forbidden components absent; attribution excluded from the decision signature</w:t>
            </w:r>
          </w:p>
        </w:tc>
      </w:tr>
      <w:tr>
        <w:tc>
          <w:tcPr/>
          <w:p>
            <w:pPr>
              <w:pStyle w:val="Compact"/>
              <w:jc w:val="left"/>
            </w:pPr>
            <w:r>
              <w:rPr>
                <w:rStyle w:val="VerbatimChar"/>
              </w:rPr>
              <w:t xml:space="preserve">test_metrics.py</w:t>
            </w:r>
            <w:r>
              <w:t xml:space="preserve">,</w:t>
            </w:r>
            <w:r>
              <w:t xml:space="preserve"> </w:t>
            </w:r>
            <w:r>
              <w:rPr>
                <w:rStyle w:val="VerbatimChar"/>
              </w:rPr>
              <w:t xml:space="preserve">test_probabilistic.py</w:t>
            </w:r>
          </w:p>
        </w:tc>
        <w:tc>
          <w:tcPr/>
          <w:p>
            <w:pPr>
              <w:pStyle w:val="Compact"/>
              <w:jc w:val="left"/>
            </w:pPr>
            <w:r>
              <w:t xml:space="preserve">25 + 5</w:t>
            </w:r>
          </w:p>
        </w:tc>
        <w:tc>
          <w:tcPr/>
          <w:p>
            <w:pPr>
              <w:pStyle w:val="Compact"/>
              <w:jc w:val="left"/>
            </w:pPr>
            <w:r>
              <w:t xml:space="preserve">ROC-AUC against the pairwise definition; average precision; ECE binning (Eq. 3.20); log-loss; Brier conventions; grouped bootstrap</w:t>
            </w:r>
          </w:p>
        </w:tc>
      </w:tr>
      <w:tr>
        <w:tc>
          <w:tcPr/>
          <w:p>
            <w:pPr>
              <w:pStyle w:val="Compact"/>
              <w:jc w:val="left"/>
            </w:pPr>
            <w:r>
              <w:rPr>
                <w:rStyle w:val="VerbatimChar"/>
              </w:rPr>
              <w:t xml:space="preserve">test_pipeline.py</w:t>
            </w:r>
          </w:p>
        </w:tc>
        <w:tc>
          <w:tcPr/>
          <w:p>
            <w:pPr>
              <w:pStyle w:val="Compact"/>
              <w:jc w:val="left"/>
            </w:pPr>
            <w:r>
              <w:t xml:space="preserve">21</w:t>
            </w:r>
          </w:p>
        </w:tc>
        <w:tc>
          <w:tcPr/>
          <w:p>
            <w:pPr>
              <w:pStyle w:val="Compact"/>
              <w:jc w:val="left"/>
            </w:pPr>
            <w:r>
              <w:t xml:space="preserve">Frozen pipeline order; step-level Block;</w:t>
            </w:r>
            <w:r>
              <w:t xml:space="preserve"> </w:t>
            </w:r>
            <w:r>
              <w:rPr>
                <w:bCs/>
                <w:b/>
              </w:rPr>
              <w:t xml:space="preserve">the blocked action’s identity is kept in the audit record</w:t>
            </w:r>
            <w:r>
              <w:t xml:space="preserve"> </w:t>
            </w:r>
            <w:r>
              <w:t xml:space="preserve">(added in R2)</w:t>
            </w:r>
          </w:p>
        </w:tc>
      </w:tr>
      <w:tr>
        <w:tc>
          <w:tcPr/>
          <w:p>
            <w:pPr>
              <w:pStyle w:val="Compact"/>
              <w:jc w:val="left"/>
            </w:pPr>
            <w:r>
              <w:rPr>
                <w:rStyle w:val="VerbatimChar"/>
              </w:rPr>
              <w:t xml:space="preserve">test_mitigation.py</w:t>
            </w:r>
            <w:r>
              <w:t xml:space="preserve">,</w:t>
            </w:r>
            <w:r>
              <w:t xml:space="preserve"> </w:t>
            </w:r>
            <w:r>
              <w:rPr>
                <w:rStyle w:val="VerbatimChar"/>
              </w:rPr>
              <w:t xml:space="preserve">test_trajectory.py</w:t>
            </w:r>
            <w:r>
              <w:t xml:space="preserve">,</w:t>
            </w:r>
            <w:r>
              <w:t xml:space="preserve"> </w:t>
            </w:r>
            <w:r>
              <w:rPr>
                <w:rStyle w:val="VerbatimChar"/>
              </w:rPr>
              <w:t xml:space="preserve">test_config.py</w:t>
            </w:r>
            <w:r>
              <w:t xml:space="preserve">,</w:t>
            </w:r>
            <w:r>
              <w:t xml:space="preserve"> </w:t>
            </w:r>
            <w:r>
              <w:rPr>
                <w:rStyle w:val="VerbatimChar"/>
              </w:rPr>
              <w:t xml:space="preserve">test_reproducibility.py</w:t>
            </w:r>
          </w:p>
        </w:tc>
        <w:tc>
          <w:tcPr/>
          <w:p>
            <w:pPr>
              <w:pStyle w:val="Compact"/>
              <w:jc w:val="left"/>
            </w:pPr>
            <w:r>
              <w:t xml:space="preserve">9 + 12 + 15 + 9</w:t>
            </w:r>
          </w:p>
        </w:tc>
        <w:tc>
          <w:tcPr/>
          <w:p>
            <w:pPr>
              <w:pStyle w:val="Compact"/>
              <w:jc w:val="left"/>
            </w:pPr>
            <w:r>
              <w:t xml:space="preserve">Step-level mitigation, configuration fail-closed, seeds</w:t>
            </w:r>
          </w:p>
        </w:tc>
      </w:tr>
      <w:tr>
        <w:tc>
          <w:tcPr/>
          <w:p>
            <w:pPr>
              <w:pStyle w:val="Compact"/>
              <w:jc w:val="left"/>
            </w:pPr>
            <w:r>
              <w:rPr>
                <w:rStyle w:val="VerbatimChar"/>
              </w:rPr>
              <w:t xml:space="preserve">test_a3.py</w:t>
            </w:r>
          </w:p>
        </w:tc>
        <w:tc>
          <w:tcPr/>
          <w:p>
            <w:pPr>
              <w:pStyle w:val="Compact"/>
              <w:jc w:val="left"/>
            </w:pPr>
            <w:r>
              <w:t xml:space="preserve">10</w:t>
            </w:r>
          </w:p>
        </w:tc>
        <w:tc>
          <w:tcPr/>
          <w:p>
            <w:pPr>
              <w:pStyle w:val="Compact"/>
              <w:jc w:val="left"/>
            </w:pPr>
            <w:r>
              <w:t xml:space="preserve">Table 3.13; Eqs. 3.8–3.10; argmin over the feasible set; D1 and D2; ties; dominance check;</w:t>
            </w:r>
            <w:r>
              <w:t xml:space="preserve"> </w:t>
            </w:r>
            <w:r>
              <w:rPr>
                <w:bCs/>
                <w:b/>
              </w:rPr>
              <w:t xml:space="preserve">REM without expected-loss Escalate keeps D2</w:t>
            </w:r>
            <w:r>
              <w:t xml:space="preserve"> </w:t>
            </w:r>
            <w:r>
              <w:t xml:space="preserve">(added in R2)</w:t>
            </w:r>
          </w:p>
        </w:tc>
      </w:tr>
      <w:tr>
        <w:tc>
          <w:tcPr/>
          <w:p>
            <w:pPr>
              <w:pStyle w:val="Compact"/>
              <w:jc w:val="left"/>
            </w:pPr>
            <w:r>
              <w:rPr>
                <w:rStyle w:val="VerbatimChar"/>
              </w:rPr>
              <w:t xml:space="preserve">test_a1.py</w:t>
            </w:r>
          </w:p>
        </w:tc>
        <w:tc>
          <w:tcPr/>
          <w:p>
            <w:pPr>
              <w:pStyle w:val="Compact"/>
              <w:jc w:val="left"/>
            </w:pPr>
            <w:r>
              <w:t xml:space="preserve">5</w:t>
            </w:r>
          </w:p>
        </w:tc>
        <w:tc>
          <w:tcPr/>
          <w:p>
            <w:pPr>
              <w:pStyle w:val="Compact"/>
              <w:jc w:val="left"/>
            </w:pPr>
            <w:r>
              <w:t xml:space="preserve">Eq. 3.14 minimality; α = 0; invariance under monotone recalibration; verdict rule</w:t>
            </w:r>
          </w:p>
        </w:tc>
      </w:tr>
      <w:tr>
        <w:tc>
          <w:tcPr/>
          <w:p>
            <w:pPr>
              <w:pStyle w:val="Compact"/>
              <w:jc w:val="left"/>
            </w:pPr>
            <w:r>
              <w:rPr>
                <w:rStyle w:val="VerbatimChar"/>
              </w:rPr>
              <w:t xml:space="preserve">test_a2.py</w:t>
            </w:r>
          </w:p>
        </w:tc>
        <w:tc>
          <w:tcPr/>
          <w:p>
            <w:pPr>
              <w:pStyle w:val="Compact"/>
              <w:jc w:val="left"/>
            </w:pPr>
            <w:r>
              <w:t xml:space="preserve">5</w:t>
            </w:r>
          </w:p>
        </w:tc>
        <w:tc>
          <w:tcPr/>
          <w:p>
            <w:pPr>
              <w:pStyle w:val="Compact"/>
              <w:jc w:val="left"/>
            </w:pPr>
            <w:r>
              <w:t xml:space="preserve">Eqs. 3.15–3.17; indicator set; false-alarm target; no verdict</w:t>
            </w:r>
          </w:p>
        </w:tc>
      </w:tr>
      <w:tr>
        <w:tc>
          <w:tcPr/>
          <w:p>
            <w:pPr>
              <w:pStyle w:val="Compact"/>
              <w:jc w:val="left"/>
            </w:pPr>
            <w:r>
              <w:rPr>
                <w:rStyle w:val="VerbatimChar"/>
              </w:rPr>
              <w:t xml:space="preserve">test_evidence.py</w:t>
            </w:r>
          </w:p>
        </w:tc>
        <w:tc>
          <w:tcPr/>
          <w:p>
            <w:pPr>
              <w:pStyle w:val="Compact"/>
              <w:jc w:val="left"/>
            </w:pPr>
            <w:r>
              <w:t xml:space="preserve">7</w:t>
            </w:r>
          </w:p>
        </w:tc>
        <w:tc>
          <w:tcPr/>
          <w:p>
            <w:pPr>
              <w:pStyle w:val="Compact"/>
              <w:jc w:val="left"/>
            </w:pPr>
            <w:r>
              <w:t xml:space="preserve">Trust order; hygiene; features on an injected and a legitimate transfer; availability; tier map</w:t>
            </w:r>
          </w:p>
        </w:tc>
      </w:tr>
      <w:tr>
        <w:tc>
          <w:tcPr/>
          <w:p>
            <w:pPr>
              <w:pStyle w:val="Compact"/>
              <w:jc w:val="left"/>
            </w:pPr>
            <w:r>
              <w:rPr>
                <w:rStyle w:val="VerbatimChar"/>
              </w:rPr>
              <w:t xml:space="preserve">test_crossfit.py</w:t>
            </w:r>
          </w:p>
        </w:tc>
        <w:tc>
          <w:tcPr/>
          <w:p>
            <w:pPr>
              <w:pStyle w:val="Compact"/>
              <w:jc w:val="left"/>
            </w:pPr>
            <w:r>
              <w:t xml:space="preserve">2</w:t>
            </w:r>
          </w:p>
        </w:tc>
        <w:tc>
          <w:tcPr/>
          <w:p>
            <w:pPr>
              <w:pStyle w:val="Compact"/>
              <w:jc w:val="left"/>
            </w:pPr>
            <w:r>
              <w:t xml:space="preserve">Procedure 3.1 outputs; held-out predictions independent of held-out labels</w:t>
            </w:r>
          </w:p>
        </w:tc>
      </w:tr>
      <w:tr>
        <w:tc>
          <w:tcPr/>
          <w:p>
            <w:pPr>
              <w:pStyle w:val="Compact"/>
              <w:jc w:val="left"/>
            </w:pPr>
            <w:r>
              <w:rPr>
                <w:rStyle w:val="VerbatimChar"/>
              </w:rPr>
              <w:t xml:space="preserve">test_traces.py</w:t>
            </w:r>
          </w:p>
        </w:tc>
        <w:tc>
          <w:tcPr/>
          <w:p>
            <w:pPr>
              <w:pStyle w:val="Compact"/>
              <w:jc w:val="left"/>
            </w:pPr>
            <w:r>
              <w:t xml:space="preserve">2</w:t>
            </w:r>
          </w:p>
        </w:tc>
        <w:tc>
          <w:tcPr/>
          <w:p>
            <w:pPr>
              <w:pStyle w:val="Compact"/>
              <w:jc w:val="left"/>
            </w:pPr>
            <w:r>
              <w:t xml:space="preserve">Label rule including induced reads and ambiguity; fold-specific x^beh₄</w:t>
            </w:r>
          </w:p>
        </w:tc>
      </w:tr>
      <w:tr>
        <w:tc>
          <w:tcPr/>
          <w:p>
            <w:pPr>
              <w:pStyle w:val="Compact"/>
              <w:jc w:val="left"/>
            </w:pPr>
            <w:r>
              <w:rPr>
                <w:rStyle w:val="VerbatimChar"/>
              </w:rPr>
              <w:t xml:space="preserve">test_replay.py</w:t>
            </w:r>
          </w:p>
        </w:tc>
        <w:tc>
          <w:tcPr/>
          <w:p>
            <w:pPr>
              <w:pStyle w:val="Compact"/>
              <w:jc w:val="left"/>
            </w:pPr>
            <w:r>
              <w:t xml:space="preserve">3</w:t>
            </w:r>
          </w:p>
        </w:tc>
        <w:tc>
          <w:tcPr/>
          <w:p>
            <w:pPr>
              <w:pStyle w:val="Compact"/>
              <w:jc w:val="left"/>
            </w:pPr>
            <w:r>
              <w:t xml:space="preserve">All-Allow replay reproduces a recorded episode; oracle Block prevents the recorded attack;</w:t>
            </w:r>
            <w:r>
              <w:t xml:space="preserve"> </w:t>
            </w:r>
            <w:r>
              <w:rPr>
                <w:bCs/>
                <w:b/>
              </w:rPr>
              <w:t xml:space="preserve">withheld calls keep tool and argument digest, and no raw attacker value appears in the audit record</w:t>
            </w:r>
            <w:r>
              <w:t xml:space="preserve"> </w:t>
            </w:r>
            <w:r>
              <w:t xml:space="preserve">(extended in R2); observe-only releases everything</w:t>
            </w:r>
          </w:p>
        </w:tc>
      </w:tr>
    </w:tbl>
    <w:bookmarkEnd w:id="174"/>
    <w:bookmarkStart w:id="175" w:name="integration-verification"/>
    <w:p>
      <w:pPr>
        <w:pStyle w:val="Heading3"/>
      </w:pPr>
      <w:r>
        <w:t xml:space="preserve">4.11.2 Integration verification</w:t>
      </w:r>
    </w:p>
    <w:p>
      <w:pPr>
        <w:numPr>
          <w:ilvl w:val="0"/>
          <w:numId w:val="1168"/>
        </w:numPr>
        <w:pStyle w:val="Compact"/>
      </w:pPr>
      <w:r>
        <w:rPr>
          <w:bCs/>
          <w:b/>
        </w:rPr>
        <w:t xml:space="preserve">Replay fidelity.</w:t>
      </w:r>
      <w:r>
        <w:t xml:space="preserve"> </w:t>
      </w:r>
      <w:r>
        <w:t xml:space="preserve">With every call allowed, the replay reproduced the recorded utility and security outcome of 3,313 of 3,334 episodes (99.4%). The 21 exceptions are analyzed in Chapter 5.</w:t>
      </w:r>
    </w:p>
    <w:p>
      <w:pPr>
        <w:numPr>
          <w:ilvl w:val="0"/>
          <w:numId w:val="1168"/>
        </w:numPr>
        <w:pStyle w:val="Compact"/>
      </w:pPr>
      <w:r>
        <w:rPr>
          <w:bCs/>
          <w:b/>
        </w:rPr>
        <w:t xml:space="preserve">Determinism and regression.</w:t>
      </w:r>
      <w:r>
        <w:t xml:space="preserve"> </w:t>
      </w:r>
      <w:r>
        <w:t xml:space="preserve">The complete pilot was run at commit</w:t>
      </w:r>
      <w:r>
        <w:t xml:space="preserve"> </w:t>
      </w:r>
      <w:r>
        <w:rPr>
          <w:rStyle w:val="VerbatimChar"/>
        </w:rPr>
        <w:t xml:space="preserve">aa66f22</w:t>
      </w:r>
      <w:r>
        <w:t xml:space="preserve"> </w:t>
      </w:r>
      <w:r>
        <w:t xml:space="preserve">(R1) and again at commit</w:t>
      </w:r>
      <w:r>
        <w:t xml:space="preserve"> </w:t>
      </w:r>
      <w:r>
        <w:rPr>
          <w:rStyle w:val="VerbatimChar"/>
        </w:rPr>
        <w:t xml:space="preserve">84a8c21</w:t>
      </w:r>
      <w:r>
        <w:t xml:space="preserve"> </w:t>
      </w:r>
      <w:r>
        <w:t xml:space="preserve">(R2), after the corrections of this revision. An automated comparison of the 5,121 values the two runs share found 93 differences, all of them wall-clock time or memory measurements; every analytical value was identical.</w:t>
      </w:r>
    </w:p>
    <w:p>
      <w:pPr>
        <w:numPr>
          <w:ilvl w:val="0"/>
          <w:numId w:val="1168"/>
        </w:numPr>
        <w:pStyle w:val="Compact"/>
      </w:pPr>
      <w:r>
        <w:rPr>
          <w:bCs/>
          <w:b/>
        </w:rPr>
        <w:t xml:space="preserve">Attribution additivity.</w:t>
      </w:r>
      <w:r>
        <w:t xml:space="preserve"> </w:t>
      </w:r>
      <w:r>
        <w:t xml:space="preserve">The audit record carries |φ₀ + Σφᵢ − s| for every replayed step.</w:t>
      </w:r>
    </w:p>
    <w:bookmarkEnd w:id="175"/>
    <w:bookmarkStart w:id="176" w:name="what-is-not-verified-here"/>
    <w:p>
      <w:pPr>
        <w:pStyle w:val="Heading3"/>
      </w:pPr>
      <w:r>
        <w:t xml:space="preserve">4.11.3 What is not verified here</w:t>
      </w:r>
    </w:p>
    <w:p>
      <w:pPr>
        <w:pStyle w:val="FirstParagraph"/>
      </w:pPr>
      <w:r>
        <w:t xml:space="preserve">Security effectiveness against live agents is not verified; Chapter 5 states what the recorded-trace analyses can and cannot show.</w:t>
      </w:r>
    </w:p>
    <w:bookmarkEnd w:id="176"/>
    <w:bookmarkEnd w:id="177"/>
    <w:bookmarkStart w:id="178" w:name="X07884cbec8778901366c9bd590ae649025c5102"/>
    <w:p>
      <w:pPr>
        <w:pStyle w:val="Heading2"/>
      </w:pPr>
      <w:r>
        <w:t xml:space="preserve">4.12 Correspondence Between Requirements, Equations, Code, Tests and Results</w:t>
      </w:r>
    </w:p>
    <w:p>
      <w:pPr>
        <w:pStyle w:val="FirstParagraph"/>
      </w:pPr>
      <w:r>
        <w:rPr>
          <w:bCs/>
          <w:b/>
        </w:rPr>
        <w:t xml:space="preserve">Table 4.6. Requirement → equation → function → test → result artifact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Requirement (Chapter 3)</w:t>
            </w:r>
          </w:p>
        </w:tc>
        <w:tc>
          <w:tcPr/>
          <w:p>
            <w:pPr>
              <w:pStyle w:val="Compact"/>
              <w:jc w:val="left"/>
            </w:pPr>
            <w:r>
              <w:t xml:space="preserve">Equation</w:t>
            </w:r>
          </w:p>
        </w:tc>
        <w:tc>
          <w:tcPr/>
          <w:p>
            <w:pPr>
              <w:pStyle w:val="Compact"/>
              <w:jc w:val="left"/>
            </w:pPr>
            <w:r>
              <w:t xml:space="preserve">Function</w:t>
            </w:r>
          </w:p>
        </w:tc>
        <w:tc>
          <w:tcPr/>
          <w:p>
            <w:pPr>
              <w:pStyle w:val="Compact"/>
              <w:jc w:val="left"/>
            </w:pPr>
            <w:r>
              <w:t xml:space="preserve">Test</w:t>
            </w:r>
          </w:p>
        </w:tc>
        <w:tc>
          <w:tcPr/>
          <w:p>
            <w:pPr>
              <w:pStyle w:val="Compact"/>
              <w:jc w:val="left"/>
            </w:pPr>
            <w:r>
              <w:t xml:space="preserve">Result artifact (</w:t>
            </w:r>
            <w:r>
              <w:rPr>
                <w:rStyle w:val="VerbatimChar"/>
              </w:rPr>
              <w:t xml:space="preserve">results/pilot_R2/</w:t>
            </w:r>
            <w:r>
              <w:t xml:space="preserve">)</w:t>
            </w:r>
          </w:p>
        </w:tc>
      </w:tr>
      <w:tr>
        <w:tc>
          <w:tcPr/>
          <w:p>
            <w:pPr>
              <w:pStyle w:val="Compact"/>
              <w:jc w:val="left"/>
            </w:pPr>
            <w:r>
              <w:t xml:space="preserve">Logit and uncalibrated probability</w:t>
            </w:r>
          </w:p>
        </w:tc>
        <w:tc>
          <w:tcPr/>
          <w:p>
            <w:pPr>
              <w:pStyle w:val="Compact"/>
              <w:jc w:val="left"/>
            </w:pPr>
            <w:r>
              <w:t xml:space="preserve">3.1</w:t>
            </w:r>
          </w:p>
        </w:tc>
        <w:tc>
          <w:tcPr/>
          <w:p>
            <w:pPr>
              <w:pStyle w:val="Compact"/>
              <w:jc w:val="left"/>
            </w:pPr>
            <w:r>
              <w:rPr>
                <w:rStyle w:val="VerbatimChar"/>
              </w:rPr>
              <w:t xml:space="preserve">ridge_logistic.RidgeLogisticRegression.decision_function</w:t>
            </w:r>
          </w:p>
        </w:tc>
        <w:tc>
          <w:tcPr/>
          <w:p>
            <w:pPr>
              <w:pStyle w:val="Compact"/>
              <w:jc w:val="left"/>
            </w:pPr>
            <w:r>
              <w:rPr>
                <w:rStyle w:val="VerbatimChar"/>
              </w:rPr>
              <w:t xml:space="preserve">test_frozen_math</w:t>
            </w:r>
          </w:p>
        </w:tc>
        <w:tc>
          <w:tcPr/>
          <w:p>
            <w:pPr>
              <w:pStyle w:val="Compact"/>
              <w:jc w:val="left"/>
            </w:pPr>
            <w:r>
              <w:rPr>
                <w:rStyle w:val="VerbatimChar"/>
              </w:rPr>
              <w:t xml:space="preserve">e1_crossfit.json</w:t>
            </w:r>
            <w:r>
              <w:t xml:space="preserve"> </w:t>
            </w:r>
            <w:r>
              <w:t xml:space="preserve">(</w:t>
            </w:r>
            <w:r>
              <w:rPr>
                <w:rStyle w:val="VerbatimChar"/>
              </w:rPr>
              <w:t xml:space="preserve">pooled_uncalibrated</w:t>
            </w:r>
            <w:r>
              <w:t xml:space="preserve">)</w:t>
            </w:r>
          </w:p>
        </w:tc>
      </w:tr>
      <w:tr>
        <w:tc>
          <w:tcPr/>
          <w:p>
            <w:pPr>
              <w:pStyle w:val="Compact"/>
              <w:jc w:val="left"/>
            </w:pPr>
            <w:r>
              <w:t xml:space="preserve">Ridge fit (λ = λ</w:t>
            </w:r>
            <w:r>
              <w:rPr>
                <w:vertAlign w:val="subscript"/>
              </w:rPr>
              <w:t xml:space="preserve">impl</w:t>
            </w:r>
            <w:r>
              <w:t xml:space="preserve">/2)</w:t>
            </w:r>
          </w:p>
        </w:tc>
        <w:tc>
          <w:tcPr/>
          <w:p>
            <w:pPr>
              <w:pStyle w:val="Compact"/>
              <w:jc w:val="left"/>
            </w:pPr>
            <w:r>
              <w:t xml:space="preserve">3.2</w:t>
            </w:r>
          </w:p>
        </w:tc>
        <w:tc>
          <w:tcPr/>
          <w:p>
            <w:pPr>
              <w:pStyle w:val="Compact"/>
              <w:jc w:val="left"/>
            </w:pPr>
            <w:r>
              <w:rPr>
                <w:rStyle w:val="VerbatimChar"/>
              </w:rPr>
              <w:t xml:space="preserve">RidgeLogisticRegression.fit</w:t>
            </w:r>
          </w:p>
        </w:tc>
        <w:tc>
          <w:tcPr/>
          <w:p>
            <w:pPr>
              <w:pStyle w:val="Compact"/>
              <w:jc w:val="left"/>
            </w:pPr>
            <w:r>
              <w:rPr>
                <w:rStyle w:val="VerbatimChar"/>
              </w:rPr>
              <w:t xml:space="preserve">test_frozen_math</w:t>
            </w:r>
          </w:p>
        </w:tc>
        <w:tc>
          <w:tcPr/>
          <w:p>
            <w:pPr>
              <w:pStyle w:val="Compact"/>
              <w:jc w:val="left"/>
            </w:pPr>
            <w:r>
              <w:rPr>
                <w:rStyle w:val="VerbatimChar"/>
              </w:rPr>
              <w:t xml:space="preserve">e1_crossfit.json</w:t>
            </w:r>
            <w:r>
              <w:t xml:space="preserve"> </w:t>
            </w:r>
            <w:r>
              <w:t xml:space="preserve">(</w:t>
            </w:r>
            <w:r>
              <w:rPr>
                <w:rStyle w:val="VerbatimChar"/>
              </w:rPr>
              <w:t xml:space="preserve">per_fold.*.lambda</w:t>
            </w:r>
            <w:r>
              <w:t xml:space="preserve">,</w:t>
            </w:r>
            <w:r>
              <w:t xml:space="preserve"> </w:t>
            </w:r>
            <w:r>
              <w:rPr>
                <w:rStyle w:val="VerbatimChar"/>
              </w:rPr>
              <w:t xml:space="preserve">lambda_chapter3_eq3_2_scale</w:t>
            </w:r>
            <w:r>
              <w:t xml:space="preserve">)</w:t>
            </w:r>
          </w:p>
        </w:tc>
      </w:tr>
      <w:tr>
        <w:tc>
          <w:tcPr/>
          <w:p>
            <w:pPr>
              <w:pStyle w:val="Compact"/>
              <w:jc w:val="left"/>
            </w:pPr>
            <w:r>
              <w:t xml:space="preserve">Calibration map, γ₁ &gt; 0</w:t>
            </w:r>
          </w:p>
        </w:tc>
        <w:tc>
          <w:tcPr/>
          <w:p>
            <w:pPr>
              <w:pStyle w:val="Compact"/>
              <w:jc w:val="left"/>
            </w:pPr>
            <w:r>
              <w:t xml:space="preserve">3.3</w:t>
            </w:r>
          </w:p>
        </w:tc>
        <w:tc>
          <w:tcPr/>
          <w:p>
            <w:pPr>
              <w:pStyle w:val="Compact"/>
              <w:jc w:val="left"/>
            </w:pPr>
            <w:r>
              <w:rPr>
                <w:rStyle w:val="VerbatimChar"/>
              </w:rPr>
              <w:t xml:space="preserve">PlattLogitCalibrator.calibrate</w:t>
            </w:r>
          </w:p>
        </w:tc>
        <w:tc>
          <w:tcPr/>
          <w:p>
            <w:pPr>
              <w:pStyle w:val="Compact"/>
              <w:jc w:val="left"/>
            </w:pPr>
            <w:r>
              <w:rPr>
                <w:rStyle w:val="VerbatimChar"/>
              </w:rPr>
              <w:t xml:space="preserve">test_frozen_math</w:t>
            </w:r>
          </w:p>
        </w:tc>
        <w:tc>
          <w:tcPr/>
          <w:p>
            <w:pPr>
              <w:pStyle w:val="Compact"/>
              <w:jc w:val="left"/>
            </w:pPr>
            <w:r>
              <w:rPr>
                <w:rStyle w:val="VerbatimChar"/>
              </w:rPr>
              <w:t xml:space="preserve">e1_crossfit.json</w:t>
            </w:r>
            <w:r>
              <w:t xml:space="preserve"> </w:t>
            </w:r>
            <w:r>
              <w:t xml:space="preserve">(</w:t>
            </w:r>
            <w:r>
              <w:rPr>
                <w:rStyle w:val="VerbatimChar"/>
              </w:rPr>
              <w:t xml:space="preserve">gamma_1</w:t>
            </w:r>
            <w:r>
              <w:t xml:space="preserve">)</w:t>
            </w:r>
          </w:p>
        </w:tc>
      </w:tr>
      <w:tr>
        <w:tc>
          <w:tcPr/>
          <w:p>
            <w:pPr>
              <w:pStyle w:val="Compact"/>
              <w:jc w:val="left"/>
            </w:pPr>
            <w:r>
              <w:t xml:space="preserve">Calibration fit on labels</w:t>
            </w:r>
          </w:p>
        </w:tc>
        <w:tc>
          <w:tcPr/>
          <w:p>
            <w:pPr>
              <w:pStyle w:val="Compact"/>
              <w:jc w:val="left"/>
            </w:pPr>
            <w:r>
              <w:t xml:space="preserve">3.4</w:t>
            </w:r>
          </w:p>
        </w:tc>
        <w:tc>
          <w:tcPr/>
          <w:p>
            <w:pPr>
              <w:pStyle w:val="Compact"/>
              <w:jc w:val="left"/>
            </w:pPr>
            <w:r>
              <w:rPr>
                <w:rStyle w:val="VerbatimChar"/>
              </w:rPr>
              <w:t xml:space="preserve">logit_nll.LabelNLLLogitCalibrator.fit</w:t>
            </w:r>
          </w:p>
        </w:tc>
        <w:tc>
          <w:tcPr/>
          <w:p>
            <w:pPr>
              <w:pStyle w:val="Compact"/>
              <w:jc w:val="left"/>
            </w:pPr>
            <w:r>
              <w:rPr>
                <w:rStyle w:val="VerbatimChar"/>
              </w:rPr>
              <w:t xml:space="preserve">test_crossfit</w:t>
            </w:r>
          </w:p>
        </w:tc>
        <w:tc>
          <w:tcPr/>
          <w:p>
            <w:pPr>
              <w:pStyle w:val="Compact"/>
              <w:jc w:val="left"/>
            </w:pPr>
            <w:r>
              <w:rPr>
                <w:rStyle w:val="VerbatimChar"/>
              </w:rPr>
              <w:t xml:space="preserve">e1_crossfit.json</w:t>
            </w:r>
            <w:r>
              <w:t xml:space="preserve"> </w:t>
            </w:r>
            <w:r>
              <w:t xml:space="preserve">(</w:t>
            </w:r>
            <w:r>
              <w:rPr>
                <w:rStyle w:val="VerbatimChar"/>
              </w:rPr>
              <w:t xml:space="preserve">label_nll_primary</w:t>
            </w:r>
            <w:r>
              <w:t xml:space="preserve">)</w:t>
            </w:r>
          </w:p>
        </w:tc>
      </w:tr>
      <w:tr>
        <w:tc>
          <w:tcPr/>
          <w:p>
            <w:pPr>
              <w:pStyle w:val="Compact"/>
              <w:jc w:val="left"/>
            </w:pPr>
            <w:r>
              <w:t xml:space="preserve">Adversarial Modify loss</w:t>
            </w:r>
          </w:p>
        </w:tc>
        <w:tc>
          <w:tcPr/>
          <w:p>
            <w:pPr>
              <w:pStyle w:val="Compact"/>
              <w:jc w:val="left"/>
            </w:pPr>
            <w:r>
              <w:t xml:space="preserve">3.5</w:t>
            </w:r>
          </w:p>
        </w:tc>
        <w:tc>
          <w:tcPr/>
          <w:p>
            <w:pPr>
              <w:pStyle w:val="Compact"/>
              <w:jc w:val="left"/>
            </w:pPr>
            <w:r>
              <w:rPr>
                <w:rStyle w:val="VerbatimChar"/>
              </w:rPr>
              <w:t xml:space="preserve">loss_matrix.build_loss_grid</w:t>
            </w:r>
          </w:p>
        </w:tc>
        <w:tc>
          <w:tcPr/>
          <w:p>
            <w:pPr>
              <w:pStyle w:val="Compact"/>
              <w:jc w:val="left"/>
            </w:pPr>
            <w:r>
              <w:rPr>
                <w:rStyle w:val="VerbatimChar"/>
              </w:rPr>
              <w:t xml:space="preserve">test_a3</w:t>
            </w:r>
          </w:p>
        </w:tc>
        <w:tc>
          <w:tcPr/>
          <w:p>
            <w:pPr>
              <w:pStyle w:val="Compact"/>
              <w:jc w:val="left"/>
            </w:pPr>
            <w:r>
              <w:rPr>
                <w:rStyle w:val="VerbatimChar"/>
              </w:rPr>
              <w:t xml:space="preserve">e4_rmod_and_replay_validity.json</w:t>
            </w:r>
            <w:r>
              <w:t xml:space="preserve"> </w:t>
            </w:r>
            <w:r>
              <w:t xml:space="preserve">(r</w:t>
            </w:r>
            <w:r>
              <w:rPr>
                <w:vertAlign w:val="subscript"/>
              </w:rPr>
              <w:t xml:space="preserve">mod</w:t>
            </w:r>
            <w:r>
              <w:t xml:space="preserve">)</w:t>
            </w:r>
          </w:p>
        </w:tc>
      </w:tr>
      <w:tr>
        <w:tc>
          <w:tcPr/>
          <w:p>
            <w:pPr>
              <w:pStyle w:val="Compact"/>
              <w:jc w:val="left"/>
            </w:pPr>
            <w:r>
              <w:t xml:space="preserve">Conditional risk</w:t>
            </w:r>
          </w:p>
        </w:tc>
        <w:tc>
          <w:tcPr/>
          <w:p>
            <w:pPr>
              <w:pStyle w:val="Compact"/>
              <w:jc w:val="left"/>
            </w:pPr>
            <w:r>
              <w:t xml:space="preserve">3.6</w:t>
            </w:r>
          </w:p>
        </w:tc>
        <w:tc>
          <w:tcPr/>
          <w:p>
            <w:pPr>
              <w:pStyle w:val="Compact"/>
              <w:jc w:val="left"/>
            </w:pPr>
            <w:r>
              <w:rPr>
                <w:rStyle w:val="VerbatimChar"/>
              </w:rPr>
              <w:t xml:space="preserve">expected_loss.ExpectedLossDecisionEngine.conditional_risk</w:t>
            </w:r>
          </w:p>
        </w:tc>
        <w:tc>
          <w:tcPr/>
          <w:p>
            <w:pPr>
              <w:pStyle w:val="Compact"/>
              <w:jc w:val="left"/>
            </w:pPr>
            <w:r>
              <w:rPr>
                <w:rStyle w:val="VerbatimChar"/>
              </w:rPr>
              <w:t xml:space="preserve">test_frozen_math</w:t>
            </w:r>
            <w:r>
              <w:t xml:space="preserve">,</w:t>
            </w:r>
            <w:r>
              <w:t xml:space="preserve"> </w:t>
            </w:r>
            <w:r>
              <w:rPr>
                <w:rStyle w:val="VerbatimChar"/>
              </w:rPr>
              <w:t xml:space="preserve">test_a3</w:t>
            </w:r>
          </w:p>
        </w:tc>
        <w:tc>
          <w:tcPr/>
          <w:p>
            <w:pPr>
              <w:pStyle w:val="Compact"/>
              <w:jc w:val="left"/>
            </w:pPr>
            <w:r>
              <w:rPr>
                <w:rStyle w:val="VerbatimChar"/>
              </w:rPr>
              <w:t xml:space="preserve">e2_e5_e6_observe_only.json</w:t>
            </w:r>
          </w:p>
        </w:tc>
      </w:tr>
      <w:tr>
        <w:tc>
          <w:tcPr/>
          <w:p>
            <w:pPr>
              <w:pStyle w:val="Compact"/>
              <w:jc w:val="left"/>
            </w:pPr>
            <w:r>
              <w:t xml:space="preserve">Verdict over 𝒱(aₜ), ties</w:t>
            </w:r>
          </w:p>
        </w:tc>
        <w:tc>
          <w:tcPr/>
          <w:p>
            <w:pPr>
              <w:pStyle w:val="Compact"/>
              <w:jc w:val="left"/>
            </w:pPr>
            <w:r>
              <w:t xml:space="preserve">3.7</w:t>
            </w:r>
          </w:p>
        </w:tc>
        <w:tc>
          <w:tcPr/>
          <w:p>
            <w:pPr>
              <w:pStyle w:val="Compact"/>
              <w:jc w:val="left"/>
            </w:pPr>
            <w:r>
              <w:rPr>
                <w:rStyle w:val="VerbatimChar"/>
              </w:rPr>
              <w:t xml:space="preserve">a3.A3Policy.decide</w:t>
            </w:r>
          </w:p>
        </w:tc>
        <w:tc>
          <w:tcPr/>
          <w:p>
            <w:pPr>
              <w:pStyle w:val="Compact"/>
              <w:jc w:val="left"/>
            </w:pPr>
            <w:r>
              <w:rPr>
                <w:rStyle w:val="VerbatimChar"/>
              </w:rPr>
              <w:t xml:space="preserve">test_a3</w:t>
            </w:r>
          </w:p>
        </w:tc>
        <w:tc>
          <w:tcPr/>
          <w:p>
            <w:pPr>
              <w:pStyle w:val="Compact"/>
              <w:jc w:val="left"/>
            </w:pPr>
            <w:r>
              <w:rPr>
                <w:rStyle w:val="VerbatimChar"/>
              </w:rPr>
              <w:t xml:space="preserve">e2_e5_e6_observe_only.json</w:t>
            </w:r>
            <w:r>
              <w:t xml:space="preserve"> </w:t>
            </w:r>
            <w:r>
              <w:t xml:space="preserve">(</w:t>
            </w:r>
            <w:r>
              <w:rPr>
                <w:rStyle w:val="VerbatimChar"/>
              </w:rPr>
              <w:t xml:space="preserve">ties</w:t>
            </w:r>
            <w:r>
              <w:t xml:space="preserve">)</w:t>
            </w:r>
          </w:p>
        </w:tc>
      </w:tr>
      <w:tr>
        <w:tc>
          <w:tcPr/>
          <w:p>
            <w:pPr>
              <w:pStyle w:val="Compact"/>
              <w:jc w:val="left"/>
            </w:pPr>
            <w:r>
              <w:t xml:space="preserve">Thresholds, feasibility, dominance</w:t>
            </w:r>
          </w:p>
        </w:tc>
        <w:tc>
          <w:tcPr/>
          <w:p>
            <w:pPr>
              <w:pStyle w:val="Compact"/>
              <w:jc w:val="left"/>
            </w:pPr>
            <w:r>
              <w:t xml:space="preserve">3.8–3.10</w:t>
            </w:r>
          </w:p>
        </w:tc>
        <w:tc>
          <w:tcPr/>
          <w:p>
            <w:pPr>
              <w:pStyle w:val="Compact"/>
              <w:jc w:val="left"/>
            </w:pPr>
            <w:r>
              <w:rPr>
                <w:rStyle w:val="VerbatimChar"/>
              </w:rPr>
              <w:t xml:space="preserve">loss_matrix.*</w:t>
            </w:r>
          </w:p>
        </w:tc>
        <w:tc>
          <w:tcPr/>
          <w:p>
            <w:pPr>
              <w:pStyle w:val="Compact"/>
              <w:jc w:val="left"/>
            </w:pPr>
            <w:r>
              <w:rPr>
                <w:rStyle w:val="VerbatimChar"/>
              </w:rPr>
              <w:t xml:space="preserve">test_a3</w:t>
            </w:r>
          </w:p>
        </w:tc>
        <w:tc>
          <w:tcPr/>
          <w:p>
            <w:pPr>
              <w:pStyle w:val="Compact"/>
              <w:jc w:val="left"/>
            </w:pPr>
            <w:r>
              <w:rPr>
                <w:rStyle w:val="VerbatimChar"/>
              </w:rPr>
              <w:t xml:space="preserve">e2_e5_e6_observe_only.json</w:t>
            </w:r>
            <w:r>
              <w:t xml:space="preserve"> </w:t>
            </w:r>
            <w:r>
              <w:t xml:space="preserve">(</w:t>
            </w:r>
            <w:r>
              <w:rPr>
                <w:rStyle w:val="VerbatimChar"/>
              </w:rPr>
              <w:t xml:space="preserve">dominance</w:t>
            </w:r>
            <w:r>
              <w:t xml:space="preserve">)</w:t>
            </w:r>
          </w:p>
        </w:tc>
      </w:tr>
      <w:tr>
        <w:tc>
          <w:tcPr/>
          <w:p>
            <w:pPr>
              <w:pStyle w:val="Compact"/>
              <w:jc w:val="left"/>
            </w:pPr>
            <w:r>
              <w:t xml:space="preserve">Attribution, additivity</w:t>
            </w:r>
          </w:p>
        </w:tc>
        <w:tc>
          <w:tcPr/>
          <w:p>
            <w:pPr>
              <w:pStyle w:val="Compact"/>
              <w:jc w:val="left"/>
            </w:pPr>
            <w:r>
              <w:t xml:space="preserve">3.11–3.13</w:t>
            </w:r>
          </w:p>
        </w:tc>
        <w:tc>
          <w:tcPr/>
          <w:p>
            <w:pPr>
              <w:pStyle w:val="Compact"/>
              <w:jc w:val="left"/>
            </w:pPr>
            <w:r>
              <w:rPr>
                <w:rStyle w:val="VerbatimChar"/>
              </w:rPr>
              <w:t xml:space="preserve">linear_shapley.LinearShapleyAttributor</w:t>
            </w:r>
          </w:p>
        </w:tc>
        <w:tc>
          <w:tcPr/>
          <w:p>
            <w:pPr>
              <w:pStyle w:val="Compact"/>
              <w:jc w:val="left"/>
            </w:pPr>
            <w:r>
              <w:rPr>
                <w:rStyle w:val="VerbatimChar"/>
              </w:rPr>
              <w:t xml:space="preserve">test_frozen_math</w:t>
            </w:r>
          </w:p>
        </w:tc>
        <w:tc>
          <w:tcPr/>
          <w:p>
            <w:pPr>
              <w:pStyle w:val="Compact"/>
              <w:jc w:val="left"/>
            </w:pPr>
            <w:r>
              <w:t xml:space="preserve">replay audit field</w:t>
            </w:r>
            <w:r>
              <w:t xml:space="preserve"> </w:t>
            </w:r>
            <w:r>
              <w:rPr>
                <w:rStyle w:val="VerbatimChar"/>
              </w:rPr>
              <w:t xml:space="preserve">additivity_error</w:t>
            </w:r>
          </w:p>
        </w:tc>
      </w:tr>
      <w:tr>
        <w:tc>
          <w:tcPr/>
          <w:p>
            <w:pPr>
              <w:pStyle w:val="Compact"/>
              <w:jc w:val="left"/>
            </w:pPr>
            <w:r>
              <w:t xml:space="preserve">Baseline thresholds</w:t>
            </w:r>
          </w:p>
        </w:tc>
        <w:tc>
          <w:tcPr/>
          <w:p>
            <w:pPr>
              <w:pStyle w:val="Compact"/>
              <w:jc w:val="left"/>
            </w:pPr>
            <w:r>
              <w:t xml:space="preserve">3.14</w:t>
            </w:r>
          </w:p>
        </w:tc>
        <w:tc>
          <w:tcPr/>
          <w:p>
            <w:pPr>
              <w:pStyle w:val="Compact"/>
              <w:jc w:val="left"/>
            </w:pPr>
            <w:r>
              <w:rPr>
                <w:rStyle w:val="VerbatimChar"/>
              </w:rPr>
              <w:t xml:space="preserve">a1.operating_threshold</w:t>
            </w:r>
          </w:p>
        </w:tc>
        <w:tc>
          <w:tcPr/>
          <w:p>
            <w:pPr>
              <w:pStyle w:val="Compact"/>
              <w:jc w:val="left"/>
            </w:pPr>
            <w:r>
              <w:rPr>
                <w:rStyle w:val="VerbatimChar"/>
              </w:rPr>
              <w:t xml:space="preserve">test_a1</w:t>
            </w:r>
          </w:p>
        </w:tc>
        <w:tc>
          <w:tcPr/>
          <w:p>
            <w:pPr>
              <w:pStyle w:val="Compact"/>
              <w:jc w:val="left"/>
            </w:pPr>
            <w:r>
              <w:rPr>
                <w:rStyle w:val="VerbatimChar"/>
              </w:rPr>
              <w:t xml:space="preserve">e1_crossfit.json</w:t>
            </w:r>
            <w:r>
              <w:t xml:space="preserve"> </w:t>
            </w:r>
            <w:r>
              <w:t xml:space="preserve">(</w:t>
            </w:r>
            <w:r>
              <w:rPr>
                <w:rStyle w:val="VerbatimChar"/>
              </w:rPr>
              <w:t xml:space="preserve">theta_blk</w:t>
            </w:r>
            <w:r>
              <w:t xml:space="preserve">,</w:t>
            </w:r>
            <w:r>
              <w:t xml:space="preserve"> </w:t>
            </w:r>
            <w:r>
              <w:rPr>
                <w:rStyle w:val="VerbatimChar"/>
              </w:rPr>
              <w:t xml:space="preserve">theta_mod</w:t>
            </w:r>
            <w:r>
              <w:t xml:space="preserve">)</w:t>
            </w:r>
          </w:p>
        </w:tc>
      </w:tr>
      <w:tr>
        <w:tc>
          <w:tcPr/>
          <w:p>
            <w:pPr>
              <w:pStyle w:val="Compact"/>
              <w:jc w:val="left"/>
            </w:pPr>
            <w:r>
              <w:t xml:space="preserve">CUSUM</w:t>
            </w:r>
          </w:p>
        </w:tc>
        <w:tc>
          <w:tcPr/>
          <w:p>
            <w:pPr>
              <w:pStyle w:val="Compact"/>
              <w:jc w:val="left"/>
            </w:pPr>
            <w:r>
              <w:t xml:space="preserve">3.15–3.19</w:t>
            </w:r>
          </w:p>
        </w:tc>
        <w:tc>
          <w:tcPr/>
          <w:p>
            <w:pPr>
              <w:pStyle w:val="Compact"/>
              <w:jc w:val="left"/>
            </w:pPr>
            <w:r>
              <w:rPr>
                <w:rStyle w:val="VerbatimChar"/>
              </w:rPr>
              <w:t xml:space="preserve">cusum.BernoulliCusum</w:t>
            </w:r>
            <w:r>
              <w:t xml:space="preserve">,</w:t>
            </w:r>
            <w:r>
              <w:t xml:space="preserve"> </w:t>
            </w:r>
            <w:r>
              <w:rPr>
                <w:rStyle w:val="VerbatimChar"/>
              </w:rPr>
              <w:t xml:space="preserve">a2.*</w:t>
            </w:r>
          </w:p>
        </w:tc>
        <w:tc>
          <w:tcPr/>
          <w:p>
            <w:pPr>
              <w:pStyle w:val="Compact"/>
              <w:jc w:val="left"/>
            </w:pPr>
            <w:r>
              <w:rPr>
                <w:rStyle w:val="VerbatimChar"/>
              </w:rPr>
              <w:t xml:space="preserve">test_a2</w:t>
            </w:r>
          </w:p>
        </w:tc>
        <w:tc>
          <w:tcPr/>
          <w:p>
            <w:pPr>
              <w:pStyle w:val="Compact"/>
              <w:jc w:val="left"/>
            </w:pPr>
            <w:r>
              <w:rPr>
                <w:rStyle w:val="VerbatimChar"/>
              </w:rPr>
              <w:t xml:space="preserve">e3_a2_cusum_observe_only.json</w:t>
            </w:r>
          </w:p>
        </w:tc>
      </w:tr>
      <w:tr>
        <w:tc>
          <w:tcPr/>
          <w:p>
            <w:pPr>
              <w:pStyle w:val="Compact"/>
              <w:jc w:val="left"/>
            </w:pPr>
            <w:r>
              <w:t xml:space="preserve">ECE, log-loss</w:t>
            </w:r>
          </w:p>
        </w:tc>
        <w:tc>
          <w:tcPr/>
          <w:p>
            <w:pPr>
              <w:pStyle w:val="Compact"/>
              <w:jc w:val="left"/>
            </w:pPr>
            <w:r>
              <w:t xml:space="preserve">3.20–3.21</w:t>
            </w:r>
          </w:p>
        </w:tc>
        <w:tc>
          <w:tcPr/>
          <w:p>
            <w:pPr>
              <w:pStyle w:val="Compact"/>
              <w:jc w:val="left"/>
            </w:pPr>
            <w:r>
              <w:rPr>
                <w:rStyle w:val="VerbatimChar"/>
              </w:rPr>
              <w:t xml:space="preserve">probabilistic.*</w:t>
            </w:r>
          </w:p>
        </w:tc>
        <w:tc>
          <w:tcPr/>
          <w:p>
            <w:pPr>
              <w:pStyle w:val="Compact"/>
              <w:jc w:val="left"/>
            </w:pPr>
            <w:r>
              <w:rPr>
                <w:rStyle w:val="VerbatimChar"/>
              </w:rPr>
              <w:t xml:space="preserve">test_probabilistic</w:t>
            </w:r>
          </w:p>
        </w:tc>
        <w:tc>
          <w:tcPr/>
          <w:p>
            <w:pPr>
              <w:pStyle w:val="Compact"/>
              <w:jc w:val="left"/>
            </w:pPr>
            <w:r>
              <w:rPr>
                <w:rStyle w:val="VerbatimChar"/>
              </w:rPr>
              <w:t xml:space="preserve">e1_crossfit.json</w:t>
            </w:r>
          </w:p>
        </w:tc>
      </w:tr>
      <w:tr>
        <w:tc>
          <w:tcPr/>
          <w:p>
            <w:pPr>
              <w:pStyle w:val="Compact"/>
              <w:jc w:val="left"/>
            </w:pPr>
            <w:r>
              <w:t xml:space="preserve">Realized loss</w:t>
            </w:r>
          </w:p>
        </w:tc>
        <w:tc>
          <w:tcPr/>
          <w:p>
            <w:pPr>
              <w:pStyle w:val="Compact"/>
              <w:jc w:val="left"/>
            </w:pPr>
            <w:r>
              <w:t xml:space="preserve">3.22</w:t>
            </w:r>
          </w:p>
        </w:tc>
        <w:tc>
          <w:tcPr/>
          <w:p>
            <w:pPr>
              <w:pStyle w:val="Compact"/>
              <w:jc w:val="left"/>
            </w:pPr>
            <w:r>
              <w:rPr>
                <w:rStyle w:val="VerbatimChar"/>
              </w:rPr>
              <w:t xml:space="preserve">run_main.stage_observe</w:t>
            </w:r>
          </w:p>
        </w:tc>
        <w:tc>
          <w:tcPr/>
          <w:p>
            <w:pPr>
              <w:pStyle w:val="Compact"/>
              <w:jc w:val="left"/>
            </w:pPr>
            <w:r>
              <w:t xml:space="preserve">— (script)</w:t>
            </w:r>
          </w:p>
        </w:tc>
        <w:tc>
          <w:tcPr/>
          <w:p>
            <w:pPr>
              <w:pStyle w:val="Compact"/>
              <w:jc w:val="left"/>
            </w:pPr>
            <w:r>
              <w:rPr>
                <w:rStyle w:val="VerbatimChar"/>
              </w:rPr>
              <w:t xml:space="preserve">e2_e5_e6_observe_only.json</w:t>
            </w:r>
            <w:r>
              <w:t xml:space="preserve"> </w:t>
            </w:r>
            <w:r>
              <w:t xml:space="preserve">(</w:t>
            </w:r>
            <w:r>
              <w:rPr>
                <w:rStyle w:val="VerbatimChar"/>
              </w:rPr>
              <w:t xml:space="preserve">e6_grid</w:t>
            </w:r>
            <w:r>
              <w:t xml:space="preserve">)</w:t>
            </w:r>
          </w:p>
        </w:tc>
      </w:tr>
      <w:tr>
        <w:tc>
          <w:tcPr/>
          <w:p>
            <w:pPr>
              <w:pStyle w:val="Compact"/>
              <w:jc w:val="left"/>
            </w:pPr>
            <w:r>
              <w:t xml:space="preserve">D1/D2 before expected loss</w:t>
            </w:r>
          </w:p>
        </w:tc>
        <w:tc>
          <w:tcPr/>
          <w:p>
            <w:pPr>
              <w:pStyle w:val="Compact"/>
              <w:jc w:val="left"/>
            </w:pPr>
            <w:r>
              <w:t xml:space="preserve">—</w:t>
            </w:r>
          </w:p>
        </w:tc>
        <w:tc>
          <w:tcPr/>
          <w:p>
            <w:pPr>
              <w:pStyle w:val="Compact"/>
              <w:jc w:val="left"/>
            </w:pPr>
            <w:r>
              <w:rPr>
                <w:rStyle w:val="VerbatimChar"/>
              </w:rPr>
              <w:t xml:space="preserve">PredicatePolicy.evaluate</w:t>
            </w:r>
            <w:r>
              <w:t xml:space="preserve">,</w:t>
            </w:r>
            <w:r>
              <w:t xml:space="preserve"> </w:t>
            </w:r>
            <w:r>
              <w:rPr>
                <w:rStyle w:val="VerbatimChar"/>
              </w:rPr>
              <w:t xml:space="preserve">A3Policy.decide</w:t>
            </w:r>
          </w:p>
        </w:tc>
        <w:tc>
          <w:tcPr/>
          <w:p>
            <w:pPr>
              <w:pStyle w:val="Compact"/>
              <w:jc w:val="left"/>
            </w:pPr>
            <w:r>
              <w:rPr>
                <w:rStyle w:val="VerbatimChar"/>
              </w:rPr>
              <w:t xml:space="preserve">test_a3</w:t>
            </w:r>
          </w:p>
        </w:tc>
        <w:tc>
          <w:tcPr/>
          <w:p>
            <w:pPr>
              <w:pStyle w:val="Compact"/>
              <w:jc w:val="left"/>
            </w:pPr>
            <w:r>
              <w:rPr>
                <w:rStyle w:val="VerbatimChar"/>
              </w:rPr>
              <w:t xml:space="preserve">e2_e5_e6_observe_only.json</w:t>
            </w:r>
            <w:r>
              <w:t xml:space="preserve"> </w:t>
            </w:r>
            <w:r>
              <w:t xml:space="preserve">(</w:t>
            </w:r>
            <w:r>
              <w:rPr>
                <w:rStyle w:val="VerbatimChar"/>
              </w:rPr>
              <w:t xml:space="preserve">sources</w:t>
            </w:r>
            <w:r>
              <w:t xml:space="preserve">)</w:t>
            </w:r>
          </w:p>
        </w:tc>
      </w:tr>
      <w:tr>
        <w:tc>
          <w:tcPr/>
          <w:p>
            <w:pPr>
              <w:pStyle w:val="Compact"/>
              <w:jc w:val="left"/>
            </w:pPr>
            <w:r>
              <w:t xml:space="preserve">Step- and episode-level mitigation</w:t>
            </w:r>
          </w:p>
        </w:tc>
        <w:tc>
          <w:tcPr/>
          <w:p>
            <w:pPr>
              <w:pStyle w:val="Compact"/>
              <w:jc w:val="left"/>
            </w:pPr>
            <w:r>
              <w:t xml:space="preserve">Table 3.14</w:t>
            </w:r>
          </w:p>
        </w:tc>
        <w:tc>
          <w:tcPr/>
          <w:p>
            <w:pPr>
              <w:pStyle w:val="Compact"/>
              <w:jc w:val="left"/>
            </w:pPr>
            <w:r>
              <w:rPr>
                <w:rStyle w:val="VerbatimChar"/>
              </w:rPr>
              <w:t xml:space="preserve">RemGuard._mitigate</w:t>
            </w:r>
          </w:p>
        </w:tc>
        <w:tc>
          <w:tcPr/>
          <w:p>
            <w:pPr>
              <w:pStyle w:val="Compact"/>
              <w:jc w:val="left"/>
            </w:pPr>
            <w:r>
              <w:rPr>
                <w:rStyle w:val="VerbatimChar"/>
              </w:rPr>
              <w:t xml:space="preserve">test_replay</w:t>
            </w:r>
          </w:p>
        </w:tc>
        <w:tc>
          <w:tcPr/>
          <w:p>
            <w:pPr>
              <w:pStyle w:val="Compact"/>
              <w:jc w:val="left"/>
            </w:pPr>
            <w:r>
              <w:rPr>
                <w:rStyle w:val="VerbatimChar"/>
              </w:rPr>
              <w:t xml:space="preserve">e4_e5_enforcement_replay.json</w:t>
            </w:r>
          </w:p>
        </w:tc>
      </w:tr>
      <w:tr>
        <w:tc>
          <w:tcPr/>
          <w:p>
            <w:pPr>
              <w:pStyle w:val="Compact"/>
              <w:jc w:val="left"/>
            </w:pPr>
            <w:r>
              <w:t xml:space="preserve">Audit identity of withheld actions</w:t>
            </w:r>
          </w:p>
        </w:tc>
        <w:tc>
          <w:tcPr/>
          <w:p>
            <w:pPr>
              <w:pStyle w:val="Compact"/>
              <w:jc w:val="left"/>
            </w:pPr>
            <w:r>
              <w:t xml:space="preserve">Section 3.7.6</w:t>
            </w:r>
          </w:p>
        </w:tc>
        <w:tc>
          <w:tcPr/>
          <w:p>
            <w:pPr>
              <w:pStyle w:val="Compact"/>
              <w:jc w:val="left"/>
            </w:pPr>
            <w:r>
              <w:rPr>
                <w:rStyle w:val="VerbatimChar"/>
              </w:rPr>
              <w:t xml:space="preserve">RemGuard.evaluate</w:t>
            </w:r>
            <w:r>
              <w:t xml:space="preserve">;</w:t>
            </w:r>
            <w:r>
              <w:t xml:space="preserve"> </w:t>
            </w:r>
            <w:r>
              <w:rPr>
                <w:rStyle w:val="VerbatimChar"/>
              </w:rPr>
              <w:t xml:space="preserve">mitigation.py</w:t>
            </w:r>
            <w:r>
              <w:t xml:space="preserve">,</w:t>
            </w:r>
            <w:r>
              <w:t xml:space="preserve"> </w:t>
            </w:r>
            <w:r>
              <w:rPr>
                <w:rStyle w:val="VerbatimChar"/>
              </w:rPr>
              <w:t xml:space="preserve">audit.py</w:t>
            </w:r>
          </w:p>
        </w:tc>
        <w:tc>
          <w:tcPr/>
          <w:p>
            <w:pPr>
              <w:pStyle w:val="Compact"/>
              <w:jc w:val="left"/>
            </w:pPr>
            <w:r>
              <w:rPr>
                <w:rStyle w:val="VerbatimChar"/>
              </w:rPr>
              <w:t xml:space="preserve">test_replay</w:t>
            </w:r>
            <w:r>
              <w:t xml:space="preserve">,</w:t>
            </w:r>
            <w:r>
              <w:t xml:space="preserve"> </w:t>
            </w:r>
            <w:r>
              <w:rPr>
                <w:rStyle w:val="VerbatimChar"/>
              </w:rPr>
              <w:t xml:space="preserve">test_pipeline</w:t>
            </w:r>
          </w:p>
        </w:tc>
        <w:tc>
          <w:tcPr/>
          <w:p>
            <w:pPr>
              <w:pStyle w:val="Compact"/>
              <w:jc w:val="left"/>
            </w:pPr>
            <w:r>
              <w:t xml:space="preserve">—</w:t>
            </w:r>
          </w:p>
        </w:tc>
      </w:tr>
    </w:tbl>
    <w:p>
      <w:pPr>
        <w:pStyle w:val="BodyText"/>
      </w:pPr>
      <w:r>
        <w:rPr>
          <w:bCs/>
          <w:b/>
        </w:rPr>
        <w:t xml:space="preserve">Table 4.7. Components required, implemented and absent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 (Chapter 3)</w:t>
            </w:r>
          </w:p>
        </w:tc>
        <w:tc>
          <w:tcPr/>
          <w:p>
            <w:pPr>
              <w:pStyle w:val="Compact"/>
              <w:jc w:val="left"/>
            </w:pPr>
            <w:r>
              <w:t xml:space="preserve">Status</w:t>
            </w:r>
          </w:p>
        </w:tc>
      </w:tr>
      <w:tr>
        <w:tc>
          <w:tcPr/>
          <w:p>
            <w:pPr>
              <w:pStyle w:val="Compact"/>
              <w:jc w:val="left"/>
            </w:pPr>
            <w:r>
              <w:t xml:space="preserve">Provenance labels, hygiene</w:t>
            </w:r>
          </w:p>
        </w:tc>
        <w:tc>
          <w:tcPr/>
          <w:p>
            <w:pPr>
              <w:pStyle w:val="Compact"/>
              <w:jc w:val="left"/>
            </w:pPr>
            <w:r>
              <w:t xml:space="preserve">Implemented</w:t>
            </w:r>
          </w:p>
        </w:tc>
      </w:tr>
      <w:tr>
        <w:tc>
          <w:tcPr/>
          <w:p>
            <w:pPr>
              <w:pStyle w:val="Compact"/>
              <w:jc w:val="left"/>
            </w:pPr>
            <w:r>
              <w:t xml:space="preserve">Entity extraction</w:t>
            </w:r>
          </w:p>
        </w:tc>
        <w:tc>
          <w:tcPr/>
          <w:p>
            <w:pPr>
              <w:pStyle w:val="Compact"/>
              <w:jc w:val="left"/>
            </w:pPr>
            <w:r>
              <w:t xml:space="preserve">Partly implemented (Section 4.4)</w:t>
            </w:r>
          </w:p>
        </w:tc>
      </w:tr>
      <w:tr>
        <w:tc>
          <w:tcPr/>
          <w:p>
            <w:pPr>
              <w:pStyle w:val="Compact"/>
              <w:jc w:val="left"/>
            </w:pPr>
            <w:r>
              <w:t xml:space="preserve">x^ctx₁ injection classifier</w:t>
            </w:r>
          </w:p>
        </w:tc>
        <w:tc>
          <w:tcPr/>
          <w:p>
            <w:pPr>
              <w:pStyle w:val="Compact"/>
              <w:jc w:val="left"/>
            </w:pPr>
            <w:r>
              <w:rPr>
                <w:bCs/>
                <w:b/>
              </w:rPr>
              <w:t xml:space="preserve">Absent</w:t>
            </w:r>
          </w:p>
        </w:tc>
      </w:tr>
      <w:tr>
        <w:tc>
          <w:tcPr/>
          <w:p>
            <w:pPr>
              <w:pStyle w:val="Compact"/>
              <w:jc w:val="left"/>
            </w:pPr>
            <w:r>
              <w:t xml:space="preserve">x^ctx₂, x^beh₁–₄, x^act₁–₃</w:t>
            </w:r>
          </w:p>
        </w:tc>
        <w:tc>
          <w:tcPr/>
          <w:p>
            <w:pPr>
              <w:pStyle w:val="Compact"/>
              <w:jc w:val="left"/>
            </w:pPr>
            <w:r>
              <w:t xml:space="preserve">Implemented</w:t>
            </w:r>
          </w:p>
        </w:tc>
      </w:tr>
      <w:tr>
        <w:tc>
          <w:tcPr/>
          <w:p>
            <w:pPr>
              <w:pStyle w:val="Compact"/>
              <w:jc w:val="left"/>
            </w:pPr>
            <w:r>
              <w:t xml:space="preserve">Ridge estimator; both calibration fits</w:t>
            </w:r>
          </w:p>
        </w:tc>
        <w:tc>
          <w:tcPr/>
          <w:p>
            <w:pPr>
              <w:pStyle w:val="Compact"/>
              <w:jc w:val="left"/>
            </w:pPr>
            <w:r>
              <w:t xml:space="preserve">Implemented</w:t>
            </w:r>
          </w:p>
        </w:tc>
      </w:tr>
      <w:tr>
        <w:tc>
          <w:tcPr/>
          <w:p>
            <w:pPr>
              <w:pStyle w:val="Compact"/>
              <w:jc w:val="left"/>
            </w:pPr>
            <w:r>
              <w:t xml:space="preserve">Tiers, predicates, feasible set, loss structure, dominance check</w:t>
            </w:r>
          </w:p>
        </w:tc>
        <w:tc>
          <w:tcPr/>
          <w:p>
            <w:pPr>
              <w:pStyle w:val="Compact"/>
              <w:jc w:val="left"/>
            </w:pPr>
            <w:r>
              <w:t xml:space="preserve">Implemented</w:t>
            </w:r>
          </w:p>
        </w:tc>
      </w:tr>
      <w:tr>
        <w:tc>
          <w:tcPr/>
          <w:p>
            <w:pPr>
              <w:pStyle w:val="Compact"/>
              <w:jc w:val="left"/>
            </w:pPr>
            <w:r>
              <w:t xml:space="preserve">REM verdict; B1; REM without expected-loss Escalate</w:t>
            </w:r>
          </w:p>
        </w:tc>
        <w:tc>
          <w:tcPr/>
          <w:p>
            <w:pPr>
              <w:pStyle w:val="Compact"/>
              <w:jc w:val="left"/>
            </w:pPr>
            <w:r>
              <w:t xml:space="preserve">Implemented</w:t>
            </w:r>
          </w:p>
        </w:tc>
      </w:tr>
      <w:tr>
        <w:tc>
          <w:tcPr/>
          <w:p>
            <w:pPr>
              <w:pStyle w:val="Compact"/>
              <w:jc w:val="left"/>
            </w:pPr>
            <w:r>
              <w:t xml:space="preserve">Step-level and episode-level mitigation</w:t>
            </w:r>
          </w:p>
        </w:tc>
        <w:tc>
          <w:tcPr/>
          <w:p>
            <w:pPr>
              <w:pStyle w:val="Compact"/>
              <w:jc w:val="left"/>
            </w:pPr>
            <w:r>
              <w:t xml:space="preserve">Implemented (evaluation path)</w:t>
            </w:r>
          </w:p>
        </w:tc>
      </w:tr>
      <w:tr>
        <w:tc>
          <w:tcPr/>
          <w:p>
            <w:pPr>
              <w:pStyle w:val="Compact"/>
              <w:jc w:val="left"/>
            </w:pPr>
            <w:r>
              <w:t xml:space="preserve">Human reviewer</w:t>
            </w:r>
          </w:p>
        </w:tc>
        <w:tc>
          <w:tcPr/>
          <w:p>
            <w:pPr>
              <w:pStyle w:val="Compact"/>
              <w:jc w:val="left"/>
            </w:pPr>
            <w:r>
              <w:t xml:space="preserve">Absent; replaced by two bounds</w:t>
            </w:r>
          </w:p>
        </w:tc>
      </w:tr>
      <w:tr>
        <w:tc>
          <w:tcPr/>
          <w:p>
            <w:pPr>
              <w:pStyle w:val="Compact"/>
              <w:jc w:val="left"/>
            </w:pPr>
            <w:r>
              <w:t xml:space="preserve">Offline fitting (Procedure 3.1)</w:t>
            </w:r>
          </w:p>
        </w:tc>
        <w:tc>
          <w:tcPr/>
          <w:p>
            <w:pPr>
              <w:pStyle w:val="Compact"/>
              <w:jc w:val="left"/>
            </w:pPr>
            <w:r>
              <w:t xml:space="preserve">Implemented</w:t>
            </w:r>
          </w:p>
        </w:tc>
      </w:tr>
      <w:tr>
        <w:tc>
          <w:tcPr/>
          <w:p>
            <w:pPr>
              <w:pStyle w:val="Compact"/>
              <w:jc w:val="left"/>
            </w:pPr>
            <w:r>
              <w:t xml:space="preserve">CUSUM (observe-only)</w:t>
            </w:r>
          </w:p>
        </w:tc>
        <w:tc>
          <w:tcPr/>
          <w:p>
            <w:pPr>
              <w:pStyle w:val="Compact"/>
              <w:jc w:val="left"/>
            </w:pPr>
            <w:r>
              <w:t xml:space="preserve">Implemented</w:t>
            </w:r>
          </w:p>
        </w:tc>
      </w:tr>
      <w:tr>
        <w:tc>
          <w:tcPr/>
          <w:p>
            <w:pPr>
              <w:pStyle w:val="Compact"/>
              <w:jc w:val="left"/>
            </w:pPr>
            <w:r>
              <w:t xml:space="preserve">Live enforcing-mode execution</w:t>
            </w:r>
          </w:p>
        </w:tc>
        <w:tc>
          <w:tcPr/>
          <w:p>
            <w:pPr>
              <w:pStyle w:val="Compact"/>
              <w:jc w:val="left"/>
            </w:pPr>
            <w:r>
              <w:rPr>
                <w:bCs/>
                <w:b/>
              </w:rPr>
              <w:t xml:space="preserve">Not executed</w:t>
            </w:r>
            <w:r>
              <w:t xml:space="preserve"> </w:t>
            </w:r>
            <w:r>
              <w:t xml:space="preserve">(no LLM access)</w:t>
            </w:r>
          </w:p>
        </w:tc>
      </w:tr>
    </w:tbl>
    <w:bookmarkEnd w:id="178"/>
    <w:bookmarkStart w:id="179" w:name="logging-of-sensitive-values"/>
    <w:p>
      <w:pPr>
        <w:pStyle w:val="Heading2"/>
      </w:pPr>
      <w:r>
        <w:t xml:space="preserve">4.13 Logging of Sensitive Values</w:t>
      </w:r>
    </w:p>
    <w:p>
      <w:pPr>
        <w:numPr>
          <w:ilvl w:val="0"/>
          <w:numId w:val="1169"/>
        </w:numPr>
        <w:pStyle w:val="Compact"/>
      </w:pPr>
      <w:r>
        <w:rPr>
          <w:bCs/>
          <w:b/>
        </w:rPr>
        <w:t xml:space="preserve">Audit records.</w:t>
      </w:r>
      <w:r>
        <w:t xml:space="preserve"> </w:t>
      </w:r>
      <w:r>
        <w:t xml:space="preserve">The audit records of the evaluation path store argument digests and keys, not values. A test checks that neither the attacker’s account identifier nor the attacker’s password appears in any audit record of a replayed episode.</w:t>
      </w:r>
    </w:p>
    <w:p>
      <w:pPr>
        <w:numPr>
          <w:ilvl w:val="0"/>
          <w:numId w:val="1169"/>
        </w:numPr>
        <w:pStyle w:val="Compact"/>
      </w:pPr>
      <w:r>
        <w:rPr>
          <w:bCs/>
          <w:b/>
        </w:rPr>
        <w:t xml:space="preserve">Frozen audit log.</w:t>
      </w:r>
      <w:r>
        <w:t xml:space="preserve"> </w:t>
      </w:r>
      <w:r>
        <w:t xml:space="preserve">It stores digests by default; raw payloads are written only if</w:t>
      </w:r>
      <w:r>
        <w:t xml:space="preserve"> </w:t>
      </w:r>
      <w:r>
        <w:rPr>
          <w:rStyle w:val="VerbatimChar"/>
        </w:rPr>
        <w:t xml:space="preserve">record_payloads=True</w:t>
      </w:r>
      <w:r>
        <w:t xml:space="preserve"> </w:t>
      </w:r>
      <w:r>
        <w:t xml:space="preserve">is set explicitly.</w:t>
      </w:r>
    </w:p>
    <w:p>
      <w:pPr>
        <w:numPr>
          <w:ilvl w:val="0"/>
          <w:numId w:val="1169"/>
        </w:numPr>
        <w:pStyle w:val="Compact"/>
      </w:pPr>
      <w:r>
        <w:rPr>
          <w:bCs/>
          <w:b/>
        </w:rPr>
        <w:t xml:space="preserve">Result files.</w:t>
      </w:r>
      <w:r>
        <w:t xml:space="preserve"> </w:t>
      </w:r>
      <w:r>
        <w:t xml:space="preserve">Two result files contain argument values copied from the benchmark’s traces: the label-audit sample and the human label-audit package. These values are synthetic benchmark data (simulated IBANs and passwords), not real credentials.</w:t>
      </w:r>
    </w:p>
    <w:p>
      <w:pPr>
        <w:numPr>
          <w:ilvl w:val="0"/>
          <w:numId w:val="1169"/>
        </w:numPr>
        <w:pStyle w:val="Compact"/>
      </w:pPr>
      <w:r>
        <w:rPr>
          <w:bCs/>
          <w:b/>
        </w:rPr>
        <w:t xml:space="preserve">Credentials.</w:t>
      </w:r>
      <w:r>
        <w:t xml:space="preserve"> </w:t>
      </w:r>
      <w:r>
        <w:t xml:space="preserve">No credential, API key or real account identifier is used by the code or written by it.</w:t>
      </w:r>
    </w:p>
    <w:bookmarkEnd w:id="179"/>
    <w:bookmarkStart w:id="180" w:name="runtime-measurement"/>
    <w:p>
      <w:pPr>
        <w:pStyle w:val="Heading2"/>
      </w:pPr>
      <w:r>
        <w:t xml:space="preserve">4.14 Runtime Measurement</w:t>
      </w:r>
    </w:p>
    <w:p>
      <w:pPr>
        <w:pStyle w:val="FirstParagraph"/>
      </w:pPr>
      <w:r>
        <w:t xml:space="preserve">REM’s processing time is measured with</w:t>
      </w:r>
      <w:r>
        <w:t xml:space="preserve"> </w:t>
      </w:r>
      <w:r>
        <w:rPr>
          <w:rStyle w:val="VerbatimChar"/>
        </w:rPr>
        <w:t xml:space="preserve">time.perf_counter</w:t>
      </w:r>
      <w:r>
        <w:t xml:space="preserve"> </w:t>
      </w:r>
      <w:r>
        <w:t xml:space="preserve">around</w:t>
      </w:r>
      <w:r>
        <w:t xml:space="preserve"> </w:t>
      </w:r>
      <w:r>
        <w:rPr>
          <w:rStyle w:val="VerbatimChar"/>
        </w:rPr>
        <w:t xml:space="preserve">RemGuard.evaluate</w:t>
      </w:r>
      <w:r>
        <w:t xml:space="preserve">. The measured interval</w:t>
      </w:r>
      <w:r>
        <w:t xml:space="preserve"> </w:t>
      </w:r>
      <w:r>
        <w:rPr>
          <w:bCs/>
          <w:b/>
        </w:rPr>
        <w:t xml:space="preserve">includes</w:t>
      </w:r>
      <w:r>
        <w:t xml:space="preserve">:</w:t>
      </w:r>
    </w:p>
    <w:p>
      <w:pPr>
        <w:numPr>
          <w:ilvl w:val="0"/>
          <w:numId w:val="1170"/>
        </w:numPr>
        <w:pStyle w:val="Compact"/>
      </w:pPr>
      <w:r>
        <w:t xml:space="preserve">feature computation;</w:t>
      </w:r>
    </w:p>
    <w:p>
      <w:pPr>
        <w:numPr>
          <w:ilvl w:val="0"/>
          <w:numId w:val="1170"/>
        </w:numPr>
        <w:pStyle w:val="Compact"/>
      </w:pPr>
      <w:r>
        <w:t xml:space="preserve">scoring and calibration;</w:t>
      </w:r>
    </w:p>
    <w:p>
      <w:pPr>
        <w:numPr>
          <w:ilvl w:val="0"/>
          <w:numId w:val="1170"/>
        </w:numPr>
        <w:pStyle w:val="Compact"/>
      </w:pPr>
      <w:r>
        <w:t xml:space="preserve">the predicates and the verdict;</w:t>
      </w:r>
    </w:p>
    <w:p>
      <w:pPr>
        <w:numPr>
          <w:ilvl w:val="0"/>
          <w:numId w:val="1170"/>
        </w:numPr>
        <w:pStyle w:val="Compact"/>
      </w:pPr>
      <w:r>
        <w:t xml:space="preserve">the mitigation decision;</w:t>
      </w:r>
    </w:p>
    <w:p>
      <w:pPr>
        <w:numPr>
          <w:ilvl w:val="0"/>
          <w:numId w:val="1170"/>
        </w:numPr>
        <w:pStyle w:val="Compact"/>
      </w:pPr>
      <w:r>
        <w:t xml:space="preserve">audit-record construction with attribution.</w:t>
      </w:r>
    </w:p>
    <w:p>
      <w:pPr>
        <w:pStyle w:val="FirstParagraph"/>
      </w:pPr>
      <w:r>
        <w:t xml:space="preserve">It</w:t>
      </w:r>
      <w:r>
        <w:t xml:space="preserve"> </w:t>
      </w:r>
      <w:r>
        <w:rPr>
          <w:bCs/>
          <w:b/>
        </w:rPr>
        <w:t xml:space="preserve">excludes</w:t>
      </w:r>
      <w:r>
        <w:t xml:space="preserve">:</w:t>
      </w:r>
    </w:p>
    <w:p>
      <w:pPr>
        <w:numPr>
          <w:ilvl w:val="0"/>
          <w:numId w:val="1171"/>
        </w:numPr>
        <w:pStyle w:val="Compact"/>
      </w:pPr>
      <w:r>
        <w:t xml:space="preserve">LLM inference (absent in replay);</w:t>
      </w:r>
    </w:p>
    <w:p>
      <w:pPr>
        <w:numPr>
          <w:ilvl w:val="0"/>
          <w:numId w:val="1171"/>
        </w:numPr>
        <w:pStyle w:val="Compact"/>
      </w:pPr>
      <w:r>
        <w:t xml:space="preserve">tool execution;</w:t>
      </w:r>
    </w:p>
    <w:p>
      <w:pPr>
        <w:numPr>
          <w:ilvl w:val="0"/>
          <w:numId w:val="1171"/>
        </w:numPr>
        <w:pStyle w:val="Compact"/>
      </w:pPr>
      <w:r>
        <w:t xml:space="preserve">benchmark environment set-up;</w:t>
      </w:r>
    </w:p>
    <w:p>
      <w:pPr>
        <w:numPr>
          <w:ilvl w:val="0"/>
          <w:numId w:val="1171"/>
        </w:numPr>
        <w:pStyle w:val="Compact"/>
      </w:pPr>
      <w:r>
        <w:t xml:space="preserve">pipeline overhead.</w:t>
      </w:r>
    </w:p>
    <w:p>
      <w:pPr>
        <w:pStyle w:val="FirstParagraph"/>
      </w:pPr>
      <w:r>
        <w:t xml:space="preserve">Measurements were taken in four parallel worker processes on the 4-vCPU container of Table 4.1, so they include contention between workers, and they vary between runs (Section 4.11.2). Memory is the peak allocation traced by</w:t>
      </w:r>
      <w:r>
        <w:t xml:space="preserve"> </w:t>
      </w:r>
      <w:r>
        <w:rPr>
          <w:rStyle w:val="VerbatimChar"/>
        </w:rPr>
        <w:t xml:space="preserve">tracemalloc</w:t>
      </w:r>
      <w:r>
        <w:t xml:space="preserve"> </w:t>
      </w:r>
      <w:r>
        <w:t xml:space="preserve">during</w:t>
      </w:r>
      <w:r>
        <w:t xml:space="preserve"> </w:t>
      </w:r>
      <w:r>
        <w:rPr>
          <w:rStyle w:val="VerbatimChar"/>
        </w:rPr>
        <w:t xml:space="preserve">RemGuard.evaluate</w:t>
      </w:r>
      <w:r>
        <w:t xml:space="preserve">, measured on 300 episodes.</w:t>
      </w:r>
    </w:p>
    <w:p>
      <w:pPr>
        <w:pStyle w:val="BodyText"/>
      </w:pPr>
      <w:r>
        <w:t xml:space="preserve">These figures describe the evaluated configuration: no injection classifier, no reviewer, and Python on this hardware. They do not describe a deployment that includes a neural classifier or a human review step.</w:t>
      </w:r>
    </w:p>
    <w:bookmarkEnd w:id="180"/>
    <w:bookmarkStart w:id="181" w:name="chapter-summary-2"/>
    <w:p>
      <w:pPr>
        <w:pStyle w:val="Heading2"/>
      </w:pPr>
      <w:r>
        <w:t xml:space="preserve">4.15 Chapter Summary</w:t>
      </w:r>
    </w:p>
    <w:p>
      <w:pPr>
        <w:pStyle w:val="FirstParagraph"/>
      </w:pPr>
      <w:r>
        <w:t xml:space="preserve">The full runtime procedure of Chapter 3 is implemented in the evaluation path, except for the injection classifier, which is absent. The evaluation path inserts REM at the benchmark’s tool boundary without modifying the agent. Its correspondence with the equations, tests and results is given in Table 4.6.</w:t>
      </w:r>
    </w:p>
    <w:p>
      <w:pPr>
        <w:pStyle w:val="BodyText"/>
      </w:pPr>
      <w:r>
        <w:t xml:space="preserve">The frozen pipeline is verified by unit tests but is not the path used in the experiments. One defect in it, the loss of a blocked action’s identity in the audit record, was corrected in this revision without effect on any result.</w:t>
      </w:r>
    </w:p>
    <w:p>
      <w:pPr>
        <w:pStyle w:val="BodyText"/>
      </w:pPr>
      <w:r>
        <w:t xml:space="preserve">The software is verified by 193 tests and by an exact analytical reproduction of the pilot. Its security effectiveness is the subject of Chapter 5.</w:t>
      </w:r>
    </w:p>
    <w:bookmarkEnd w:id="181"/>
    <w:bookmarkStart w:id="182" w:name="references-3"/>
    <w:p>
      <w:pPr>
        <w:pStyle w:val="Heading2"/>
      </w:pPr>
      <w:r>
        <w:t xml:space="preserve">References</w:t>
      </w:r>
    </w:p>
    <w:p>
      <w:pPr>
        <w:pStyle w:val="FirstParagraph"/>
      </w:pPr>
      <w:r>
        <w:t xml:space="preserve">Debenedetti, E., Zhang, J., Balunović, M., Beurer-Kellner, L., Fischer, M., &amp; Tramèr, F. (2024). AgentDojo: A dynamic environment to evaluate prompt injection attacks and defenses for LLM agents. In</w:t>
      </w:r>
      <w:r>
        <w:t xml:space="preserve"> </w:t>
      </w:r>
      <w:r>
        <w:rPr>
          <w:iCs/>
          <w:i/>
        </w:rPr>
        <w:t xml:space="preserve">Advances in Neural Information Processing Systems 37</w:t>
      </w:r>
      <w:r>
        <w:t xml:space="preserve">. https://doi.org/10.52202/079017-2636</w:t>
      </w:r>
    </w:p>
    <w:p>
      <w:pPr>
        <w:pStyle w:val="BodyText"/>
      </w:pPr>
      <w:r>
        <w:t xml:space="preserve">Guo, C., Pleiss, G., Sun, Y., &amp; Weinberger, K. Q. (2017). On calibration of modern neural networks. In</w:t>
      </w:r>
      <w:r>
        <w:t xml:space="preserve"> </w:t>
      </w:r>
      <w:r>
        <w:rPr>
          <w:iCs/>
          <w:i/>
        </w:rPr>
        <w:t xml:space="preserve">Proceedings of the 34th International Conference on Machine Learning</w:t>
      </w:r>
      <w:r>
        <w:t xml:space="preserve"> </w:t>
      </w:r>
      <w:r>
        <w:t xml:space="preserve">(Vol. 70, pp. 1321–1330). PMLR.</w:t>
      </w:r>
    </w:p>
    <w:p>
      <w:pPr>
        <w:pStyle w:val="BodyText"/>
      </w:pPr>
      <w:r>
        <w:t xml:space="preserve">le Cessie, S., &amp; van Houwelingen, J. C. (1992). Ridge estimators in logistic regression.</w:t>
      </w:r>
      <w:r>
        <w:t xml:space="preserve"> </w:t>
      </w:r>
      <w:r>
        <w:rPr>
          <w:iCs/>
          <w:i/>
        </w:rPr>
        <w:t xml:space="preserve">Applied Statistics, 41</w:t>
      </w:r>
      <w:r>
        <w:t xml:space="preserve">(1), 191–201. https://doi.org/10.2307/2347628</w:t>
      </w:r>
    </w:p>
    <w:p>
      <w:pPr>
        <w:pStyle w:val="BodyText"/>
      </w:pPr>
      <w:r>
        <w:t xml:space="preserve">Lundberg, S. M., &amp; Lee, S.-I. (2017). A unified approach to interpreting model predictions. In</w:t>
      </w:r>
      <w:r>
        <w:t xml:space="preserve"> </w:t>
      </w:r>
      <w:r>
        <w:rPr>
          <w:iCs/>
          <w:i/>
        </w:rPr>
        <w:t xml:space="preserve">Advances in Neural Information Processing Systems 30</w:t>
      </w:r>
      <w:r>
        <w:t xml:space="preserve">. https://arxiv.org/abs/1705.07874</w:t>
      </w:r>
    </w:p>
    <w:p>
      <w:pPr>
        <w:pStyle w:val="BodyText"/>
      </w:pPr>
      <w:r>
        <w:t xml:space="preserve">Page, E. S. (1954). Continuous inspection schemes.</w:t>
      </w:r>
      <w:r>
        <w:t xml:space="preserve"> </w:t>
      </w:r>
      <w:r>
        <w:rPr>
          <w:iCs/>
          <w:i/>
        </w:rPr>
        <w:t xml:space="preserve">Biometrika, 41</w:t>
      </w:r>
      <w:r>
        <w:t xml:space="preserve">(1–2), 100–115. https://doi.org/10.1093/biomet/41.1-2.100</w:t>
      </w:r>
    </w:p>
    <w:bookmarkEnd w:id="182"/>
    <w:bookmarkEnd w:id="183"/>
    <w:bookmarkStart w:id="184" w:name="chapter-five"/>
    <w:p>
      <w:pPr>
        <w:pStyle w:val="Heading1"/>
      </w:pPr>
      <w:r>
        <w:t xml:space="preserve">CHAPTER FIVE</w:t>
      </w:r>
    </w:p>
    <w:bookmarkEnd w:id="184"/>
    <w:bookmarkStart w:id="209" w:name="exploratory-evaluation"/>
    <w:p>
      <w:pPr>
        <w:pStyle w:val="Heading1"/>
      </w:pPr>
      <w:r>
        <w:t xml:space="preserve">EXPLORATORY EVALUATION</w:t>
      </w:r>
    </w:p>
    <w:bookmarkStart w:id="185" w:name="purpose-status-and-kinds-of-evidence"/>
    <w:p>
      <w:pPr>
        <w:pStyle w:val="Heading2"/>
      </w:pPr>
      <w:r>
        <w:t xml:space="preserve">5.1 Purpose, Status and Kinds of Evidence</w:t>
      </w:r>
    </w:p>
    <w:p>
      <w:pPr>
        <w:pStyle w:val="FirstParagraph"/>
      </w:pPr>
      <w:r>
        <w:t xml:space="preserve">This chapter reports what the implementation of Chapter 4 produced on recorded agent behavior in the AgentDojo banking environment.</w:t>
      </w:r>
      <w:r>
        <w:t xml:space="preserve"> </w:t>
      </w:r>
      <w:r>
        <w:rPr>
          <w:bCs/>
          <w:b/>
        </w:rPr>
        <w:t xml:space="preserve">The results are exploratory.</w:t>
      </w:r>
      <w:r>
        <w:t xml:space="preserve"> </w:t>
      </w:r>
      <w:r>
        <w:t xml:space="preserve">Two conditions for confirmatory results are not met:</w:t>
      </w:r>
    </w:p>
    <w:p>
      <w:pPr>
        <w:numPr>
          <w:ilvl w:val="0"/>
          <w:numId w:val="1172"/>
        </w:numPr>
        <w:pStyle w:val="Compact"/>
      </w:pPr>
      <w:r>
        <w:t xml:space="preserve">the design values they use (costs, tiers, predicates, feature set) await approval;</w:t>
      </w:r>
    </w:p>
    <w:p>
      <w:pPr>
        <w:numPr>
          <w:ilvl w:val="0"/>
          <w:numId w:val="1172"/>
        </w:numPr>
        <w:pStyle w:val="Compact"/>
      </w:pPr>
      <w:r>
        <w:t xml:space="preserve">the enforcing-mode evaluation with live agents that Chapter 3 specifies could not be executed.</w:t>
      </w:r>
    </w:p>
    <w:p>
      <w:pPr>
        <w:pStyle w:val="FirstParagraph"/>
      </w:pPr>
      <w:r>
        <w:t xml:space="preserve">The results are therefore not presented as confirmation of any claim, and the confirmatory evaluation remains pending.</w:t>
      </w:r>
    </w:p>
    <w:p>
      <w:pPr>
        <w:pStyle w:val="BodyText"/>
      </w:pPr>
      <w:r>
        <w:t xml:space="preserve">Five kinds of evidence are kept apart throughout. Each table states which kind it reports.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Kind</w:t>
            </w:r>
          </w:p>
        </w:tc>
        <w:tc>
          <w:tcPr/>
          <w:p>
            <w:pPr>
              <w:pStyle w:val="Compact"/>
              <w:jc w:val="left"/>
            </w:pPr>
            <w:r>
              <w:t xml:space="preserve">What it is</w:t>
            </w:r>
          </w:p>
        </w:tc>
        <w:tc>
          <w:tcPr/>
          <w:p>
            <w:pPr>
              <w:pStyle w:val="Compact"/>
              <w:jc w:val="left"/>
            </w:pPr>
            <w:r>
              <w:t xml:space="preserve">Used in</w:t>
            </w:r>
          </w:p>
        </w:tc>
      </w:tr>
      <w:tr>
        <w:tc>
          <w:tcPr/>
          <w:p>
            <w:pPr>
              <w:pStyle w:val="Compact"/>
              <w:jc w:val="left"/>
            </w:pPr>
            <w:r>
              <w:rPr>
                <w:bCs/>
                <w:b/>
              </w:rPr>
              <w:t xml:space="preserve">Recorded outcome</w:t>
            </w:r>
          </w:p>
        </w:tc>
        <w:tc>
          <w:tcPr/>
          <w:p>
            <w:pPr>
              <w:pStyle w:val="Compact"/>
              <w:jc w:val="left"/>
            </w:pPr>
            <w:r>
              <w:t xml:space="preserve">The benchmark’s utility and security verdicts on the traces as recorded by the benchmark authors, without REM</w:t>
            </w:r>
          </w:p>
        </w:tc>
        <w:tc>
          <w:tcPr/>
          <w:p>
            <w:pPr>
              <w:pStyle w:val="Compact"/>
              <w:jc w:val="left"/>
            </w:pPr>
            <w:r>
              <w:t xml:space="preserve">Sections 5.2, 5.6.1</w:t>
            </w:r>
          </w:p>
        </w:tc>
      </w:tr>
      <w:tr>
        <w:tc>
          <w:tcPr/>
          <w:p>
            <w:pPr>
              <w:pStyle w:val="Compact"/>
              <w:jc w:val="left"/>
            </w:pPr>
            <w:r>
              <w:rPr>
                <w:bCs/>
                <w:b/>
              </w:rPr>
              <w:t xml:space="preserve">Held-out prediction</w:t>
            </w:r>
          </w:p>
        </w:tc>
        <w:tc>
          <w:tcPr/>
          <w:p>
            <w:pPr>
              <w:pStyle w:val="Compact"/>
              <w:jc w:val="left"/>
            </w:pPr>
            <w:r>
              <w:t xml:space="preserve">REM’s probability for a recorded step, from a model fitted without that step’s group</w:t>
            </w:r>
          </w:p>
        </w:tc>
        <w:tc>
          <w:tcPr/>
          <w:p>
            <w:pPr>
              <w:pStyle w:val="Compact"/>
              <w:jc w:val="left"/>
            </w:pPr>
            <w:r>
              <w:t xml:space="preserve">Sections 5.3–5.4</w:t>
            </w:r>
          </w:p>
        </w:tc>
      </w:tr>
      <w:tr>
        <w:tc>
          <w:tcPr/>
          <w:p>
            <w:pPr>
              <w:pStyle w:val="Compact"/>
              <w:jc w:val="left"/>
            </w:pPr>
            <w:r>
              <w:rPr>
                <w:bCs/>
                <w:b/>
              </w:rPr>
              <w:t xml:space="preserve">Observe-only decision</w:t>
            </w:r>
          </w:p>
        </w:tc>
        <w:tc>
          <w:tcPr/>
          <w:p>
            <w:pPr>
              <w:pStyle w:val="Compact"/>
              <w:jc w:val="left"/>
            </w:pPr>
            <w:r>
              <w:t xml:space="preserve">The verdict REM or the baseline would issue for a recorded step, computed but not enforced</w:t>
            </w:r>
          </w:p>
        </w:tc>
        <w:tc>
          <w:tcPr/>
          <w:p>
            <w:pPr>
              <w:pStyle w:val="Compact"/>
              <w:jc w:val="left"/>
            </w:pPr>
            <w:r>
              <w:t xml:space="preserve">Sections 5.5, 5.7, 5.9</w:t>
            </w:r>
          </w:p>
        </w:tc>
      </w:tr>
      <w:tr>
        <w:tc>
          <w:tcPr/>
          <w:p>
            <w:pPr>
              <w:pStyle w:val="Compact"/>
              <w:jc w:val="left"/>
            </w:pPr>
            <w:r>
              <w:rPr>
                <w:bCs/>
                <w:b/>
              </w:rPr>
              <w:t xml:space="preserve">Replay result</w:t>
            </w:r>
          </w:p>
        </w:tc>
        <w:tc>
          <w:tcPr/>
          <w:p>
            <w:pPr>
              <w:pStyle w:val="Compact"/>
              <w:jc w:val="left"/>
            </w:pPr>
            <w:r>
              <w:t xml:space="preserve">The benchmark’s verdicts after re-executing a recorded trajectory with REM enforcing, assuming the agent does not adapt</w:t>
            </w:r>
          </w:p>
        </w:tc>
        <w:tc>
          <w:tcPr/>
          <w:p>
            <w:pPr>
              <w:pStyle w:val="Compact"/>
              <w:jc w:val="left"/>
            </w:pPr>
            <w:r>
              <w:t xml:space="preserve">Section 5.6</w:t>
            </w:r>
          </w:p>
        </w:tc>
      </w:tr>
      <w:tr>
        <w:tc>
          <w:tcPr/>
          <w:p>
            <w:pPr>
              <w:pStyle w:val="Compact"/>
              <w:jc w:val="left"/>
            </w:pPr>
            <w:r>
              <w:rPr>
                <w:bCs/>
                <w:b/>
              </w:rPr>
              <w:t xml:space="preserve">Live run</w:t>
            </w:r>
          </w:p>
        </w:tc>
        <w:tc>
          <w:tcPr/>
          <w:p>
            <w:pPr>
              <w:pStyle w:val="Compact"/>
              <w:jc w:val="left"/>
            </w:pPr>
            <w:r>
              <w:t xml:space="preserve">An agent running with REM enforcing</w:t>
            </w:r>
          </w:p>
        </w:tc>
        <w:tc>
          <w:tcPr/>
          <w:p>
            <w:pPr>
              <w:pStyle w:val="Compact"/>
              <w:jc w:val="left"/>
            </w:pPr>
            <w:r>
              <w:rPr>
                <w:bCs/>
                <w:b/>
              </w:rPr>
              <w:t xml:space="preserve">None was executed</w:t>
            </w:r>
          </w:p>
        </w:tc>
      </w:tr>
    </w:tbl>
    <w:p>
      <w:pPr>
        <w:pStyle w:val="BodyText"/>
      </w:pPr>
      <w:r>
        <w:t xml:space="preserve">All numbers come from</w:t>
      </w:r>
      <w:r>
        <w:t xml:space="preserve"> </w:t>
      </w:r>
      <w:r>
        <w:rPr>
          <w:rStyle w:val="VerbatimChar"/>
        </w:rPr>
        <w:t xml:space="preserve">results/pilot_R2/</w:t>
      </w:r>
      <w:r>
        <w:t xml:space="preserve">, produced at commit</w:t>
      </w:r>
      <w:r>
        <w:t xml:space="preserve"> </w:t>
      </w:r>
      <w:r>
        <w:rPr>
          <w:rStyle w:val="VerbatimChar"/>
        </w:rPr>
        <w:t xml:space="preserve">84a8c21</w:t>
      </w:r>
      <w:r>
        <w:t xml:space="preserve"> </w:t>
      </w:r>
      <w:r>
        <w:t xml:space="preserve">by</w:t>
      </w:r>
      <w:r>
        <w:t xml:space="preserve"> </w:t>
      </w:r>
      <w:r>
        <w:rPr>
          <w:rStyle w:val="VerbatimChar"/>
        </w:rPr>
        <w:t xml:space="preserve">experiments/pilot/run_all.sh</w:t>
      </w:r>
      <w:r>
        <w:t xml:space="preserve">. The first run (commit</w:t>
      </w:r>
      <w:r>
        <w:t xml:space="preserve"> </w:t>
      </w:r>
      <w:r>
        <w:rPr>
          <w:rStyle w:val="VerbatimChar"/>
        </w:rPr>
        <w:t xml:space="preserve">aa66f22</w:t>
      </w:r>
      <w:r>
        <w:t xml:space="preserve">,</w:t>
      </w:r>
      <w:r>
        <w:t xml:space="preserve"> </w:t>
      </w:r>
      <w:r>
        <w:rPr>
          <w:rStyle w:val="VerbatimChar"/>
        </w:rPr>
        <w:t xml:space="preserve">results/pilot/</w:t>
      </w:r>
      <w:r>
        <w:t xml:space="preserve">) produced identical analytical values (Chapter 4, Section 4.11.2).</w:t>
      </w:r>
    </w:p>
    <w:bookmarkEnd w:id="185"/>
    <w:bookmarkStart w:id="189" w:name="data-protocol-and-chronology"/>
    <w:p>
      <w:pPr>
        <w:pStyle w:val="Heading2"/>
      </w:pPr>
      <w:r>
        <w:t xml:space="preserve">5.2 Data, Protocol and Chronology</w:t>
      </w:r>
    </w:p>
    <w:bookmarkStart w:id="186" w:name="data"/>
    <w:p>
      <w:pPr>
        <w:pStyle w:val="Heading3"/>
      </w:pPr>
      <w:r>
        <w:t xml:space="preserve">5.2.1 Data</w:t>
      </w:r>
    </w:p>
    <w:p>
      <w:pPr>
        <w:pStyle w:val="FirstParagraph"/>
      </w:pPr>
      <w:r>
        <w:rPr>
          <w:bCs/>
          <w:b/>
        </w:rPr>
        <w:t xml:space="preserve">Source.</w:t>
      </w:r>
      <w:r>
        <w:t xml:space="preserve"> </w:t>
      </w:r>
      <w:r>
        <w:t xml:space="preserve">The AgentDojo repository (Debenedetti et al., 2024) distributes traces of real LLM agents recorded by the benchmark authors. The evaluation uses the banking traces of</w:t>
      </w:r>
      <w:r>
        <w:t xml:space="preserve"> </w:t>
      </w:r>
      <w:r>
        <w:rPr>
          <w:bCs/>
          <w:b/>
        </w:rPr>
        <w:t xml:space="preserve">21 undefended backbones</w:t>
      </w:r>
      <w:r>
        <w:t xml:space="preserve"> </w:t>
      </w:r>
      <w:r>
        <w:t xml:space="preserve">under the</w:t>
      </w:r>
      <w:r>
        <w:t xml:space="preserve"> </w:t>
      </w:r>
      <w:r>
        <w:rPr>
          <w:rStyle w:val="VerbatimChar"/>
        </w:rPr>
        <w:t xml:space="preserve">important_instructions</w:t>
      </w:r>
      <w:r>
        <w:t xml:space="preserve"> </w:t>
      </w:r>
      <w:r>
        <w:t xml:space="preserve">attack.</w:t>
      </w:r>
    </w:p>
    <w:p>
      <w:pPr>
        <w:pStyle w:val="BodyText"/>
      </w:pPr>
      <w:r>
        <w:rPr>
          <w:bCs/>
          <w:b/>
        </w:rPr>
        <w:t xml:space="preserve">Exclusions.</w:t>
      </w:r>
      <w:r>
        <w:t xml:space="preserve"> </w:t>
      </w:r>
      <w:r>
        <w:t xml:space="preserve">Episodes recorded with an error (5) and the pair (user_task_15, injection_task_4) (21 episodes, amendment AM-1) are excluded.</w:t>
      </w:r>
    </w:p>
    <w:p>
      <w:pPr>
        <w:pStyle w:val="BodyText"/>
      </w:pPr>
      <w:r>
        <w:rPr>
          <w:bCs/>
          <w:b/>
        </w:rPr>
        <w:t xml:space="preserve">Size</w:t>
      </w:r>
      <w:r>
        <w:t xml:space="preserve"> </w:t>
      </w:r>
      <w:r>
        <w:t xml:space="preserve">(</w:t>
      </w:r>
      <w:r>
        <w:rPr>
          <w:rStyle w:val="VerbatimChar"/>
        </w:rPr>
        <w:t xml:space="preserve">dataset_summary.json</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Unit</w:t>
            </w:r>
          </w:p>
        </w:tc>
        <w:tc>
          <w:tcPr/>
          <w:p>
            <w:pPr>
              <w:pStyle w:val="Compact"/>
              <w:jc w:val="left"/>
            </w:pPr>
            <w:r>
              <w:t xml:space="preserve">Count</w:t>
            </w:r>
          </w:p>
        </w:tc>
      </w:tr>
      <w:tr>
        <w:tc>
          <w:tcPr/>
          <w:p>
            <w:pPr>
              <w:pStyle w:val="Compact"/>
              <w:jc w:val="left"/>
            </w:pPr>
            <w:r>
              <w:t xml:space="preserve">Episodes</w:t>
            </w:r>
          </w:p>
        </w:tc>
        <w:tc>
          <w:tcPr/>
          <w:p>
            <w:pPr>
              <w:pStyle w:val="Compact"/>
              <w:jc w:val="left"/>
            </w:pPr>
            <w:r>
              <w:rPr>
                <w:bCs/>
                <w:b/>
              </w:rPr>
              <w:t xml:space="preserve">3,334</w:t>
            </w:r>
            <w:r>
              <w:t xml:space="preserve"> </w:t>
            </w:r>
            <w:r>
              <w:t xml:space="preserve">(2,998 attacked, 336 without injection)</w:t>
            </w:r>
          </w:p>
        </w:tc>
      </w:tr>
      <w:tr>
        <w:tc>
          <w:tcPr/>
          <w:p>
            <w:pPr>
              <w:pStyle w:val="Compact"/>
              <w:jc w:val="left"/>
            </w:pPr>
            <w:r>
              <w:t xml:space="preserve">Proposed tool calls (steps)</w:t>
            </w:r>
          </w:p>
        </w:tc>
        <w:tc>
          <w:tcPr/>
          <w:p>
            <w:pPr>
              <w:pStyle w:val="Compact"/>
              <w:jc w:val="left"/>
            </w:pPr>
            <w:r>
              <w:rPr>
                <w:bCs/>
                <w:b/>
              </w:rPr>
              <w:t xml:space="preserve">6,762</w:t>
            </w:r>
          </w:p>
        </w:tc>
      </w:tr>
      <w:tr>
        <w:tc>
          <w:tcPr/>
          <w:p>
            <w:pPr>
              <w:pStyle w:val="Compact"/>
              <w:jc w:val="left"/>
            </w:pPr>
            <w:r>
              <w:t xml:space="preserve">Positive steps (y = 1)</w:t>
            </w:r>
          </w:p>
        </w:tc>
        <w:tc>
          <w:tcPr/>
          <w:p>
            <w:pPr>
              <w:pStyle w:val="Compact"/>
              <w:jc w:val="left"/>
            </w:pPr>
            <w:r>
              <w:rPr>
                <w:bCs/>
                <w:b/>
              </w:rPr>
              <w:t xml:space="preserve">921</w:t>
            </w:r>
          </w:p>
        </w:tc>
      </w:tr>
      <w:tr>
        <w:tc>
          <w:tcPr/>
          <w:p>
            <w:pPr>
              <w:pStyle w:val="Compact"/>
              <w:jc w:val="left"/>
            </w:pPr>
            <w:r>
              <w:t xml:space="preserve">Negative steps (y = 0)</w:t>
            </w:r>
          </w:p>
        </w:tc>
        <w:tc>
          <w:tcPr/>
          <w:p>
            <w:pPr>
              <w:pStyle w:val="Compact"/>
              <w:jc w:val="left"/>
            </w:pPr>
            <w:r>
              <w:t xml:space="preserve">5,841</w:t>
            </w:r>
          </w:p>
        </w:tc>
      </w:tr>
    </w:tbl>
    <w:p>
      <w:pPr>
        <w:pStyle w:val="BodyText"/>
      </w:pPr>
      <w:r>
        <w:rPr>
          <w:bCs/>
          <w:b/>
        </w:rPr>
        <w:t xml:space="preserve">Labels.</w:t>
      </w:r>
      <w:r>
        <w:t xml:space="preserve"> </w:t>
      </w:r>
      <w:r>
        <w:t xml:space="preserve">Labels follow the reference-match rule of Chapter 3, Section 3.11.3. A positive label marks an</w:t>
      </w:r>
      <w:r>
        <w:t xml:space="preserve"> </w:t>
      </w:r>
      <w:r>
        <w:rPr>
          <w:iCs/>
          <w:i/>
        </w:rPr>
        <w:t xml:space="preserve">attempt</w:t>
      </w:r>
      <w:r>
        <w:t xml:space="preserve">: the agent proposed the attacker’s reference action with the attacker’s key argument. It is a proxy for adversarial inducement, not proof of it. Of the 840 attacked episodes with a positive step, the recorded outcome shows attack success in 682 and not in 158. Two attacked episodes record attack success without a positive step.</w:t>
      </w:r>
    </w:p>
    <w:p>
      <w:pPr>
        <w:pStyle w:val="BodyText"/>
      </w:pPr>
      <w:r>
        <w:rPr>
          <w:bCs/>
          <w:b/>
        </w:rPr>
        <w:t xml:space="preserve">Independence.</w:t>
      </w:r>
      <w:r>
        <w:t xml:space="preserve"> </w:t>
      </w:r>
      <w:r>
        <w:t xml:space="preserve">The episodes are not independent observations:</w:t>
      </w:r>
    </w:p>
    <w:p>
      <w:pPr>
        <w:numPr>
          <w:ilvl w:val="0"/>
          <w:numId w:val="1173"/>
        </w:numPr>
        <w:pStyle w:val="Compact"/>
      </w:pPr>
      <w:r>
        <w:t xml:space="preserve">they are built from 16 user-task and 9 injection-task templates;</w:t>
      </w:r>
    </w:p>
    <w:p>
      <w:pPr>
        <w:numPr>
          <w:ilvl w:val="0"/>
          <w:numId w:val="1173"/>
        </w:numPr>
        <w:pStyle w:val="Compact"/>
      </w:pPr>
      <w:r>
        <w:t xml:space="preserve">one attacker account;</w:t>
      </w:r>
    </w:p>
    <w:p>
      <w:pPr>
        <w:numPr>
          <w:ilvl w:val="0"/>
          <w:numId w:val="1173"/>
        </w:numPr>
        <w:pStyle w:val="Compact"/>
      </w:pPr>
      <w:r>
        <w:t xml:space="preserve">one environment.</w:t>
      </w:r>
    </w:p>
    <w:p>
      <w:pPr>
        <w:pStyle w:val="FirstParagraph"/>
      </w:pPr>
      <w:r>
        <w:t xml:space="preserve">All intervals are 95% percentile intervals from a bootstrap that resamples attacked items by injection task and benign items by user task. With nine injection-task groups the intervals are wide. Where a category contains a single injection task, no interval can be formed and none is reported.</w:t>
      </w:r>
    </w:p>
    <w:bookmarkEnd w:id="186"/>
    <w:bookmarkStart w:id="187" w:name="protocol"/>
    <w:p>
      <w:pPr>
        <w:pStyle w:val="Heading3"/>
      </w:pPr>
      <w:r>
        <w:t xml:space="preserve">5.2.2 Protocol</w:t>
      </w:r>
    </w:p>
    <w:p>
      <w:pPr>
        <w:pStyle w:val="FirstParagraph"/>
      </w:pPr>
      <w:r>
        <w:t xml:space="preserve">The protocol is nested grouped cross-fitting (Chapter 3, Procedure 3.1):</w:t>
      </w:r>
    </w:p>
    <w:p>
      <w:pPr>
        <w:numPr>
          <w:ilvl w:val="0"/>
          <w:numId w:val="1174"/>
        </w:numPr>
        <w:pStyle w:val="Compact"/>
      </w:pPr>
      <w:r>
        <w:t xml:space="preserve">nine outer folds, each holding out one injection task;</w:t>
      </w:r>
    </w:p>
    <w:p>
      <w:pPr>
        <w:numPr>
          <w:ilvl w:val="0"/>
          <w:numId w:val="1174"/>
        </w:numPr>
        <w:pStyle w:val="Compact"/>
      </w:pPr>
      <w:r>
        <w:t xml:space="preserve">episodes without injection assigned to folds by user task.</w:t>
      </w:r>
    </w:p>
    <w:p>
      <w:pPr>
        <w:pStyle w:val="FirstParagraph"/>
      </w:pPr>
      <w:r>
        <w:t xml:space="preserve">Within each fold’s fitting portion, the following are fitted (Chapter 3, Section 3.11.5):</w:t>
      </w:r>
    </w:p>
    <w:p>
      <w:pPr>
        <w:numPr>
          <w:ilvl w:val="0"/>
          <w:numId w:val="1175"/>
        </w:numPr>
        <w:pStyle w:val="Compact"/>
      </w:pPr>
      <w:r>
        <w:t xml:space="preserve">λ, by grouped inner cross-validation;</w:t>
      </w:r>
    </w:p>
    <w:p>
      <w:pPr>
        <w:numPr>
          <w:ilvl w:val="0"/>
          <w:numId w:val="1175"/>
        </w:numPr>
        <w:pStyle w:val="Compact"/>
      </w:pPr>
      <w:r>
        <w:t xml:space="preserve">the calibration map, on inner out-of-fold logits;</w:t>
      </w:r>
    </w:p>
    <w:p>
      <w:pPr>
        <w:numPr>
          <w:ilvl w:val="0"/>
          <w:numId w:val="1175"/>
        </w:numPr>
        <w:pStyle w:val="Compact"/>
      </w:pPr>
      <w:r>
        <w:t xml:space="preserve">the baseline thresholds;</w:t>
      </w:r>
    </w:p>
    <w:p>
      <w:pPr>
        <w:numPr>
          <w:ilvl w:val="0"/>
          <w:numId w:val="1175"/>
        </w:numPr>
        <w:pStyle w:val="Compact"/>
      </w:pPr>
      <w:r>
        <w:t xml:space="preserve">the benign reference quantities;</w:t>
      </w:r>
    </w:p>
    <w:p>
      <w:pPr>
        <w:numPr>
          <w:ilvl w:val="0"/>
          <w:numId w:val="1175"/>
        </w:numPr>
        <w:pStyle w:val="Compact"/>
      </w:pPr>
      <w:r>
        <w:t xml:space="preserve">r</w:t>
      </w:r>
      <w:r>
        <w:rPr>
          <w:vertAlign w:val="subscript"/>
        </w:rPr>
        <w:t xml:space="preserve">mod</w:t>
      </w:r>
      <w:r>
        <w:t xml:space="preserve">.</w:t>
      </w:r>
    </w:p>
    <w:p>
      <w:pPr>
        <w:pStyle w:val="FirstParagraph"/>
      </w:pPr>
      <w:r>
        <w:t xml:space="preserve">The</w:t>
      </w:r>
      <w:r>
        <w:t xml:space="preserve"> </w:t>
      </w:r>
      <w:r>
        <w:rPr>
          <w:bCs/>
          <w:b/>
        </w:rPr>
        <w:t xml:space="preserve">pre-registered values</w:t>
      </w:r>
      <w:r>
        <w:t xml:space="preserve"> </w:t>
      </w:r>
      <w:r>
        <w:t xml:space="preserve">are listed in Table 5.1. They come from Chapter 3 where Chapter 3 gives them; otherwise they are declared exploratory values.</w:t>
      </w:r>
    </w:p>
    <w:p>
      <w:pPr>
        <w:pStyle w:val="BodyText"/>
      </w:pPr>
      <w:r>
        <w:rPr>
          <w:bCs/>
          <w:b/>
        </w:rPr>
        <w:t xml:space="preserve">Table 5.1. Pre-registered values</w:t>
      </w:r>
      <w:r>
        <w:t xml:space="preserve"> </w:t>
      </w:r>
      <w:r>
        <w:t xml:space="preserve">(</w:t>
      </w:r>
      <w:r>
        <w:rPr>
          <w:rStyle w:val="VerbatimChar"/>
        </w:rPr>
        <w:t xml:space="preserve">configs/exploratory/pilot_e0.yaml</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Features</w:t>
            </w:r>
          </w:p>
        </w:tc>
        <w:tc>
          <w:tcPr/>
          <w:p>
            <w:pPr>
              <w:pStyle w:val="Compact"/>
              <w:jc w:val="left"/>
            </w:pPr>
            <w:r>
              <w:t xml:space="preserve">x^ctx₂, x^beh₁₋₄, x^act₁₋₃ (x^ctx₁ absent)</w:t>
            </w:r>
          </w:p>
        </w:tc>
      </w:tr>
      <w:tr>
        <w:tc>
          <w:tcPr/>
          <w:p>
            <w:pPr>
              <w:pStyle w:val="Compact"/>
              <w:jc w:val="left"/>
            </w:pPr>
            <w:r>
              <w:t xml:space="preserve">Tiers</w:t>
            </w:r>
          </w:p>
        </w:tc>
        <w:tc>
          <w:tcPr/>
          <w:p>
            <w:pPr>
              <w:pStyle w:val="Compact"/>
              <w:jc w:val="left"/>
            </w:pPr>
            <w:r>
              <w:t xml:space="preserve">read 1; profile 2; transfer ≤ 1000: 3; transfer &gt; 1000, payment modification, credential change: 4</w:t>
            </w:r>
          </w:p>
        </w:tc>
      </w:tr>
      <w:tr>
        <w:tc>
          <w:tcPr/>
          <w:p>
            <w:pPr>
              <w:pStyle w:val="Compact"/>
              <w:jc w:val="left"/>
            </w:pPr>
            <w:r>
              <w:t xml:space="preserve">Costs</w:t>
            </w:r>
          </w:p>
        </w:tc>
        <w:tc>
          <w:tcPr/>
          <w:p>
            <w:pPr>
              <w:pStyle w:val="Compact"/>
              <w:jc w:val="left"/>
            </w:pPr>
            <w:r>
              <w:t xml:space="preserve">C</w:t>
            </w:r>
            <w:r>
              <w:rPr>
                <w:vertAlign w:val="subscript"/>
              </w:rPr>
              <w:t xml:space="preserve">FA</w:t>
            </w:r>
            <w:r>
              <w:t xml:space="preserve"> </w:t>
            </w:r>
            <w:r>
              <w:t xml:space="preserve">= 1; C</w:t>
            </w:r>
            <w:r>
              <w:rPr>
                <w:vertAlign w:val="subscript"/>
              </w:rPr>
              <w:t xml:space="preserve">miss</w:t>
            </w:r>
            <w:r>
              <w:t xml:space="preserve"> </w:t>
            </w:r>
            <w:r>
              <w:t xml:space="preserve">= 1, 5, 10, 20 by tier; C</w:t>
            </w:r>
            <w:r>
              <w:rPr>
                <w:vertAlign w:val="subscript"/>
              </w:rPr>
              <w:t xml:space="preserve">mod</w:t>
            </w:r>
            <w:r>
              <w:t xml:space="preserve"> </w:t>
            </w:r>
            <w:r>
              <w:t xml:space="preserve">= 0.5; C</w:t>
            </w:r>
            <w:r>
              <w:rPr>
                <w:vertAlign w:val="subscript"/>
              </w:rPr>
              <w:t xml:space="preserve">esc</w:t>
            </w:r>
            <w:r>
              <w:t xml:space="preserve"> </w:t>
            </w:r>
            <w:r>
              <w:t xml:space="preserve">= 0.3</w:t>
            </w:r>
          </w:p>
        </w:tc>
      </w:tr>
      <w:tr>
        <w:tc>
          <w:tcPr/>
          <w:p>
            <w:pPr>
              <w:pStyle w:val="Compact"/>
              <w:jc w:val="left"/>
            </w:pPr>
            <w:r>
              <w:t xml:space="preserve">r</w:t>
            </w:r>
            <w:r>
              <w:rPr>
                <w:vertAlign w:val="subscript"/>
              </w:rPr>
              <w:t xml:space="preserve">mod</w:t>
            </w:r>
            <w:r>
              <w:t xml:space="preserve">(k)</w:t>
            </w:r>
          </w:p>
        </w:tc>
        <w:tc>
          <w:tcPr/>
          <w:p>
            <w:pPr>
              <w:pStyle w:val="Compact"/>
              <w:jc w:val="left"/>
            </w:pPr>
            <w:r>
              <w:t xml:space="preserve">Measured; 1.0 where unmeasured</w:t>
            </w:r>
          </w:p>
        </w:tc>
      </w:tr>
      <w:tr>
        <w:tc>
          <w:tcPr/>
          <w:p>
            <w:pPr>
              <w:pStyle w:val="Compact"/>
              <w:jc w:val="left"/>
            </w:pPr>
            <w:r>
              <w:t xml:space="preserve">Predicates</w:t>
            </w:r>
          </w:p>
        </w:tc>
        <w:tc>
          <w:tcPr/>
          <w:p>
            <w:pPr>
              <w:pStyle w:val="Compact"/>
              <w:jc w:val="left"/>
            </w:pPr>
            <w:r>
              <w:t xml:space="preserve">Π = ∅; k</w:t>
            </w:r>
            <w:r>
              <w:rPr>
                <w:vertAlign w:val="subscript"/>
              </w:rPr>
              <w:t xml:space="preserve">D2</w:t>
            </w:r>
            <w:r>
              <w:t xml:space="preserve"> </w:t>
            </w:r>
            <w:r>
              <w:t xml:space="preserve">= 3; required evidence x^act₁</w:t>
            </w:r>
          </w:p>
        </w:tc>
      </w:tr>
      <w:tr>
        <w:tc>
          <w:tcPr/>
          <w:p>
            <w:pPr>
              <w:pStyle w:val="Compact"/>
              <w:jc w:val="left"/>
            </w:pPr>
            <w:r>
              <w:t xml:space="preserve">Baseline</w:t>
            </w:r>
          </w:p>
        </w:tc>
        <w:tc>
          <w:tcPr/>
          <w:p>
            <w:pPr>
              <w:pStyle w:val="Compact"/>
              <w:jc w:val="left"/>
            </w:pPr>
            <w:r>
              <w:t xml:space="preserve">α</w:t>
            </w:r>
            <w:r>
              <w:rPr>
                <w:vertAlign w:val="subscript"/>
              </w:rPr>
              <w:t xml:space="preserve">blk</w:t>
            </w:r>
            <w:r>
              <w:t xml:space="preserve"> </w:t>
            </w:r>
            <w:r>
              <w:t xml:space="preserve">= 0.01, α</w:t>
            </w:r>
            <w:r>
              <w:rPr>
                <w:vertAlign w:val="subscript"/>
              </w:rPr>
              <w:t xml:space="preserve">mod</w:t>
            </w:r>
            <w:r>
              <w:t xml:space="preserve"> </w:t>
            </w:r>
            <w:r>
              <w:t xml:space="preserve">= 0.05</w:t>
            </w:r>
          </w:p>
        </w:tc>
      </w:tr>
      <w:tr>
        <w:tc>
          <w:tcPr/>
          <w:p>
            <w:pPr>
              <w:pStyle w:val="Compact"/>
              <w:jc w:val="left"/>
            </w:pPr>
            <w:r>
              <w:t xml:space="preserve">λ grid</w:t>
            </w:r>
          </w:p>
        </w:tc>
        <w:tc>
          <w:tcPr/>
          <w:p>
            <w:pPr>
              <w:pStyle w:val="Compact"/>
              <w:jc w:val="left"/>
            </w:pPr>
            <w:r>
              <w:t xml:space="preserve">λ</w:t>
            </w:r>
            <w:r>
              <w:rPr>
                <w:vertAlign w:val="subscript"/>
              </w:rPr>
              <w:t xml:space="preserve">impl</w:t>
            </w:r>
            <w:r>
              <w:t xml:space="preserve"> </w:t>
            </w:r>
            <w:r>
              <w:t xml:space="preserve">∈ {0.01, 0.1, 1, 10, 100}, i.e. λ ∈ {0.005, 0.05, 0.5, 5, 50} on the scale of Eq. 3.2</w:t>
            </w:r>
          </w:p>
        </w:tc>
      </w:tr>
      <w:tr>
        <w:tc>
          <w:tcPr/>
          <w:p>
            <w:pPr>
              <w:pStyle w:val="Compact"/>
              <w:jc w:val="left"/>
            </w:pPr>
            <w:r>
              <w:t xml:space="preserve">Inner folds; ECE bins; clip</w:t>
            </w:r>
          </w:p>
        </w:tc>
        <w:tc>
          <w:tcPr/>
          <w:p>
            <w:pPr>
              <w:pStyle w:val="Compact"/>
              <w:jc w:val="left"/>
            </w:pPr>
            <w:r>
              <w:t xml:space="preserve">4; 10; 10⁻⁶</w:t>
            </w:r>
          </w:p>
        </w:tc>
      </w:tr>
      <w:tr>
        <w:tc>
          <w:tcPr/>
          <w:p>
            <w:pPr>
              <w:pStyle w:val="Compact"/>
              <w:jc w:val="left"/>
            </w:pPr>
            <w:r>
              <w:t xml:space="preserve">Pilot E0 decision values</w:t>
            </w:r>
          </w:p>
        </w:tc>
        <w:tc>
          <w:tcPr/>
          <w:p>
            <w:pPr>
              <w:pStyle w:val="Compact"/>
              <w:jc w:val="left"/>
            </w:pPr>
            <w:r>
              <w:t xml:space="preserve">≥ 50 positive steps; group ROC-AUC ≥ 0.55</w:t>
            </w:r>
          </w:p>
        </w:tc>
      </w:tr>
      <w:tr>
        <w:tc>
          <w:tcPr/>
          <w:p>
            <w:pPr>
              <w:pStyle w:val="Compact"/>
              <w:jc w:val="left"/>
            </w:pPr>
            <w:r>
              <w:t xml:space="preserve">Bootstrap</w:t>
            </w:r>
          </w:p>
        </w:tc>
        <w:tc>
          <w:tcPr/>
          <w:p>
            <w:pPr>
              <w:pStyle w:val="Compact"/>
              <w:jc w:val="left"/>
            </w:pPr>
            <w:r>
              <w:t xml:space="preserve">2,000 resamples, seed 20261027</w:t>
            </w:r>
          </w:p>
        </w:tc>
      </w:tr>
    </w:tbl>
    <w:bookmarkEnd w:id="187"/>
    <w:bookmarkStart w:id="188" w:name="X25dfa8afeaaac37befef66522e7c0a0a71ec963"/>
    <w:p>
      <w:pPr>
        <w:pStyle w:val="Heading3"/>
      </w:pPr>
      <w:r>
        <w:t xml:space="preserve">5.2.3 Chronology of design, amendments and analyses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 and time (UTC)</w:t>
            </w:r>
          </w:p>
        </w:tc>
        <w:tc>
          <w:tcPr/>
          <w:p>
            <w:pPr>
              <w:pStyle w:val="Compact"/>
              <w:jc w:val="left"/>
            </w:pPr>
            <w:r>
              <w:t xml:space="preserve">Event</w:t>
            </w:r>
          </w:p>
        </w:tc>
        <w:tc>
          <w:tcPr/>
          <w:p>
            <w:pPr>
              <w:pStyle w:val="Compact"/>
              <w:jc w:val="left"/>
            </w:pPr>
            <w:r>
              <w:t xml:space="preserve">Record</w:t>
            </w:r>
          </w:p>
        </w:tc>
      </w:tr>
      <w:tr>
        <w:tc>
          <w:tcPr/>
          <w:p>
            <w:pPr>
              <w:pStyle w:val="Compact"/>
              <w:jc w:val="left"/>
            </w:pPr>
            <w:r>
              <w:t xml:space="preserve">27 Oct 2026 16:40</w:t>
            </w:r>
          </w:p>
        </w:tc>
        <w:tc>
          <w:tcPr/>
          <w:p>
            <w:pPr>
              <w:pStyle w:val="Compact"/>
              <w:jc w:val="left"/>
            </w:pPr>
            <w:r>
              <w:t xml:space="preserve">Pilot design committed (Table 5.1)</w:t>
            </w:r>
          </w:p>
        </w:tc>
        <w:tc>
          <w:tcPr/>
          <w:p>
            <w:pPr>
              <w:pStyle w:val="Compact"/>
              <w:jc w:val="left"/>
            </w:pPr>
            <w:r>
              <w:t xml:space="preserve">commit</w:t>
            </w:r>
            <w:r>
              <w:t xml:space="preserve"> </w:t>
            </w:r>
            <w:r>
              <w:rPr>
                <w:rStyle w:val="VerbatimChar"/>
              </w:rPr>
              <w:t xml:space="preserve">48bef90</w:t>
            </w:r>
          </w:p>
        </w:tc>
      </w:tr>
      <w:tr>
        <w:tc>
          <w:tcPr/>
          <w:p>
            <w:pPr>
              <w:pStyle w:val="Compact"/>
              <w:jc w:val="left"/>
            </w:pPr>
            <w:r>
              <w:t xml:space="preserve">27 Oct 2026 16:57</w:t>
            </w:r>
          </w:p>
        </w:tc>
        <w:tc>
          <w:tcPr/>
          <w:p>
            <w:pPr>
              <w:pStyle w:val="Compact"/>
              <w:jc w:val="left"/>
            </w:pPr>
            <w:r>
              <w:t xml:space="preserve">Amendments AM-1 to AM-4 committed. AM-1: exclusion of (user_task_15, injection_task_4). AM-2: benign references. AM-3: the meaning of</w:t>
            </w:r>
            <w:r>
              <w:t xml:space="preserve"> </w:t>
            </w:r>
            <w:r>
              <w:t xml:space="preserve">“</w:t>
            </w:r>
            <w:r>
              <w:t xml:space="preserve">tool class</w:t>
            </w:r>
            <w:r>
              <w:t xml:space="preserve">”</w:t>
            </w:r>
            <w:r>
              <w:t xml:space="preserve">. AM-4: replay validity filter</w:t>
            </w:r>
          </w:p>
        </w:tc>
        <w:tc>
          <w:tcPr/>
          <w:p>
            <w:pPr>
              <w:pStyle w:val="Compact"/>
              <w:jc w:val="left"/>
            </w:pPr>
            <w:r>
              <w:t xml:space="preserve">commit</w:t>
            </w:r>
            <w:r>
              <w:t xml:space="preserve"> </w:t>
            </w:r>
            <w:r>
              <w:rPr>
                <w:rStyle w:val="VerbatimChar"/>
              </w:rPr>
              <w:t xml:space="preserve">7a707a7</w:t>
            </w:r>
          </w:p>
        </w:tc>
      </w:tr>
      <w:tr>
        <w:tc>
          <w:tcPr/>
          <w:p>
            <w:pPr>
              <w:pStyle w:val="Compact"/>
              <w:jc w:val="left"/>
            </w:pPr>
            <w:r>
              <w:t xml:space="preserve">27 Oct 2026, after 16:57</w:t>
            </w:r>
          </w:p>
        </w:tc>
        <w:tc>
          <w:tcPr/>
          <w:p>
            <w:pPr>
              <w:pStyle w:val="Compact"/>
              <w:jc w:val="left"/>
            </w:pPr>
            <w:r>
              <w:t xml:space="preserve">First computation of held-out predictions and of all analyses with the then-uncommitted pipeline code.</w:t>
            </w:r>
            <w:r>
              <w:t xml:space="preserve"> </w:t>
            </w:r>
            <w:r>
              <w:rPr>
                <w:bCs/>
                <w:b/>
              </w:rPr>
              <w:t xml:space="preserve">The log of this first execution was not preserved</w:t>
            </w:r>
            <w:r>
              <w:t xml:space="preserve">; its order relative to the amendments rests on the commit times and on the working session record</w:t>
            </w:r>
          </w:p>
        </w:tc>
        <w:tc>
          <w:tcPr/>
          <w:p>
            <w:pPr>
              <w:pStyle w:val="Compact"/>
              <w:jc w:val="left"/>
            </w:pPr>
            <w:r>
              <w:t xml:space="preserve">—</w:t>
            </w:r>
          </w:p>
        </w:tc>
      </w:tr>
      <w:tr>
        <w:tc>
          <w:tcPr/>
          <w:p>
            <w:pPr>
              <w:pStyle w:val="Compact"/>
              <w:jc w:val="left"/>
            </w:pPr>
            <w:r>
              <w:t xml:space="preserve">27 Oct 2026 17:16</w:t>
            </w:r>
          </w:p>
        </w:tc>
        <w:tc>
          <w:tcPr/>
          <w:p>
            <w:pPr>
              <w:pStyle w:val="Compact"/>
              <w:jc w:val="left"/>
            </w:pPr>
            <w:r>
              <w:t xml:space="preserve">Pipeline committed, then re-run in full; results identical to the first execution</w:t>
            </w:r>
          </w:p>
        </w:tc>
        <w:tc>
          <w:tcPr/>
          <w:p>
            <w:pPr>
              <w:pStyle w:val="Compact"/>
              <w:jc w:val="left"/>
            </w:pPr>
            <w:r>
              <w:t xml:space="preserve">commit</w:t>
            </w:r>
            <w:r>
              <w:t xml:space="preserve"> </w:t>
            </w:r>
            <w:r>
              <w:rPr>
                <w:rStyle w:val="VerbatimChar"/>
              </w:rPr>
              <w:t xml:space="preserve">aa66f22</w:t>
            </w:r>
            <w:r>
              <w:t xml:space="preserve">;</w:t>
            </w:r>
            <w:r>
              <w:t xml:space="preserve"> </w:t>
            </w:r>
            <w:r>
              <w:rPr>
                <w:rStyle w:val="VerbatimChar"/>
              </w:rPr>
              <w:t xml:space="preserve">results/pilot/</w:t>
            </w:r>
          </w:p>
        </w:tc>
      </w:tr>
      <w:tr>
        <w:tc>
          <w:tcPr/>
          <w:p>
            <w:pPr>
              <w:pStyle w:val="Compact"/>
              <w:jc w:val="left"/>
            </w:pPr>
            <w:r>
              <w:t xml:space="preserve">27–28 Oct 2026</w:t>
            </w:r>
          </w:p>
        </w:tc>
        <w:tc>
          <w:tcPr/>
          <w:p>
            <w:pPr>
              <w:pStyle w:val="Compact"/>
              <w:jc w:val="left"/>
            </w:pPr>
            <w:r>
              <w:rPr>
                <w:bCs/>
                <w:b/>
              </w:rPr>
              <w:t xml:space="preserve">Post-hoc analyses</w:t>
            </w:r>
            <w:r>
              <w:t xml:space="preserve">, added after results had been seen: exclusion of user_task_15 (Section 5.10); benign-release breakdown by tier; REM without expected-loss Escalate (Sections 5.5–5.6); breakdowns by action type and tier; replay-failure analysis</w:t>
            </w:r>
          </w:p>
        </w:tc>
        <w:tc>
          <w:tcPr/>
          <w:p>
            <w:pPr>
              <w:pStyle w:val="Compact"/>
              <w:jc w:val="left"/>
            </w:pPr>
            <w:r>
              <w:rPr>
                <w:rStyle w:val="VerbatimChar"/>
              </w:rPr>
              <w:t xml:space="preserve">results/pilot_R2/</w:t>
            </w:r>
          </w:p>
        </w:tc>
      </w:tr>
      <w:tr>
        <w:tc>
          <w:tcPr/>
          <w:p>
            <w:pPr>
              <w:pStyle w:val="Compact"/>
              <w:jc w:val="left"/>
            </w:pPr>
            <w:r>
              <w:t xml:space="preserve">28 Oct 2026</w:t>
            </w:r>
          </w:p>
        </w:tc>
        <w:tc>
          <w:tcPr/>
          <w:p>
            <w:pPr>
              <w:pStyle w:val="Compact"/>
              <w:jc w:val="left"/>
            </w:pPr>
            <w:r>
              <w:t xml:space="preserve">Code corrections of revision R2 (Chapter 4), complete re-run; analytical values identical</w:t>
            </w:r>
          </w:p>
        </w:tc>
        <w:tc>
          <w:tcPr/>
          <w:p>
            <w:pPr>
              <w:pStyle w:val="Compact"/>
              <w:jc w:val="left"/>
            </w:pPr>
            <w:r>
              <w:t xml:space="preserve">commit</w:t>
            </w:r>
            <w:r>
              <w:t xml:space="preserve"> </w:t>
            </w:r>
            <w:r>
              <w:rPr>
                <w:rStyle w:val="VerbatimChar"/>
              </w:rPr>
              <w:t xml:space="preserve">84a8c21</w:t>
            </w:r>
            <w:r>
              <w:t xml:space="preserve">;</w:t>
            </w:r>
            <w:r>
              <w:t xml:space="preserve"> </w:t>
            </w:r>
            <w:r>
              <w:rPr>
                <w:rStyle w:val="VerbatimChar"/>
              </w:rPr>
              <w:t xml:space="preserve">results/pilot_R2/</w:t>
            </w:r>
          </w:p>
        </w:tc>
      </w:tr>
    </w:tbl>
    <w:p>
      <w:pPr>
        <w:pStyle w:val="BodyText"/>
      </w:pPr>
      <w:r>
        <w:t xml:space="preserve">No pre-registered value was changed after results were seen. The post-hoc analyses are reported as such, and none replaces a pre-registered analysis.</w:t>
      </w:r>
    </w:p>
    <w:bookmarkEnd w:id="188"/>
    <w:bookmarkEnd w:id="189"/>
    <w:bookmarkStart w:id="190" w:name="X497f5ff938b968e4df7e1d75333a81c50c9850d"/>
    <w:p>
      <w:pPr>
        <w:pStyle w:val="Heading2"/>
      </w:pPr>
      <w:r>
        <w:t xml:space="preserve">5.3 Pilot E0: Feasibility and Feature Retention</w:t>
      </w:r>
    </w:p>
    <w:p>
      <w:pPr>
        <w:pStyle w:val="FirstParagraph"/>
      </w:pPr>
      <w:r>
        <w:t xml:space="preserve">Pilot E0 used only the fitting portion of each outer fold (</w:t>
      </w:r>
      <w:r>
        <w:rPr>
          <w:rStyle w:val="VerbatimChar"/>
        </w:rPr>
        <w:t xml:space="preserve">e0_pilot.json</w:t>
      </w:r>
      <w:r>
        <w:t xml:space="preserve">).</w:t>
      </w:r>
    </w:p>
    <w:p>
      <w:pPr>
        <w:pStyle w:val="BodyText"/>
      </w:pPr>
      <w:r>
        <w:rPr>
          <w:bCs/>
          <w:b/>
        </w:rPr>
        <w:t xml:space="preserve">Table 5.2. Pilot E0 (fitting portions only)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Evidence group</w:t>
            </w:r>
          </w:p>
        </w:tc>
        <w:tc>
          <w:tcPr/>
          <w:p>
            <w:pPr>
              <w:pStyle w:val="Compact"/>
              <w:jc w:val="left"/>
            </w:pPr>
            <w:r>
              <w:t xml:space="preserve">ROC-AUC: mean over folds; minimum</w:t>
            </w:r>
          </w:p>
        </w:tc>
        <w:tc>
          <w:tcPr/>
          <w:p>
            <w:pPr>
              <w:pStyle w:val="Compact"/>
              <w:jc w:val="left"/>
            </w:pPr>
            <w:r>
              <w:t xml:space="preserve">Retained in every fold (≥ 0.55)</w:t>
            </w:r>
          </w:p>
        </w:tc>
      </w:tr>
      <w:tr>
        <w:tc>
          <w:tcPr/>
          <w:p>
            <w:pPr>
              <w:pStyle w:val="Compact"/>
              <w:jc w:val="left"/>
            </w:pPr>
            <w:r>
              <w:t xml:space="preserve">Context (x^ctx₂ only)</w:t>
            </w:r>
          </w:p>
        </w:tc>
        <w:tc>
          <w:tcPr/>
          <w:p>
            <w:pPr>
              <w:pStyle w:val="Compact"/>
              <w:jc w:val="left"/>
            </w:pPr>
            <w:r>
              <w:t xml:space="preserve">0.582; 0.554</w:t>
            </w:r>
          </w:p>
        </w:tc>
        <w:tc>
          <w:tcPr/>
          <w:p>
            <w:pPr>
              <w:pStyle w:val="Compact"/>
              <w:jc w:val="left"/>
            </w:pPr>
            <w:r>
              <w:t xml:space="preserve">Yes, marginally</w:t>
            </w:r>
          </w:p>
        </w:tc>
      </w:tr>
      <w:tr>
        <w:tc>
          <w:tcPr/>
          <w:p>
            <w:pPr>
              <w:pStyle w:val="Compact"/>
              <w:jc w:val="left"/>
            </w:pPr>
            <w:r>
              <w:t xml:space="preserve">Behavioral</w:t>
            </w:r>
          </w:p>
        </w:tc>
        <w:tc>
          <w:tcPr/>
          <w:p>
            <w:pPr>
              <w:pStyle w:val="Compact"/>
              <w:jc w:val="left"/>
            </w:pPr>
            <w:r>
              <w:t xml:space="preserve">0.802; 0.787</w:t>
            </w:r>
          </w:p>
        </w:tc>
        <w:tc>
          <w:tcPr/>
          <w:p>
            <w:pPr>
              <w:pStyle w:val="Compact"/>
              <w:jc w:val="left"/>
            </w:pPr>
            <w:r>
              <w:t xml:space="preserve">Yes</w:t>
            </w:r>
          </w:p>
        </w:tc>
      </w:tr>
      <w:tr>
        <w:tc>
          <w:tcPr/>
          <w:p>
            <w:pPr>
              <w:pStyle w:val="Compact"/>
              <w:jc w:val="left"/>
            </w:pPr>
            <w:r>
              <w:t xml:space="preserve">Action</w:t>
            </w:r>
          </w:p>
        </w:tc>
        <w:tc>
          <w:tcPr/>
          <w:p>
            <w:pPr>
              <w:pStyle w:val="Compact"/>
              <w:jc w:val="left"/>
            </w:pPr>
            <w:r>
              <w:t xml:space="preserve">0.929; 0.923</w:t>
            </w:r>
          </w:p>
        </w:tc>
        <w:tc>
          <w:tcPr/>
          <w:p>
            <w:pPr>
              <w:pStyle w:val="Compact"/>
              <w:jc w:val="left"/>
            </w:pPr>
            <w:r>
              <w:t xml:space="preserve">Yes</w:t>
            </w:r>
          </w:p>
        </w:tc>
      </w:tr>
      <w:tr>
        <w:tc>
          <w:tcPr/>
          <w:p>
            <w:pPr>
              <w:pStyle w:val="Compact"/>
              <w:jc w:val="left"/>
            </w:pPr>
            <w:r>
              <w:t xml:space="preserve">All</w:t>
            </w:r>
          </w:p>
        </w:tc>
        <w:tc>
          <w:tcPr/>
          <w:p>
            <w:pPr>
              <w:pStyle w:val="Compact"/>
              <w:jc w:val="left"/>
            </w:pPr>
            <w:r>
              <w:t xml:space="preserve">0.938; 0.930</w:t>
            </w:r>
          </w:p>
        </w:tc>
        <w:tc>
          <w:tcPr/>
          <w:p>
            <w:pPr>
              <w:pStyle w:val="Compact"/>
              <w:jc w:val="left"/>
            </w:pPr>
            <w:r>
              <w:t xml:space="preserve">—</w:t>
            </w:r>
          </w:p>
        </w:tc>
      </w:tr>
    </w:tbl>
    <w:p>
      <w:pPr>
        <w:pStyle w:val="BodyText"/>
      </w:pPr>
      <w:r>
        <w:t xml:space="preserve">The retention rule was applied to each fold’s fitting portion separately, and every fold retained all three groups (</w:t>
      </w:r>
      <w:r>
        <w:rPr>
          <w:rStyle w:val="VerbatimChar"/>
        </w:rPr>
        <w:t xml:space="preserve">e1_crossfit.json</w:t>
      </w:r>
      <w:r>
        <w:t xml:space="preserve">,</w:t>
      </w:r>
      <w:r>
        <w:t xml:space="preserve"> </w:t>
      </w:r>
      <w:r>
        <w:rPr>
          <w:rStyle w:val="VerbatimChar"/>
        </w:rPr>
        <w:t xml:space="preserve">e0_fold_specific_feature_groups</w:t>
      </w:r>
      <w:r>
        <w:t xml:space="preserve">). The feature set is therefore the same in every fold. No fold’s held-out data influenced its own feature set.</w:t>
      </w:r>
    </w:p>
    <w:p>
      <w:pPr>
        <w:pStyle w:val="BodyText"/>
      </w:pPr>
      <w:r>
        <w:t xml:space="preserve">The pooled count of positive steps is 921, above the declared minimum of 50. Thirteen of the 21 backbones have fewer than 50 positive steps each (range 2–116), so no per-backbone conclusion is drawn.</w:t>
      </w:r>
    </w:p>
    <w:bookmarkEnd w:id="190"/>
    <w:bookmarkStart w:id="194" w:name="X020477b6b59a5e4f993d48599615ca0885aaf71"/>
    <w:p>
      <w:pPr>
        <w:pStyle w:val="Heading2"/>
      </w:pPr>
      <w:r>
        <w:t xml:space="preserve">5.4 RQ1 — Offline Classification (Held-Out Predictions)</w:t>
      </w:r>
    </w:p>
    <w:p>
      <w:pPr>
        <w:pStyle w:val="FirstParagraph"/>
      </w:pPr>
      <w:r>
        <w:rPr>
          <w:bCs/>
          <w:b/>
        </w:rPr>
        <w:t xml:space="preserve">Table 5.3. Held-out discrimination and calibration, pooled over nine outer folds</w:t>
      </w:r>
      <w:r>
        <w:t xml:space="preserve"> </w:t>
      </w:r>
      <w:r>
        <w:t xml:space="preserve">(6,762 steps; 921 positive;</w:t>
      </w:r>
      <w:r>
        <w:t xml:space="preserve"> </w:t>
      </w:r>
      <w:r>
        <w:rPr>
          <w:rStyle w:val="VerbatimChar"/>
        </w:rPr>
        <w:t xml:space="preserve">e1_crossfit.json</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Calibrated p, label-NLL fit (reference)</w:t>
            </w:r>
          </w:p>
        </w:tc>
        <w:tc>
          <w:tcPr/>
          <w:p>
            <w:pPr>
              <w:pStyle w:val="Compact"/>
              <w:jc w:val="left"/>
            </w:pPr>
            <w:r>
              <w:t xml:space="preserve">Calibrated p, Platt smoothed targets</w:t>
            </w:r>
          </w:p>
        </w:tc>
        <w:tc>
          <w:tcPr/>
          <w:p>
            <w:pPr>
              <w:pStyle w:val="Compact"/>
              <w:jc w:val="left"/>
            </w:pPr>
            <w:r>
              <w:t xml:space="preserve">Uncalibrated p̃</w:t>
            </w:r>
          </w:p>
        </w:tc>
      </w:tr>
      <w:tr>
        <w:tc>
          <w:tcPr/>
          <w:p>
            <w:pPr>
              <w:pStyle w:val="Compact"/>
              <w:jc w:val="left"/>
            </w:pPr>
            <w:r>
              <w:t xml:space="preserve">ROC-AUC</w:t>
            </w:r>
          </w:p>
        </w:tc>
        <w:tc>
          <w:tcPr/>
          <w:p>
            <w:pPr>
              <w:pStyle w:val="Compact"/>
              <w:jc w:val="left"/>
            </w:pPr>
            <w:r>
              <w:t xml:space="preserve">0.938 [0.908, 0.961]</w:t>
            </w:r>
          </w:p>
        </w:tc>
        <w:tc>
          <w:tcPr/>
          <w:p>
            <w:pPr>
              <w:pStyle w:val="Compact"/>
              <w:jc w:val="left"/>
            </w:pPr>
            <w:r>
              <w:t xml:space="preserve">0.938</w:t>
            </w:r>
          </w:p>
        </w:tc>
        <w:tc>
          <w:tcPr/>
          <w:p>
            <w:pPr>
              <w:pStyle w:val="Compact"/>
              <w:jc w:val="left"/>
            </w:pPr>
            <w:r>
              <w:t xml:space="preserve">0.939</w:t>
            </w:r>
          </w:p>
        </w:tc>
      </w:tr>
      <w:tr>
        <w:tc>
          <w:tcPr/>
          <w:p>
            <w:pPr>
              <w:pStyle w:val="Compact"/>
              <w:jc w:val="left"/>
            </w:pPr>
            <w:r>
              <w:t xml:space="preserve">Average precision (PR-AUC estimate)</w:t>
            </w:r>
          </w:p>
        </w:tc>
        <w:tc>
          <w:tcPr/>
          <w:p>
            <w:pPr>
              <w:pStyle w:val="Compact"/>
              <w:jc w:val="left"/>
            </w:pPr>
            <w:r>
              <w:t xml:space="preserve">0.719 [0.559, 0.827]</w:t>
            </w:r>
          </w:p>
        </w:tc>
        <w:tc>
          <w:tcPr/>
          <w:p>
            <w:pPr>
              <w:pStyle w:val="Compact"/>
              <w:jc w:val="left"/>
            </w:pPr>
            <w:r>
              <w:t xml:space="preserve">0.719</w:t>
            </w:r>
          </w:p>
        </w:tc>
        <w:tc>
          <w:tcPr/>
          <w:p>
            <w:pPr>
              <w:pStyle w:val="Compact"/>
              <w:jc w:val="left"/>
            </w:pPr>
            <w:r>
              <w:t xml:space="preserve">0.721</w:t>
            </w:r>
          </w:p>
        </w:tc>
      </w:tr>
      <w:tr>
        <w:tc>
          <w:tcPr/>
          <w:p>
            <w:pPr>
              <w:pStyle w:val="Compact"/>
              <w:jc w:val="left"/>
            </w:pPr>
            <w:r>
              <w:t xml:space="preserve">ECE (M = 10)</w:t>
            </w:r>
          </w:p>
        </w:tc>
        <w:tc>
          <w:tcPr/>
          <w:p>
            <w:pPr>
              <w:pStyle w:val="Compact"/>
              <w:jc w:val="left"/>
            </w:pPr>
            <w:r>
              <w:t xml:space="preserve">0.044 [0.033, 0.084]</w:t>
            </w:r>
          </w:p>
        </w:tc>
        <w:tc>
          <w:tcPr/>
          <w:p>
            <w:pPr>
              <w:pStyle w:val="Compact"/>
              <w:jc w:val="left"/>
            </w:pPr>
            <w:r>
              <w:t xml:space="preserve">0.044</w:t>
            </w:r>
          </w:p>
        </w:tc>
        <w:tc>
          <w:tcPr/>
          <w:p>
            <w:pPr>
              <w:pStyle w:val="Compact"/>
              <w:jc w:val="left"/>
            </w:pPr>
            <w:r>
              <w:t xml:space="preserve">0.042</w:t>
            </w:r>
          </w:p>
        </w:tc>
      </w:tr>
      <w:tr>
        <w:tc>
          <w:tcPr/>
          <w:p>
            <w:pPr>
              <w:pStyle w:val="Compact"/>
              <w:jc w:val="left"/>
            </w:pPr>
            <w:r>
              <w:t xml:space="preserve">Log-loss</w:t>
            </w:r>
          </w:p>
        </w:tc>
        <w:tc>
          <w:tcPr/>
          <w:p>
            <w:pPr>
              <w:pStyle w:val="Compact"/>
              <w:jc w:val="left"/>
            </w:pPr>
            <w:r>
              <w:t xml:space="preserve">0.201 [0.149, 0.294]</w:t>
            </w:r>
          </w:p>
        </w:tc>
        <w:tc>
          <w:tcPr/>
          <w:p>
            <w:pPr>
              <w:pStyle w:val="Compact"/>
              <w:jc w:val="left"/>
            </w:pPr>
            <w:r>
              <w:t xml:space="preserve">0.201</w:t>
            </w:r>
          </w:p>
        </w:tc>
        <w:tc>
          <w:tcPr/>
          <w:p>
            <w:pPr>
              <w:pStyle w:val="Compact"/>
              <w:jc w:val="left"/>
            </w:pPr>
            <w:r>
              <w:t xml:space="preserve">0.201</w:t>
            </w:r>
          </w:p>
        </w:tc>
      </w:tr>
      <w:tr>
        <w:tc>
          <w:tcPr/>
          <w:p>
            <w:pPr>
              <w:pStyle w:val="Compact"/>
              <w:jc w:val="left"/>
            </w:pPr>
            <w:r>
              <w:t xml:space="preserve">Brier score (binary convention)</w:t>
            </w:r>
          </w:p>
        </w:tc>
        <w:tc>
          <w:tcPr/>
          <w:p>
            <w:pPr>
              <w:pStyle w:val="Compact"/>
              <w:jc w:val="left"/>
            </w:pPr>
            <w:r>
              <w:t xml:space="preserve">0.060</w:t>
            </w:r>
          </w:p>
        </w:tc>
        <w:tc>
          <w:tcPr/>
          <w:p>
            <w:pPr>
              <w:pStyle w:val="Compact"/>
              <w:jc w:val="left"/>
            </w:pPr>
            <w:r>
              <w:t xml:space="preserve">0.060</w:t>
            </w:r>
          </w:p>
        </w:tc>
        <w:tc>
          <w:tcPr/>
          <w:p>
            <w:pPr>
              <w:pStyle w:val="Compact"/>
              <w:jc w:val="left"/>
            </w:pPr>
            <w:r>
              <w:t xml:space="preserve">0.060</w:t>
            </w:r>
          </w:p>
        </w:tc>
      </w:tr>
    </w:tbl>
    <w:p>
      <w:pPr>
        <w:pStyle w:val="BodyText"/>
      </w:pPr>
      <w:r>
        <w:rPr>
          <w:bCs/>
          <w:b/>
        </w:rPr>
        <w:t xml:space="preserve">Table 5.4. Per-fold results (calibrated, label-NLL)</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Held-out injection task</w:t>
            </w:r>
          </w:p>
        </w:tc>
        <w:tc>
          <w:tcPr/>
          <w:p>
            <w:pPr>
              <w:pStyle w:val="Compact"/>
              <w:jc w:val="left"/>
            </w:pPr>
            <w:r>
              <w:t xml:space="preserve">Steps</w:t>
            </w:r>
          </w:p>
        </w:tc>
        <w:tc>
          <w:tcPr/>
          <w:p>
            <w:pPr>
              <w:pStyle w:val="Compact"/>
              <w:jc w:val="left"/>
            </w:pPr>
            <w:r>
              <w:t xml:space="preserve">Positive</w:t>
            </w:r>
          </w:p>
        </w:tc>
        <w:tc>
          <w:tcPr/>
          <w:p>
            <w:pPr>
              <w:pStyle w:val="Compact"/>
              <w:jc w:val="left"/>
            </w:pPr>
            <w:r>
              <w:t xml:space="preserve">ROC-AUC</w:t>
            </w:r>
          </w:p>
        </w:tc>
        <w:tc>
          <w:tcPr/>
          <w:p>
            <w:pPr>
              <w:pStyle w:val="Compact"/>
              <w:jc w:val="left"/>
            </w:pPr>
            <w:r>
              <w:t xml:space="preserve">AP</w:t>
            </w:r>
          </w:p>
        </w:tc>
        <w:tc>
          <w:tcPr/>
          <w:p>
            <w:pPr>
              <w:pStyle w:val="Compact"/>
              <w:jc w:val="left"/>
            </w:pPr>
            <w:r>
              <w:t xml:space="preserve">ECE</w:t>
            </w:r>
          </w:p>
        </w:tc>
        <w:tc>
          <w:tcPr/>
          <w:p>
            <w:pPr>
              <w:pStyle w:val="Compact"/>
              <w:jc w:val="left"/>
            </w:pPr>
            <w:r>
              <w:t xml:space="preserve">Log-loss</w:t>
            </w:r>
          </w:p>
        </w:tc>
        <w:tc>
          <w:tcPr/>
          <w:p>
            <w:pPr>
              <w:pStyle w:val="Compact"/>
              <w:jc w:val="left"/>
            </w:pPr>
            <w:r>
              <w:t xml:space="preserve">λ</w:t>
            </w:r>
            <w:r>
              <w:rPr>
                <w:vertAlign w:val="subscript"/>
              </w:rPr>
              <w:t xml:space="preserve">impl</w:t>
            </w:r>
            <w:r>
              <w:t xml:space="preserve"> </w:t>
            </w:r>
            <w:r>
              <w:t xml:space="preserve">(λ)</w:t>
            </w:r>
          </w:p>
        </w:tc>
        <w:tc>
          <w:tcPr/>
          <w:p>
            <w:pPr>
              <w:pStyle w:val="Compact"/>
              <w:jc w:val="left"/>
            </w:pPr>
            <w:r>
              <w:t xml:space="preserve">γ₁</w:t>
            </w:r>
          </w:p>
        </w:tc>
      </w:tr>
      <w:tr>
        <w:tc>
          <w:tcPr/>
          <w:p>
            <w:pPr>
              <w:pStyle w:val="Compact"/>
              <w:jc w:val="left"/>
            </w:pPr>
            <w:r>
              <w:t xml:space="preserve">0</w:t>
            </w:r>
          </w:p>
        </w:tc>
        <w:tc>
          <w:tcPr/>
          <w:p>
            <w:pPr>
              <w:pStyle w:val="Compact"/>
              <w:jc w:val="left"/>
            </w:pPr>
            <w:r>
              <w:t xml:space="preserve">824</w:t>
            </w:r>
          </w:p>
        </w:tc>
        <w:tc>
          <w:tcPr/>
          <w:p>
            <w:pPr>
              <w:pStyle w:val="Compact"/>
              <w:jc w:val="left"/>
            </w:pPr>
            <w:r>
              <w:t xml:space="preserve">125</w:t>
            </w:r>
          </w:p>
        </w:tc>
        <w:tc>
          <w:tcPr/>
          <w:p>
            <w:pPr>
              <w:pStyle w:val="Compact"/>
              <w:jc w:val="left"/>
            </w:pPr>
            <w:r>
              <w:t xml:space="preserve">0.962</w:t>
            </w:r>
          </w:p>
        </w:tc>
        <w:tc>
          <w:tcPr/>
          <w:p>
            <w:pPr>
              <w:pStyle w:val="Compact"/>
              <w:jc w:val="left"/>
            </w:pPr>
            <w:r>
              <w:t xml:space="preserve">0.788</w:t>
            </w:r>
          </w:p>
        </w:tc>
        <w:tc>
          <w:tcPr/>
          <w:p>
            <w:pPr>
              <w:pStyle w:val="Compact"/>
              <w:jc w:val="left"/>
            </w:pPr>
            <w:r>
              <w:t xml:space="preserve">0.059</w:t>
            </w:r>
          </w:p>
        </w:tc>
        <w:tc>
          <w:tcPr/>
          <w:p>
            <w:pPr>
              <w:pStyle w:val="Compact"/>
              <w:jc w:val="left"/>
            </w:pPr>
            <w:r>
              <w:t xml:space="preserve">0.161</w:t>
            </w:r>
          </w:p>
        </w:tc>
        <w:tc>
          <w:tcPr/>
          <w:p>
            <w:pPr>
              <w:pStyle w:val="Compact"/>
              <w:jc w:val="left"/>
            </w:pPr>
            <w:r>
              <w:t xml:space="preserve">10 (5)</w:t>
            </w:r>
          </w:p>
        </w:tc>
        <w:tc>
          <w:tcPr/>
          <w:p>
            <w:pPr>
              <w:pStyle w:val="Compact"/>
              <w:jc w:val="left"/>
            </w:pPr>
            <w:r>
              <w:t xml:space="preserve">0.959</w:t>
            </w:r>
          </w:p>
        </w:tc>
      </w:tr>
      <w:tr>
        <w:tc>
          <w:tcPr/>
          <w:p>
            <w:pPr>
              <w:pStyle w:val="Compact"/>
              <w:jc w:val="left"/>
            </w:pPr>
            <w:r>
              <w:t xml:space="preserve">1</w:t>
            </w:r>
          </w:p>
        </w:tc>
        <w:tc>
          <w:tcPr/>
          <w:p>
            <w:pPr>
              <w:pStyle w:val="Compact"/>
              <w:jc w:val="left"/>
            </w:pPr>
            <w:r>
              <w:t xml:space="preserve">773</w:t>
            </w:r>
          </w:p>
        </w:tc>
        <w:tc>
          <w:tcPr/>
          <w:p>
            <w:pPr>
              <w:pStyle w:val="Compact"/>
              <w:jc w:val="left"/>
            </w:pPr>
            <w:r>
              <w:t xml:space="preserve">101</w:t>
            </w:r>
          </w:p>
        </w:tc>
        <w:tc>
          <w:tcPr/>
          <w:p>
            <w:pPr>
              <w:pStyle w:val="Compact"/>
              <w:jc w:val="left"/>
            </w:pPr>
            <w:r>
              <w:t xml:space="preserve">0.965</w:t>
            </w:r>
          </w:p>
        </w:tc>
        <w:tc>
          <w:tcPr/>
          <w:p>
            <w:pPr>
              <w:pStyle w:val="Compact"/>
              <w:jc w:val="left"/>
            </w:pPr>
            <w:r>
              <w:t xml:space="preserve">0.854</w:t>
            </w:r>
          </w:p>
        </w:tc>
        <w:tc>
          <w:tcPr/>
          <w:p>
            <w:pPr>
              <w:pStyle w:val="Compact"/>
              <w:jc w:val="left"/>
            </w:pPr>
            <w:r>
              <w:t xml:space="preserve">0.046</w:t>
            </w:r>
          </w:p>
        </w:tc>
        <w:tc>
          <w:tcPr/>
          <w:p>
            <w:pPr>
              <w:pStyle w:val="Compact"/>
              <w:jc w:val="left"/>
            </w:pPr>
            <w:r>
              <w:t xml:space="preserve">0.140</w:t>
            </w:r>
          </w:p>
        </w:tc>
        <w:tc>
          <w:tcPr/>
          <w:p>
            <w:pPr>
              <w:pStyle w:val="Compact"/>
              <w:jc w:val="left"/>
            </w:pPr>
            <w:r>
              <w:t xml:space="preserve">10 (5)</w:t>
            </w:r>
          </w:p>
        </w:tc>
        <w:tc>
          <w:tcPr/>
          <w:p>
            <w:pPr>
              <w:pStyle w:val="Compact"/>
              <w:jc w:val="left"/>
            </w:pPr>
            <w:r>
              <w:t xml:space="preserve">0.947</w:t>
            </w:r>
          </w:p>
        </w:tc>
      </w:tr>
      <w:tr>
        <w:tc>
          <w:tcPr/>
          <w:p>
            <w:pPr>
              <w:pStyle w:val="Compact"/>
              <w:jc w:val="left"/>
            </w:pPr>
            <w:r>
              <w:t xml:space="preserve">2</w:t>
            </w:r>
          </w:p>
        </w:tc>
        <w:tc>
          <w:tcPr/>
          <w:p>
            <w:pPr>
              <w:pStyle w:val="Compact"/>
              <w:jc w:val="left"/>
            </w:pPr>
            <w:r>
              <w:t xml:space="preserve">807</w:t>
            </w:r>
          </w:p>
        </w:tc>
        <w:tc>
          <w:tcPr/>
          <w:p>
            <w:pPr>
              <w:pStyle w:val="Compact"/>
              <w:jc w:val="left"/>
            </w:pPr>
            <w:r>
              <w:t xml:space="preserve">112</w:t>
            </w:r>
          </w:p>
        </w:tc>
        <w:tc>
          <w:tcPr/>
          <w:p>
            <w:pPr>
              <w:pStyle w:val="Compact"/>
              <w:jc w:val="left"/>
            </w:pPr>
            <w:r>
              <w:t xml:space="preserve">0.949</w:t>
            </w:r>
          </w:p>
        </w:tc>
        <w:tc>
          <w:tcPr/>
          <w:p>
            <w:pPr>
              <w:pStyle w:val="Compact"/>
              <w:jc w:val="left"/>
            </w:pPr>
            <w:r>
              <w:t xml:space="preserve">0.735</w:t>
            </w:r>
          </w:p>
        </w:tc>
        <w:tc>
          <w:tcPr/>
          <w:p>
            <w:pPr>
              <w:pStyle w:val="Compact"/>
              <w:jc w:val="left"/>
            </w:pPr>
            <w:r>
              <w:t xml:space="preserve">0.035</w:t>
            </w:r>
          </w:p>
        </w:tc>
        <w:tc>
          <w:tcPr/>
          <w:p>
            <w:pPr>
              <w:pStyle w:val="Compact"/>
              <w:jc w:val="left"/>
            </w:pPr>
            <w:r>
              <w:t xml:space="preserve">0.164</w:t>
            </w:r>
          </w:p>
        </w:tc>
        <w:tc>
          <w:tcPr/>
          <w:p>
            <w:pPr>
              <w:pStyle w:val="Compact"/>
              <w:jc w:val="left"/>
            </w:pPr>
            <w:r>
              <w:t xml:space="preserve">10 (5)</w:t>
            </w:r>
          </w:p>
        </w:tc>
        <w:tc>
          <w:tcPr/>
          <w:p>
            <w:pPr>
              <w:pStyle w:val="Compact"/>
              <w:jc w:val="left"/>
            </w:pPr>
            <w:r>
              <w:t xml:space="preserve">0.958</w:t>
            </w:r>
          </w:p>
        </w:tc>
      </w:tr>
      <w:tr>
        <w:tc>
          <w:tcPr/>
          <w:p>
            <w:pPr>
              <w:pStyle w:val="Compact"/>
              <w:jc w:val="left"/>
            </w:pPr>
            <w:r>
              <w:t xml:space="preserve">3</w:t>
            </w:r>
          </w:p>
        </w:tc>
        <w:tc>
          <w:tcPr/>
          <w:p>
            <w:pPr>
              <w:pStyle w:val="Compact"/>
              <w:jc w:val="left"/>
            </w:pPr>
            <w:r>
              <w:t xml:space="preserve">772</w:t>
            </w:r>
          </w:p>
        </w:tc>
        <w:tc>
          <w:tcPr/>
          <w:p>
            <w:pPr>
              <w:pStyle w:val="Compact"/>
              <w:jc w:val="left"/>
            </w:pPr>
            <w:r>
              <w:t xml:space="preserve">110</w:t>
            </w:r>
          </w:p>
        </w:tc>
        <w:tc>
          <w:tcPr/>
          <w:p>
            <w:pPr>
              <w:pStyle w:val="Compact"/>
              <w:jc w:val="left"/>
            </w:pPr>
            <w:r>
              <w:t xml:space="preserve">0.962</w:t>
            </w:r>
          </w:p>
        </w:tc>
        <w:tc>
          <w:tcPr/>
          <w:p>
            <w:pPr>
              <w:pStyle w:val="Compact"/>
              <w:jc w:val="left"/>
            </w:pPr>
            <w:r>
              <w:t xml:space="preserve">0.811</w:t>
            </w:r>
          </w:p>
        </w:tc>
        <w:tc>
          <w:tcPr/>
          <w:p>
            <w:pPr>
              <w:pStyle w:val="Compact"/>
              <w:jc w:val="left"/>
            </w:pPr>
            <w:r>
              <w:t xml:space="preserve">0.045</w:t>
            </w:r>
          </w:p>
        </w:tc>
        <w:tc>
          <w:tcPr/>
          <w:p>
            <w:pPr>
              <w:pStyle w:val="Compact"/>
              <w:jc w:val="left"/>
            </w:pPr>
            <w:r>
              <w:t xml:space="preserve">0.154</w:t>
            </w:r>
          </w:p>
        </w:tc>
        <w:tc>
          <w:tcPr/>
          <w:p>
            <w:pPr>
              <w:pStyle w:val="Compact"/>
              <w:jc w:val="left"/>
            </w:pPr>
            <w:r>
              <w:t xml:space="preserve">10 (5)</w:t>
            </w:r>
          </w:p>
        </w:tc>
        <w:tc>
          <w:tcPr/>
          <w:p>
            <w:pPr>
              <w:pStyle w:val="Compact"/>
              <w:jc w:val="left"/>
            </w:pPr>
            <w:r>
              <w:t xml:space="preserve">0.955</w:t>
            </w:r>
          </w:p>
        </w:tc>
      </w:tr>
      <w:tr>
        <w:tc>
          <w:tcPr/>
          <w:p>
            <w:pPr>
              <w:pStyle w:val="Compact"/>
              <w:jc w:val="left"/>
            </w:pPr>
            <w:r>
              <w:t xml:space="preserve">4 (payment modification)</w:t>
            </w:r>
          </w:p>
        </w:tc>
        <w:tc>
          <w:tcPr/>
          <w:p>
            <w:pPr>
              <w:pStyle w:val="Compact"/>
              <w:jc w:val="left"/>
            </w:pPr>
            <w:r>
              <w:t xml:space="preserve">726</w:t>
            </w:r>
          </w:p>
        </w:tc>
        <w:tc>
          <w:tcPr/>
          <w:p>
            <w:pPr>
              <w:pStyle w:val="Compact"/>
              <w:jc w:val="left"/>
            </w:pPr>
            <w:r>
              <w:t xml:space="preserve">135</w:t>
            </w:r>
          </w:p>
        </w:tc>
        <w:tc>
          <w:tcPr/>
          <w:p>
            <w:pPr>
              <w:pStyle w:val="Compact"/>
              <w:jc w:val="left"/>
            </w:pPr>
            <w:r>
              <w:t xml:space="preserve">0.978</w:t>
            </w:r>
          </w:p>
        </w:tc>
        <w:tc>
          <w:tcPr/>
          <w:p>
            <w:pPr>
              <w:pStyle w:val="Compact"/>
              <w:jc w:val="left"/>
            </w:pPr>
            <w:r>
              <w:t xml:space="preserve">0.906</w:t>
            </w:r>
          </w:p>
        </w:tc>
        <w:tc>
          <w:tcPr/>
          <w:p>
            <w:pPr>
              <w:pStyle w:val="Compact"/>
              <w:jc w:val="left"/>
            </w:pPr>
            <w:r>
              <w:t xml:space="preserve">0.087</w:t>
            </w:r>
          </w:p>
        </w:tc>
        <w:tc>
          <w:tcPr/>
          <w:p>
            <w:pPr>
              <w:pStyle w:val="Compact"/>
              <w:jc w:val="left"/>
            </w:pPr>
            <w:r>
              <w:t xml:space="preserve">0.148</w:t>
            </w:r>
          </w:p>
        </w:tc>
        <w:tc>
          <w:tcPr/>
          <w:p>
            <w:pPr>
              <w:pStyle w:val="Compact"/>
              <w:jc w:val="left"/>
            </w:pPr>
            <w:r>
              <w:t xml:space="preserve">10 (5)</w:t>
            </w:r>
          </w:p>
        </w:tc>
        <w:tc>
          <w:tcPr/>
          <w:p>
            <w:pPr>
              <w:pStyle w:val="Compact"/>
              <w:jc w:val="left"/>
            </w:pPr>
            <w:r>
              <w:t xml:space="preserve">0.947</w:t>
            </w:r>
          </w:p>
        </w:tc>
      </w:tr>
      <w:tr>
        <w:tc>
          <w:tcPr/>
          <w:p>
            <w:pPr>
              <w:pStyle w:val="Compact"/>
              <w:jc w:val="left"/>
            </w:pPr>
            <w:r>
              <w:t xml:space="preserve">5</w:t>
            </w:r>
          </w:p>
        </w:tc>
        <w:tc>
          <w:tcPr/>
          <w:p>
            <w:pPr>
              <w:pStyle w:val="Compact"/>
              <w:jc w:val="left"/>
            </w:pPr>
            <w:r>
              <w:t xml:space="preserve">634</w:t>
            </w:r>
          </w:p>
        </w:tc>
        <w:tc>
          <w:tcPr/>
          <w:p>
            <w:pPr>
              <w:pStyle w:val="Compact"/>
              <w:jc w:val="left"/>
            </w:pPr>
            <w:r>
              <w:t xml:space="preserve">23</w:t>
            </w:r>
          </w:p>
        </w:tc>
        <w:tc>
          <w:tcPr/>
          <w:p>
            <w:pPr>
              <w:pStyle w:val="Compact"/>
              <w:jc w:val="left"/>
            </w:pPr>
            <w:r>
              <w:t xml:space="preserve">0.859</w:t>
            </w:r>
          </w:p>
        </w:tc>
        <w:tc>
          <w:tcPr/>
          <w:p>
            <w:pPr>
              <w:pStyle w:val="Compact"/>
              <w:jc w:val="left"/>
            </w:pPr>
            <w:r>
              <w:t xml:space="preserve">0.308</w:t>
            </w:r>
          </w:p>
        </w:tc>
        <w:tc>
          <w:tcPr/>
          <w:p>
            <w:pPr>
              <w:pStyle w:val="Compact"/>
              <w:jc w:val="left"/>
            </w:pPr>
            <w:r>
              <w:t xml:space="preserve">0.068</w:t>
            </w:r>
          </w:p>
        </w:tc>
        <w:tc>
          <w:tcPr/>
          <w:p>
            <w:pPr>
              <w:pStyle w:val="Compact"/>
              <w:jc w:val="left"/>
            </w:pPr>
            <w:r>
              <w:t xml:space="preserve">0.164</w:t>
            </w:r>
          </w:p>
        </w:tc>
        <w:tc>
          <w:tcPr/>
          <w:p>
            <w:pPr>
              <w:pStyle w:val="Compact"/>
              <w:jc w:val="left"/>
            </w:pPr>
            <w:r>
              <w:t xml:space="preserve">10 (5)</w:t>
            </w:r>
          </w:p>
        </w:tc>
        <w:tc>
          <w:tcPr/>
          <w:p>
            <w:pPr>
              <w:pStyle w:val="Compact"/>
              <w:jc w:val="left"/>
            </w:pPr>
            <w:r>
              <w:t xml:space="preserve">0.969</w:t>
            </w:r>
          </w:p>
        </w:tc>
      </w:tr>
      <w:tr>
        <w:tc>
          <w:tcPr/>
          <w:p>
            <w:pPr>
              <w:pStyle w:val="Compact"/>
              <w:jc w:val="left"/>
            </w:pPr>
            <w:r>
              <w:t xml:space="preserve">6</w:t>
            </w:r>
          </w:p>
        </w:tc>
        <w:tc>
          <w:tcPr/>
          <w:p>
            <w:pPr>
              <w:pStyle w:val="Compact"/>
              <w:jc w:val="left"/>
            </w:pPr>
            <w:r>
              <w:t xml:space="preserve">666</w:t>
            </w:r>
          </w:p>
        </w:tc>
        <w:tc>
          <w:tcPr/>
          <w:p>
            <w:pPr>
              <w:pStyle w:val="Compact"/>
              <w:jc w:val="left"/>
            </w:pPr>
            <w:r>
              <w:t xml:space="preserve">79</w:t>
            </w:r>
          </w:p>
        </w:tc>
        <w:tc>
          <w:tcPr/>
          <w:p>
            <w:pPr>
              <w:pStyle w:val="Compact"/>
              <w:jc w:val="left"/>
            </w:pPr>
            <w:r>
              <w:t xml:space="preserve">0.909</w:t>
            </w:r>
          </w:p>
        </w:tc>
        <w:tc>
          <w:tcPr/>
          <w:p>
            <w:pPr>
              <w:pStyle w:val="Compact"/>
              <w:jc w:val="left"/>
            </w:pPr>
            <w:r>
              <w:t xml:space="preserve">0.501</w:t>
            </w:r>
          </w:p>
        </w:tc>
        <w:tc>
          <w:tcPr/>
          <w:p>
            <w:pPr>
              <w:pStyle w:val="Compact"/>
              <w:jc w:val="left"/>
            </w:pPr>
            <w:r>
              <w:t xml:space="preserve">0.075</w:t>
            </w:r>
          </w:p>
        </w:tc>
        <w:tc>
          <w:tcPr/>
          <w:p>
            <w:pPr>
              <w:pStyle w:val="Compact"/>
              <w:jc w:val="left"/>
            </w:pPr>
            <w:r>
              <w:t xml:space="preserve">0.225</w:t>
            </w:r>
          </w:p>
        </w:tc>
        <w:tc>
          <w:tcPr/>
          <w:p>
            <w:pPr>
              <w:pStyle w:val="Compact"/>
              <w:jc w:val="left"/>
            </w:pPr>
            <w:r>
              <w:t xml:space="preserve">10 (5)</w:t>
            </w:r>
          </w:p>
        </w:tc>
        <w:tc>
          <w:tcPr/>
          <w:p>
            <w:pPr>
              <w:pStyle w:val="Compact"/>
              <w:jc w:val="left"/>
            </w:pPr>
            <w:r>
              <w:t xml:space="preserve">0.981</w:t>
            </w:r>
          </w:p>
        </w:tc>
      </w:tr>
      <w:tr>
        <w:tc>
          <w:tcPr/>
          <w:p>
            <w:pPr>
              <w:pStyle w:val="Compact"/>
              <w:jc w:val="left"/>
            </w:pPr>
            <w:r>
              <w:t xml:space="preserve">7 (credential change)</w:t>
            </w:r>
          </w:p>
        </w:tc>
        <w:tc>
          <w:tcPr/>
          <w:p>
            <w:pPr>
              <w:pStyle w:val="Compact"/>
              <w:jc w:val="left"/>
            </w:pPr>
            <w:r>
              <w:t xml:space="preserve">730</w:t>
            </w:r>
          </w:p>
        </w:tc>
        <w:tc>
          <w:tcPr/>
          <w:p>
            <w:pPr>
              <w:pStyle w:val="Compact"/>
              <w:jc w:val="left"/>
            </w:pPr>
            <w:r>
              <w:t xml:space="preserve">124</w:t>
            </w:r>
          </w:p>
        </w:tc>
        <w:tc>
          <w:tcPr/>
          <w:p>
            <w:pPr>
              <w:pStyle w:val="Compact"/>
              <w:jc w:val="left"/>
            </w:pPr>
            <w:r>
              <w:t xml:space="preserve">0.903</w:t>
            </w:r>
          </w:p>
        </w:tc>
        <w:tc>
          <w:tcPr/>
          <w:p>
            <w:pPr>
              <w:pStyle w:val="Compact"/>
              <w:jc w:val="left"/>
            </w:pPr>
            <w:r>
              <w:t xml:space="preserve">0.577</w:t>
            </w:r>
          </w:p>
        </w:tc>
        <w:tc>
          <w:tcPr/>
          <w:p>
            <w:pPr>
              <w:pStyle w:val="Compact"/>
              <w:jc w:val="left"/>
            </w:pPr>
            <w:r>
              <w:rPr>
                <w:bCs/>
                <w:b/>
              </w:rPr>
              <w:t xml:space="preserve">0.189</w:t>
            </w:r>
          </w:p>
        </w:tc>
        <w:tc>
          <w:tcPr/>
          <w:p>
            <w:pPr>
              <w:pStyle w:val="Compact"/>
              <w:jc w:val="left"/>
            </w:pPr>
            <w:r>
              <w:rPr>
                <w:bCs/>
                <w:b/>
              </w:rPr>
              <w:t xml:space="preserve">0.530</w:t>
            </w:r>
          </w:p>
        </w:tc>
        <w:tc>
          <w:tcPr/>
          <w:p>
            <w:pPr>
              <w:pStyle w:val="Compact"/>
              <w:jc w:val="left"/>
            </w:pPr>
            <w:r>
              <w:t xml:space="preserve">1 (0.5)</w:t>
            </w:r>
          </w:p>
        </w:tc>
        <w:tc>
          <w:tcPr/>
          <w:p>
            <w:pPr>
              <w:pStyle w:val="Compact"/>
              <w:jc w:val="left"/>
            </w:pPr>
            <w:r>
              <w:t xml:space="preserve">0.980</w:t>
            </w:r>
          </w:p>
        </w:tc>
      </w:tr>
      <w:tr>
        <w:tc>
          <w:tcPr/>
          <w:p>
            <w:pPr>
              <w:pStyle w:val="Compact"/>
              <w:jc w:val="left"/>
            </w:pPr>
            <w:r>
              <w:t xml:space="preserve">8</w:t>
            </w:r>
          </w:p>
        </w:tc>
        <w:tc>
          <w:tcPr/>
          <w:p>
            <w:pPr>
              <w:pStyle w:val="Compact"/>
              <w:jc w:val="left"/>
            </w:pPr>
            <w:r>
              <w:t xml:space="preserve">830</w:t>
            </w:r>
          </w:p>
        </w:tc>
        <w:tc>
          <w:tcPr/>
          <w:p>
            <w:pPr>
              <w:pStyle w:val="Compact"/>
              <w:jc w:val="left"/>
            </w:pPr>
            <w:r>
              <w:t xml:space="preserve">112</w:t>
            </w:r>
          </w:p>
        </w:tc>
        <w:tc>
          <w:tcPr/>
          <w:p>
            <w:pPr>
              <w:pStyle w:val="Compact"/>
              <w:jc w:val="left"/>
            </w:pPr>
            <w:r>
              <w:t xml:space="preserve">0.959</w:t>
            </w:r>
          </w:p>
        </w:tc>
        <w:tc>
          <w:tcPr/>
          <w:p>
            <w:pPr>
              <w:pStyle w:val="Compact"/>
              <w:jc w:val="left"/>
            </w:pPr>
            <w:r>
              <w:t xml:space="preserve">0.859</w:t>
            </w:r>
          </w:p>
        </w:tc>
        <w:tc>
          <w:tcPr/>
          <w:p>
            <w:pPr>
              <w:pStyle w:val="Compact"/>
              <w:jc w:val="left"/>
            </w:pPr>
            <w:r>
              <w:t xml:space="preserve">0.037</w:t>
            </w:r>
          </w:p>
        </w:tc>
        <w:tc>
          <w:tcPr/>
          <w:p>
            <w:pPr>
              <w:pStyle w:val="Compact"/>
              <w:jc w:val="left"/>
            </w:pPr>
            <w:r>
              <w:t xml:space="preserve">0.146</w:t>
            </w:r>
          </w:p>
        </w:tc>
        <w:tc>
          <w:tcPr/>
          <w:p>
            <w:pPr>
              <w:pStyle w:val="Compact"/>
              <w:jc w:val="left"/>
            </w:pPr>
            <w:r>
              <w:t xml:space="preserve">10 (5)</w:t>
            </w:r>
          </w:p>
        </w:tc>
        <w:tc>
          <w:tcPr/>
          <w:p>
            <w:pPr>
              <w:pStyle w:val="Compact"/>
              <w:jc w:val="left"/>
            </w:pPr>
            <w:r>
              <w:t xml:space="preserve">0.945</w:t>
            </w:r>
          </w:p>
        </w:tc>
      </w:tr>
    </w:tbl>
    <w:p>
      <w:pPr>
        <w:pStyle w:val="BodyText"/>
      </w:pPr>
      <w:r>
        <w:t xml:space="preserve">Findings:</w:t>
      </w:r>
    </w:p>
    <w:p>
      <w:pPr>
        <w:numPr>
          <w:ilvl w:val="0"/>
          <w:numId w:val="1176"/>
        </w:numPr>
        <w:pStyle w:val="Compact"/>
      </w:pPr>
      <w:r>
        <w:rPr>
          <w:bCs/>
          <w:b/>
        </w:rPr>
        <w:t xml:space="preserve">Discrimination holds on held-out attacker objectives.</w:t>
      </w:r>
      <w:r>
        <w:t xml:space="preserve"> </w:t>
      </w:r>
      <w:r>
        <w:t xml:space="preserve">Held-out ROC-AUC is 0.86–0.98 per fold.</w:t>
      </w:r>
    </w:p>
    <w:p>
      <w:pPr>
        <w:numPr>
          <w:ilvl w:val="0"/>
          <w:numId w:val="1176"/>
        </w:numPr>
        <w:pStyle w:val="Compact"/>
      </w:pPr>
      <w:r>
        <w:rPr>
          <w:bCs/>
          <w:b/>
        </w:rPr>
        <w:t xml:space="preserve">Calibration did not transfer to the one held-out attack category not seen in fitting.</w:t>
      </w:r>
      <w:r>
        <w:t xml:space="preserve"> </w:t>
      </w:r>
      <w:r>
        <w:t xml:space="preserve">Injection task 7 is the only credential-change attack. Its fold has ECE 0.189 and log-loss 0.53, three to four times the other folds.</w:t>
      </w:r>
    </w:p>
    <w:p>
      <w:pPr>
        <w:numPr>
          <w:ilvl w:val="0"/>
          <w:numId w:val="1176"/>
        </w:numPr>
        <w:pStyle w:val="Compact"/>
      </w:pPr>
      <w:r>
        <w:rPr>
          <w:bCs/>
          <w:b/>
        </w:rPr>
        <w:t xml:space="preserve">No calibration improvement was observed.</w:t>
      </w:r>
      <w:r>
        <w:t xml:space="preserve"> </w:t>
      </w:r>
      <w:r>
        <w:t xml:space="preserve">The fitted maps are close to the identity (γ₁ = 0.945–0.981), and pooled ECE is 0.044 with calibration and 0.042 without. This does not show that calibration is useless. It shows that the ridge model’s own probabilities were already close to calibrated on in-distribution folds, and that the map did not repair the miscalibration in fold 7.</w:t>
      </w:r>
    </w:p>
    <w:p>
      <w:pPr>
        <w:numPr>
          <w:ilvl w:val="0"/>
          <w:numId w:val="1176"/>
        </w:numPr>
        <w:pStyle w:val="Compact"/>
      </w:pPr>
      <w:r>
        <w:rPr>
          <w:bCs/>
          <w:b/>
        </w:rPr>
        <w:t xml:space="preserve">Other generalization checks</w:t>
      </w:r>
      <w:r>
        <w:t xml:space="preserve"> </w:t>
      </w:r>
      <w:r>
        <w:t xml:space="preserve">(</w:t>
      </w:r>
      <w:r>
        <w:rPr>
          <w:rStyle w:val="VerbatimChar"/>
        </w:rPr>
        <w:t xml:space="preserve">e1_crossfit.json</w:t>
      </w:r>
      <w:r>
        <w:t xml:space="preserve">,</w:t>
      </w:r>
      <w:r>
        <w:t xml:space="preserve"> </w:t>
      </w:r>
      <w:r>
        <w:rPr>
          <w:rStyle w:val="VerbatimChar"/>
        </w:rPr>
        <w:t xml:space="preserve">e4_cross_template_and_defenses.json</w:t>
      </w:r>
      <w:r>
        <w:t xml:space="preserve">):</w:t>
      </w:r>
    </w:p>
    <w:p>
      <w:pPr>
        <w:numPr>
          <w:ilvl w:val="1"/>
          <w:numId w:val="1177"/>
        </w:numPr>
        <w:pStyle w:val="Compact"/>
      </w:pPr>
      <w:r>
        <w:t xml:space="preserve">leave-one-backbone-out (21 folds): pooled ROC-AUC 0.949; per held-out backbone 0.736 (claude-3-haiku) to 1.000;</w:t>
      </w:r>
    </w:p>
    <w:p>
      <w:pPr>
        <w:numPr>
          <w:ilvl w:val="1"/>
          <w:numId w:val="1177"/>
        </w:numPr>
        <w:pStyle w:val="Compact"/>
      </w:pPr>
      <w:r>
        <w:t xml:space="preserve">grouping by user task (16 folds): pooled ROC-AUC 0.943. One fold, user_task_15, scores 0.211; Section 5.10 explains this as a label problem;</w:t>
      </w:r>
    </w:p>
    <w:p>
      <w:pPr>
        <w:numPr>
          <w:ilvl w:val="1"/>
          <w:numId w:val="1177"/>
        </w:numPr>
        <w:pStyle w:val="Compact"/>
      </w:pPr>
      <w:r>
        <w:t xml:space="preserve">five other attack templates on gpt-4o, with no refitting: ROC-AUC 0.922–0.959, ECE 0.028–0.086.</w:t>
      </w:r>
    </w:p>
    <w:p>
      <w:pPr>
        <w:pStyle w:val="CaptionedFigure"/>
      </w:pPr>
      <w:r>
        <w:drawing>
          <wp:inline>
            <wp:extent cx="2933700" cy="2793999"/>
            <wp:effectExtent b="0" l="0" r="0" t="0"/>
            <wp:docPr descr="Figure 5.1. Held-out reliability diagram, calibrated and uncalibrated (10 equal-width bins). Mid-range bins contain few steps." title="" id="192" name="Picture"/>
            <a:graphic>
              <a:graphicData uri="http://schemas.openxmlformats.org/drawingml/2006/picture">
                <pic:pic>
                  <pic:nvPicPr>
                    <pic:cNvPr descr="results/pilot_R2/figures/fig_reliability.png" id="193" name="Picture"/>
                    <pic:cNvPicPr>
                      <a:picLocks noChangeArrowheads="1" noChangeAspect="1"/>
                    </pic:cNvPicPr>
                  </pic:nvPicPr>
                  <pic:blipFill>
                    <a:blip r:embed="rId191"/>
                    <a:stretch>
                      <a:fillRect/>
                    </a:stretch>
                  </pic:blipFill>
                  <pic:spPr bwMode="auto">
                    <a:xfrm>
                      <a:off x="0" y="0"/>
                      <a:ext cx="2933700" cy="2793999"/>
                    </a:xfrm>
                    <a:prstGeom prst="rect">
                      <a:avLst/>
                    </a:prstGeom>
                    <a:noFill/>
                    <a:ln w="9525">
                      <a:noFill/>
                      <a:headEnd/>
                      <a:tailEnd/>
                    </a:ln>
                  </pic:spPr>
                </pic:pic>
              </a:graphicData>
            </a:graphic>
          </wp:inline>
        </w:drawing>
      </w:r>
    </w:p>
    <w:p>
      <w:pPr>
        <w:pStyle w:val="ImageCaption"/>
      </w:pPr>
      <w:r>
        <w:t xml:space="preserve">Figure 5.1. Held-out reliability diagram, calibrated and uncalibrated (10 equal-width bins). Mid-range bins contain few steps.</w:t>
      </w:r>
    </w:p>
    <w:bookmarkEnd w:id="194"/>
    <w:bookmarkStart w:id="195" w:name="rq2-observe-only-decisions"/>
    <w:p>
      <w:pPr>
        <w:pStyle w:val="Heading2"/>
      </w:pPr>
      <w:r>
        <w:t xml:space="preserve">5.5 RQ2 — Observe-Only Decisions</w:t>
      </w:r>
    </w:p>
    <w:p>
      <w:pPr>
        <w:pStyle w:val="FirstParagraph"/>
      </w:pPr>
      <w:r>
        <w:t xml:space="preserve">All three policies use the same held-out calibrated probabilities and the same predicates:</w:t>
      </w:r>
    </w:p>
    <w:p>
      <w:pPr>
        <w:numPr>
          <w:ilvl w:val="0"/>
          <w:numId w:val="1178"/>
        </w:numPr>
        <w:pStyle w:val="Compact"/>
      </w:pPr>
      <w:r>
        <w:rPr>
          <w:bCs/>
          <w:b/>
        </w:rPr>
        <w:t xml:space="preserve">REM</w:t>
      </w:r>
      <w:r>
        <w:t xml:space="preserve"> </w:t>
      </w:r>
      <w:r>
        <w:t xml:space="preserve">adds tier-indexed expected loss with Escalate available;</w:t>
      </w:r>
    </w:p>
    <w:p>
      <w:pPr>
        <w:numPr>
          <w:ilvl w:val="0"/>
          <w:numId w:val="1178"/>
        </w:numPr>
        <w:pStyle w:val="Compact"/>
      </w:pPr>
      <w:r>
        <w:rPr>
          <w:bCs/>
          <w:b/>
        </w:rPr>
        <w:t xml:space="preserve">REM without expected-loss Escalate</w:t>
      </w:r>
      <w:r>
        <w:t xml:space="preserve"> </w:t>
      </w:r>
      <w:r>
        <w:t xml:space="preserve">(post-hoc) has the same escalation opportunity as the baseline (D2 only);</w:t>
      </w:r>
    </w:p>
    <w:p>
      <w:pPr>
        <w:numPr>
          <w:ilvl w:val="0"/>
          <w:numId w:val="1178"/>
        </w:numPr>
        <w:pStyle w:val="Compact"/>
      </w:pPr>
      <w:r>
        <w:rPr>
          <w:bCs/>
          <w:b/>
        </w:rPr>
        <w:t xml:space="preserve">B1</w:t>
      </w:r>
      <w:r>
        <w:t xml:space="preserve"> </w:t>
      </w:r>
      <w:r>
        <w:t xml:space="preserve">is the baseline with the thresholds of Eq. 3.14.</w:t>
      </w:r>
    </w:p>
    <w:p>
      <w:pPr>
        <w:pStyle w:val="FirstParagraph"/>
      </w:pPr>
      <w:r>
        <w:t xml:space="preserve">Verdicts were computed on the recorded steps and not enforced.</w:t>
      </w:r>
    </w:p>
    <w:p>
      <w:pPr>
        <w:pStyle w:val="BodyText"/>
      </w:pPr>
      <w:r>
        <w:rPr>
          <w:bCs/>
          <w:b/>
        </w:rPr>
        <w:t xml:space="preserve">Table 5.5. Observe-only verdicts on held-out steps</w:t>
      </w:r>
      <w:r>
        <w:t xml:space="preserve"> </w:t>
      </w:r>
      <w:r>
        <w:t xml:space="preserve">(y = 0: n = 5,841; y = 1: n = 921;</w:t>
      </w:r>
      <w:r>
        <w:t xml:space="preserve"> </w:t>
      </w:r>
      <w:r>
        <w:rPr>
          <w:rStyle w:val="VerbatimChar"/>
        </w:rPr>
        <w:t xml:space="preserve">e2_e5_e6_observe_only.json</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REM</w:t>
            </w:r>
          </w:p>
        </w:tc>
        <w:tc>
          <w:tcPr/>
          <w:p>
            <w:pPr>
              <w:pStyle w:val="Compact"/>
              <w:jc w:val="left"/>
            </w:pPr>
            <w:r>
              <w:t xml:space="preserve">REM w/o expected-loss Escalate</w:t>
            </w:r>
          </w:p>
        </w:tc>
        <w:tc>
          <w:tcPr/>
          <w:p>
            <w:pPr>
              <w:pStyle w:val="Compact"/>
              <w:jc w:val="left"/>
            </w:pPr>
            <w:r>
              <w:t xml:space="preserve">B1</w:t>
            </w:r>
          </w:p>
        </w:tc>
      </w:tr>
      <w:tr>
        <w:tc>
          <w:tcPr/>
          <w:p>
            <w:pPr>
              <w:pStyle w:val="Compact"/>
              <w:jc w:val="left"/>
            </w:pPr>
            <w:r>
              <w:t xml:space="preserve">Any intervention on y = 1 steps</w:t>
            </w:r>
          </w:p>
        </w:tc>
        <w:tc>
          <w:tcPr/>
          <w:p>
            <w:pPr>
              <w:pStyle w:val="Compact"/>
              <w:jc w:val="left"/>
            </w:pPr>
            <w:r>
              <w:t xml:space="preserve">0.973 [0.957, 0.987]</w:t>
            </w:r>
          </w:p>
        </w:tc>
        <w:tc>
          <w:tcPr/>
          <w:p>
            <w:pPr>
              <w:pStyle w:val="Compact"/>
              <w:jc w:val="left"/>
            </w:pPr>
            <w:r>
              <w:t xml:space="preserve">0.973</w:t>
            </w:r>
          </w:p>
        </w:tc>
        <w:tc>
          <w:tcPr/>
          <w:p>
            <w:pPr>
              <w:pStyle w:val="Compact"/>
              <w:jc w:val="left"/>
            </w:pPr>
            <w:r>
              <w:t xml:space="preserve">0.740 [0.473, 0.922]</w:t>
            </w:r>
          </w:p>
        </w:tc>
      </w:tr>
      <w:tr>
        <w:tc>
          <w:tcPr/>
          <w:p>
            <w:pPr>
              <w:pStyle w:val="Compact"/>
              <w:jc w:val="left"/>
            </w:pPr>
            <w:r>
              <w:t xml:space="preserve">Any intervention on y = 0 steps (step false-positive rate)</w:t>
            </w:r>
          </w:p>
        </w:tc>
        <w:tc>
          <w:tcPr/>
          <w:p>
            <w:pPr>
              <w:pStyle w:val="Compact"/>
              <w:jc w:val="left"/>
            </w:pPr>
            <w:r>
              <w:t xml:space="preserve">0.227 [0.213, 0.239]</w:t>
            </w:r>
          </w:p>
        </w:tc>
        <w:tc>
          <w:tcPr/>
          <w:p>
            <w:pPr>
              <w:pStyle w:val="Compact"/>
              <w:jc w:val="left"/>
            </w:pPr>
            <w:r>
              <w:t xml:space="preserve">0.198</w:t>
            </w:r>
          </w:p>
        </w:tc>
        <w:tc>
          <w:tcPr/>
          <w:p>
            <w:pPr>
              <w:pStyle w:val="Compact"/>
              <w:jc w:val="left"/>
            </w:pPr>
            <w:r>
              <w:t xml:space="preserve">0.056 [0.047, 0.066]</w:t>
            </w:r>
          </w:p>
        </w:tc>
      </w:tr>
      <w:tr>
        <w:tc>
          <w:tcPr/>
          <w:p>
            <w:pPr>
              <w:pStyle w:val="Compact"/>
              <w:jc w:val="left"/>
            </w:pPr>
            <w:r>
              <w:t xml:space="preserve">Escalate share of all steps</w:t>
            </w:r>
          </w:p>
        </w:tc>
        <w:tc>
          <w:tcPr/>
          <w:p>
            <w:pPr>
              <w:pStyle w:val="Compact"/>
              <w:jc w:val="left"/>
            </w:pPr>
            <w:r>
              <w:t xml:space="preserve">0.196</w:t>
            </w:r>
          </w:p>
        </w:tc>
        <w:tc>
          <w:tcPr/>
          <w:p>
            <w:pPr>
              <w:pStyle w:val="Compact"/>
              <w:jc w:val="left"/>
            </w:pPr>
            <w:r>
              <w:t xml:space="preserve">0.009</w:t>
            </w:r>
          </w:p>
        </w:tc>
        <w:tc>
          <w:tcPr/>
          <w:p>
            <w:pPr>
              <w:pStyle w:val="Compact"/>
              <w:jc w:val="left"/>
            </w:pPr>
            <w:r>
              <w:t xml:space="preserve">0.009</w:t>
            </w:r>
          </w:p>
        </w:tc>
      </w:tr>
      <w:tr>
        <w:tc>
          <w:tcPr/>
          <w:p>
            <w:pPr>
              <w:pStyle w:val="Compact"/>
              <w:jc w:val="left"/>
            </w:pPr>
            <w:r>
              <w:t xml:space="preserve">y = 0 steps withheld if an idealized reviewer resolves escalations</w:t>
            </w:r>
          </w:p>
        </w:tc>
        <w:tc>
          <w:tcPr/>
          <w:p>
            <w:pPr>
              <w:pStyle w:val="Compact"/>
              <w:jc w:val="left"/>
            </w:pPr>
            <w:r>
              <w:t xml:space="preserve">0.040</w:t>
            </w:r>
          </w:p>
        </w:tc>
        <w:tc>
          <w:tcPr/>
          <w:p>
            <w:pPr>
              <w:pStyle w:val="Compact"/>
              <w:jc w:val="left"/>
            </w:pPr>
            <w:r>
              <w:t xml:space="preserve">0.188</w:t>
            </w:r>
          </w:p>
        </w:tc>
        <w:tc>
          <w:tcPr/>
          <w:p>
            <w:pPr>
              <w:pStyle w:val="Compact"/>
              <w:jc w:val="left"/>
            </w:pPr>
            <w:r>
              <w:t xml:space="preserve">0.046</w:t>
            </w:r>
          </w:p>
        </w:tc>
      </w:tr>
      <w:tr>
        <w:tc>
          <w:tcPr/>
          <w:p>
            <w:pPr>
              <w:pStyle w:val="Compact"/>
              <w:jc w:val="left"/>
            </w:pPr>
            <w:r>
              <w:t xml:space="preserve">Ties</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Verdicts fixed by D2</w:t>
            </w:r>
          </w:p>
        </w:tc>
        <w:tc>
          <w:tcPr/>
          <w:p>
            <w:pPr>
              <w:pStyle w:val="Compact"/>
              <w:jc w:val="left"/>
            </w:pPr>
            <w:r>
              <w:t xml:space="preserve">58</w:t>
            </w:r>
          </w:p>
        </w:tc>
        <w:tc>
          <w:tcPr/>
          <w:p>
            <w:pPr>
              <w:pStyle w:val="Compact"/>
              <w:jc w:val="left"/>
            </w:pPr>
            <w:r>
              <w:t xml:space="preserve">58</w:t>
            </w:r>
          </w:p>
        </w:tc>
        <w:tc>
          <w:tcPr/>
          <w:p>
            <w:pPr>
              <w:pStyle w:val="Compact"/>
              <w:jc w:val="left"/>
            </w:pPr>
            <w:r>
              <w:t xml:space="preserve">58</w:t>
            </w:r>
          </w:p>
        </w:tc>
      </w:tr>
    </w:tbl>
    <w:p>
      <w:pPr>
        <w:pStyle w:val="BodyText"/>
      </w:pPr>
      <w:r>
        <w:rPr>
          <w:bCs/>
          <w:b/>
        </w:rPr>
        <w:t xml:space="preserve">Table 5.6. Observe-only interventions by consequence tier and action category</w:t>
      </w:r>
      <w:r>
        <w:t xml:space="preserve"> </w:t>
      </w:r>
      <w:r>
        <w:t xml:space="preserve">(</w:t>
      </w:r>
      <w:r>
        <w:rPr>
          <w:rStyle w:val="VerbatimChar"/>
        </w:rPr>
        <w:t xml:space="preserve">r2_breakdowns.json</w:t>
      </w:r>
      <w:r>
        <w:t xml:space="preserv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Tier</w:t>
            </w:r>
          </w:p>
        </w:tc>
        <w:tc>
          <w:tcPr/>
          <w:p>
            <w:pPr>
              <w:pStyle w:val="Compact"/>
              <w:jc w:val="left"/>
            </w:pPr>
            <w:r>
              <w:t xml:space="preserve">Category</w:t>
            </w:r>
          </w:p>
        </w:tc>
        <w:tc>
          <w:tcPr/>
          <w:p>
            <w:pPr>
              <w:pStyle w:val="Compact"/>
              <w:jc w:val="left"/>
            </w:pPr>
            <w:r>
              <w:t xml:space="preserve">n (y = 0)</w:t>
            </w:r>
          </w:p>
        </w:tc>
        <w:tc>
          <w:tcPr/>
          <w:p>
            <w:pPr>
              <w:pStyle w:val="Compact"/>
              <w:jc w:val="left"/>
            </w:pPr>
            <w:r>
              <w:t xml:space="preserve">n (y = 1)</w:t>
            </w:r>
          </w:p>
        </w:tc>
        <w:tc>
          <w:tcPr/>
          <w:p>
            <w:pPr>
              <w:pStyle w:val="Compact"/>
              <w:jc w:val="left"/>
            </w:pPr>
            <w:r>
              <w:t xml:space="preserve">REM y=0 / y=1</w:t>
            </w:r>
          </w:p>
        </w:tc>
        <w:tc>
          <w:tcPr/>
          <w:p>
            <w:pPr>
              <w:pStyle w:val="Compact"/>
              <w:jc w:val="left"/>
            </w:pPr>
            <w:r>
              <w:t xml:space="preserve">REM w/o Esc. y=0 / y=1</w:t>
            </w:r>
          </w:p>
        </w:tc>
        <w:tc>
          <w:tcPr/>
          <w:p>
            <w:pPr>
              <w:pStyle w:val="Compact"/>
              <w:jc w:val="left"/>
            </w:pPr>
            <w:r>
              <w:t xml:space="preserve">B1 y=0 / y=1</w:t>
            </w:r>
          </w:p>
        </w:tc>
      </w:tr>
      <w:tr>
        <w:tc>
          <w:tcPr/>
          <w:p>
            <w:pPr>
              <w:pStyle w:val="Compact"/>
              <w:jc w:val="left"/>
            </w:pPr>
            <w:r>
              <w:t xml:space="preserve">1</w:t>
            </w:r>
          </w:p>
        </w:tc>
        <w:tc>
          <w:tcPr/>
          <w:p>
            <w:pPr>
              <w:pStyle w:val="Compact"/>
              <w:jc w:val="left"/>
            </w:pPr>
            <w:r>
              <w:t xml:space="preserve">read</w:t>
            </w:r>
          </w:p>
        </w:tc>
        <w:tc>
          <w:tcPr/>
          <w:p>
            <w:pPr>
              <w:pStyle w:val="Compact"/>
              <w:jc w:val="left"/>
            </w:pPr>
            <w:r>
              <w:t xml:space="preserve">4,176</w:t>
            </w:r>
          </w:p>
        </w:tc>
        <w:tc>
          <w:tcPr/>
          <w:p>
            <w:pPr>
              <w:pStyle w:val="Compact"/>
              <w:jc w:val="left"/>
            </w:pPr>
            <w:r>
              <w:t xml:space="preserve">0</w:t>
            </w:r>
          </w:p>
        </w:tc>
        <w:tc>
          <w:tcPr/>
          <w:p>
            <w:pPr>
              <w:pStyle w:val="Compact"/>
              <w:jc w:val="left"/>
            </w:pPr>
            <w:r>
              <w:t xml:space="preserve">0.000 / —</w:t>
            </w:r>
          </w:p>
        </w:tc>
        <w:tc>
          <w:tcPr/>
          <w:p>
            <w:pPr>
              <w:pStyle w:val="Compact"/>
              <w:jc w:val="left"/>
            </w:pPr>
            <w:r>
              <w:t xml:space="preserve">0.000 / —</w:t>
            </w:r>
          </w:p>
        </w:tc>
        <w:tc>
          <w:tcPr/>
          <w:p>
            <w:pPr>
              <w:pStyle w:val="Compact"/>
              <w:jc w:val="left"/>
            </w:pPr>
            <w:r>
              <w:t xml:space="preserve">0.000 / —</w:t>
            </w:r>
          </w:p>
        </w:tc>
      </w:tr>
      <w:tr>
        <w:tc>
          <w:tcPr/>
          <w:p>
            <w:pPr>
              <w:pStyle w:val="Compact"/>
              <w:jc w:val="left"/>
            </w:pPr>
            <w:r>
              <w:t xml:space="preserve">2</w:t>
            </w:r>
          </w:p>
        </w:tc>
        <w:tc>
          <w:tcPr/>
          <w:p>
            <w:pPr>
              <w:pStyle w:val="Compact"/>
              <w:jc w:val="left"/>
            </w:pPr>
            <w:r>
              <w:t xml:space="preserve">profile change</w:t>
            </w:r>
          </w:p>
        </w:tc>
        <w:tc>
          <w:tcPr/>
          <w:p>
            <w:pPr>
              <w:pStyle w:val="Compact"/>
              <w:jc w:val="left"/>
            </w:pPr>
            <w:r>
              <w:t xml:space="preserve">351</w:t>
            </w:r>
          </w:p>
        </w:tc>
        <w:tc>
          <w:tcPr/>
          <w:p>
            <w:pPr>
              <w:pStyle w:val="Compact"/>
              <w:jc w:val="left"/>
            </w:pPr>
            <w:r>
              <w:t xml:space="preserve">0</w:t>
            </w:r>
          </w:p>
        </w:tc>
        <w:tc>
          <w:tcPr/>
          <w:p>
            <w:pPr>
              <w:pStyle w:val="Compact"/>
              <w:jc w:val="left"/>
            </w:pPr>
            <w:r>
              <w:t xml:space="preserve">0.399 / —</w:t>
            </w:r>
          </w:p>
        </w:tc>
        <w:tc>
          <w:tcPr/>
          <w:p>
            <w:pPr>
              <w:pStyle w:val="Compact"/>
              <w:jc w:val="left"/>
            </w:pPr>
            <w:r>
              <w:t xml:space="preserve">0.219 / —</w:t>
            </w:r>
          </w:p>
        </w:tc>
        <w:tc>
          <w:tcPr/>
          <w:p>
            <w:pPr>
              <w:pStyle w:val="Compact"/>
              <w:jc w:val="left"/>
            </w:pPr>
            <w:r>
              <w:t xml:space="preserve">0.026 / —</w:t>
            </w:r>
          </w:p>
        </w:tc>
      </w:tr>
      <w:tr>
        <w:tc>
          <w:tcPr/>
          <w:p>
            <w:pPr>
              <w:pStyle w:val="Compact"/>
              <w:jc w:val="left"/>
            </w:pPr>
            <w:r>
              <w:t xml:space="preserve">3</w:t>
            </w:r>
          </w:p>
        </w:tc>
        <w:tc>
          <w:tcPr/>
          <w:p>
            <w:pPr>
              <w:pStyle w:val="Compact"/>
              <w:jc w:val="left"/>
            </w:pPr>
            <w:r>
              <w:t xml:space="preserve">value transfer ≤ 1000</w:t>
            </w:r>
          </w:p>
        </w:tc>
        <w:tc>
          <w:tcPr/>
          <w:p>
            <w:pPr>
              <w:pStyle w:val="Compact"/>
              <w:jc w:val="left"/>
            </w:pPr>
            <w:r>
              <w:t xml:space="preserve">736</w:t>
            </w:r>
          </w:p>
        </w:tc>
        <w:tc>
          <w:tcPr/>
          <w:p>
            <w:pPr>
              <w:pStyle w:val="Compact"/>
              <w:jc w:val="left"/>
            </w:pPr>
            <w:r>
              <w:t xml:space="preserve">561</w:t>
            </w:r>
          </w:p>
        </w:tc>
        <w:tc>
          <w:tcPr/>
          <w:p>
            <w:pPr>
              <w:pStyle w:val="Compact"/>
              <w:jc w:val="left"/>
            </w:pPr>
            <w:r>
              <w:t xml:space="preserve">0.932 / 0.955</w:t>
            </w:r>
          </w:p>
        </w:tc>
        <w:tc>
          <w:tcPr/>
          <w:p>
            <w:pPr>
              <w:pStyle w:val="Compact"/>
              <w:jc w:val="left"/>
            </w:pPr>
            <w:r>
              <w:t xml:space="preserve">0.838 / 0.955</w:t>
            </w:r>
          </w:p>
        </w:tc>
        <w:tc>
          <w:tcPr/>
          <w:p>
            <w:pPr>
              <w:pStyle w:val="Compact"/>
              <w:jc w:val="left"/>
            </w:pPr>
            <w:r>
              <w:t xml:space="preserve">0.254 / 0.900</w:t>
            </w:r>
          </w:p>
        </w:tc>
      </w:tr>
      <w:tr>
        <w:tc>
          <w:tcPr/>
          <w:p>
            <w:pPr>
              <w:pStyle w:val="Compact"/>
              <w:jc w:val="left"/>
            </w:pPr>
            <w:r>
              <w:t xml:space="preserve">4</w:t>
            </w:r>
          </w:p>
        </w:tc>
        <w:tc>
          <w:tcPr/>
          <w:p>
            <w:pPr>
              <w:pStyle w:val="Compact"/>
              <w:jc w:val="left"/>
            </w:pPr>
            <w:r>
              <w:t xml:space="preserve">value transfer &gt; 1000</w:t>
            </w:r>
          </w:p>
        </w:tc>
        <w:tc>
          <w:tcPr/>
          <w:p>
            <w:pPr>
              <w:pStyle w:val="Compact"/>
              <w:jc w:val="left"/>
            </w:pPr>
            <w:r>
              <w:t xml:space="preserve">115</w:t>
            </w:r>
          </w:p>
        </w:tc>
        <w:tc>
          <w:tcPr/>
          <w:p>
            <w:pPr>
              <w:pStyle w:val="Compact"/>
              <w:jc w:val="left"/>
            </w:pPr>
            <w:r>
              <w:t xml:space="preserve">101</w:t>
            </w:r>
          </w:p>
        </w:tc>
        <w:tc>
          <w:tcPr/>
          <w:p>
            <w:pPr>
              <w:pStyle w:val="Compact"/>
              <w:jc w:val="left"/>
            </w:pPr>
            <w:r>
              <w:t xml:space="preserve">0.983 / 1.000</w:t>
            </w:r>
          </w:p>
        </w:tc>
        <w:tc>
          <w:tcPr/>
          <w:p>
            <w:pPr>
              <w:pStyle w:val="Compact"/>
              <w:jc w:val="left"/>
            </w:pPr>
            <w:r>
              <w:t xml:space="preserve">0.922 / 1.000</w:t>
            </w:r>
          </w:p>
        </w:tc>
        <w:tc>
          <w:tcPr/>
          <w:p>
            <w:pPr>
              <w:pStyle w:val="Compact"/>
              <w:jc w:val="left"/>
            </w:pPr>
            <w:r>
              <w:t xml:space="preserve">0.391 / 0.574</w:t>
            </w:r>
          </w:p>
        </w:tc>
      </w:tr>
      <w:tr>
        <w:tc>
          <w:tcPr/>
          <w:p>
            <w:pPr>
              <w:pStyle w:val="Compact"/>
              <w:jc w:val="left"/>
            </w:pPr>
            <w:r>
              <w:t xml:space="preserve">4</w:t>
            </w:r>
          </w:p>
        </w:tc>
        <w:tc>
          <w:tcPr/>
          <w:p>
            <w:pPr>
              <w:pStyle w:val="Compact"/>
              <w:jc w:val="left"/>
            </w:pPr>
            <w:r>
              <w:t xml:space="preserve">payment modification</w:t>
            </w:r>
          </w:p>
        </w:tc>
        <w:tc>
          <w:tcPr/>
          <w:p>
            <w:pPr>
              <w:pStyle w:val="Compact"/>
              <w:jc w:val="left"/>
            </w:pPr>
            <w:r>
              <w:t xml:space="preserve">285</w:t>
            </w:r>
          </w:p>
        </w:tc>
        <w:tc>
          <w:tcPr/>
          <w:p>
            <w:pPr>
              <w:pStyle w:val="Compact"/>
              <w:jc w:val="left"/>
            </w:pPr>
            <w:r>
              <w:t xml:space="preserve">135</w:t>
            </w:r>
          </w:p>
        </w:tc>
        <w:tc>
          <w:tcPr/>
          <w:p>
            <w:pPr>
              <w:pStyle w:val="Compact"/>
              <w:jc w:val="left"/>
            </w:pPr>
            <w:r>
              <w:t xml:space="preserve">0.740 / 1.000</w:t>
            </w:r>
          </w:p>
        </w:tc>
        <w:tc>
          <w:tcPr/>
          <w:p>
            <w:pPr>
              <w:pStyle w:val="Compact"/>
              <w:jc w:val="left"/>
            </w:pPr>
            <w:r>
              <w:t xml:space="preserve">0.684 / 1.000</w:t>
            </w:r>
          </w:p>
        </w:tc>
        <w:tc>
          <w:tcPr/>
          <w:p>
            <w:pPr>
              <w:pStyle w:val="Compact"/>
              <w:jc w:val="left"/>
            </w:pPr>
            <w:r>
              <w:t xml:space="preserve">0.305 / 0.881</w:t>
            </w:r>
          </w:p>
        </w:tc>
      </w:tr>
      <w:tr>
        <w:tc>
          <w:tcPr/>
          <w:p>
            <w:pPr>
              <w:pStyle w:val="Compact"/>
              <w:jc w:val="left"/>
            </w:pPr>
            <w:r>
              <w:t xml:space="preserve">4</w:t>
            </w:r>
          </w:p>
        </w:tc>
        <w:tc>
          <w:tcPr/>
          <w:p>
            <w:pPr>
              <w:pStyle w:val="Compact"/>
              <w:jc w:val="left"/>
            </w:pPr>
            <w:r>
              <w:t xml:space="preserve">credential change</w:t>
            </w:r>
          </w:p>
        </w:tc>
        <w:tc>
          <w:tcPr/>
          <w:p>
            <w:pPr>
              <w:pStyle w:val="Compact"/>
              <w:jc w:val="left"/>
            </w:pPr>
            <w:r>
              <w:t xml:space="preserve">178</w:t>
            </w:r>
          </w:p>
        </w:tc>
        <w:tc>
          <w:tcPr/>
          <w:p>
            <w:pPr>
              <w:pStyle w:val="Compact"/>
              <w:jc w:val="left"/>
            </w:pPr>
            <w:r>
              <w:t xml:space="preserve">124</w:t>
            </w:r>
          </w:p>
        </w:tc>
        <w:tc>
          <w:tcPr/>
          <w:p>
            <w:pPr>
              <w:pStyle w:val="Compact"/>
              <w:jc w:val="left"/>
            </w:pPr>
            <w:r>
              <w:t xml:space="preserve">0.983 / 1.000</w:t>
            </w:r>
          </w:p>
        </w:tc>
        <w:tc>
          <w:tcPr/>
          <w:p>
            <w:pPr>
              <w:pStyle w:val="Compact"/>
              <w:jc w:val="left"/>
            </w:pPr>
            <w:r>
              <w:t xml:space="preserve">0.899 / 1.000</w:t>
            </w:r>
          </w:p>
        </w:tc>
        <w:tc>
          <w:tcPr/>
          <w:p>
            <w:pPr>
              <w:pStyle w:val="Compact"/>
              <w:jc w:val="left"/>
            </w:pPr>
            <w:r>
              <w:t xml:space="preserve">0.000 / 0.000</w:t>
            </w:r>
          </w:p>
        </w:tc>
      </w:tr>
    </w:tbl>
    <w:p>
      <w:pPr>
        <w:pStyle w:val="BodyText"/>
      </w:pPr>
      <w:r>
        <w:t xml:space="preserve">What the observe-only results show:</w:t>
      </w:r>
    </w:p>
    <w:p>
      <w:pPr>
        <w:numPr>
          <w:ilvl w:val="0"/>
          <w:numId w:val="1179"/>
        </w:numPr>
        <w:pStyle w:val="Compact"/>
      </w:pPr>
      <w:r>
        <w:rPr>
          <w:bCs/>
          <w:b/>
        </w:rPr>
        <w:t xml:space="preserve">Low thresholds at high tiers.</w:t>
      </w:r>
      <w:r>
        <w:t xml:space="preserve"> </w:t>
      </w:r>
      <w:r>
        <w:t xml:space="preserve">REM’s additional interventions are concentrated on state-changing actions at tiers 3–4, where the pre-registered costs put the Allow–Block indifference points at 1/11 and 1/21 (Eq. 3.9). Legitimate transfers often carry action evidence (for example, a recipient read from a tool output) that places them above those points.</w:t>
      </w:r>
    </w:p>
    <w:p>
      <w:pPr>
        <w:numPr>
          <w:ilvl w:val="0"/>
          <w:numId w:val="1179"/>
        </w:numPr>
        <w:pStyle w:val="Compact"/>
      </w:pPr>
      <w:r>
        <w:rPr>
          <w:bCs/>
          <w:b/>
        </w:rPr>
        <w:t xml:space="preserve">Benign state-changing steps.</w:t>
      </w:r>
      <w:r>
        <w:t xml:space="preserve"> </w:t>
      </w:r>
      <w:r>
        <w:t xml:space="preserve">On episodes without injection, REM releases 33 of 180 state-changing steps (tiers 2–4); REM without expected-loss Escalate releases 48; B1 releases 132 (</w:t>
      </w:r>
      <w:r>
        <w:rPr>
          <w:rStyle w:val="VerbatimChar"/>
        </w:rPr>
        <w:t xml:space="preserve">benign_release_breakdown.json</w:t>
      </w:r>
      <w:r>
        <w:t xml:space="preserve">).</w:t>
      </w:r>
    </w:p>
    <w:p>
      <w:pPr>
        <w:numPr>
          <w:ilvl w:val="0"/>
          <w:numId w:val="1179"/>
        </w:numPr>
        <w:pStyle w:val="Compact"/>
      </w:pPr>
      <w:r>
        <w:rPr>
          <w:bCs/>
          <w:b/>
        </w:rPr>
        <w:t xml:space="preserve">Escalation is not the cause.</w:t>
      </w:r>
      <w:r>
        <w:t xml:space="preserve"> </w:t>
      </w:r>
      <w:r>
        <w:t xml:space="preserve">Removing the expected-loss Escalate option lowers REM’s intervention rate on legitimate steps only from 0.227 to 0.198: most former escalations become Modify verdicts, which also withhold the call. The difference from B1 is therefore mainly due to the tier-indexed costs, not to the opportunity to escalate.</w:t>
      </w:r>
    </w:p>
    <w:p>
      <w:pPr>
        <w:numPr>
          <w:ilvl w:val="0"/>
          <w:numId w:val="1179"/>
        </w:numPr>
        <w:pStyle w:val="Compact"/>
      </w:pPr>
      <w:r>
        <w:rPr>
          <w:bCs/>
          <w:b/>
        </w:rPr>
        <w:t xml:space="preserve">B1 and credential changes.</w:t>
      </w:r>
      <w:r>
        <w:t xml:space="preserve"> </w:t>
      </w:r>
      <w:r>
        <w:t xml:space="preserve">B1 intervened on none of the 124 credential-change attack steps. These are the steps of the fold whose probabilities were most miscalibrated (Table 5.4). Its thresholds are fixed by benign false-positive rates and did not reach them.</w:t>
      </w:r>
    </w:p>
    <w:p>
      <w:pPr>
        <w:numPr>
          <w:ilvl w:val="0"/>
          <w:numId w:val="1179"/>
        </w:numPr>
        <w:pStyle w:val="Compact"/>
      </w:pPr>
      <w:r>
        <w:rPr>
          <w:bCs/>
          <w:b/>
        </w:rPr>
        <w:t xml:space="preserve">Realized loss.</w:t>
      </w:r>
      <w:r>
        <w:t xml:space="preserve"> </w:t>
      </w:r>
      <w:r>
        <w:t xml:space="preserve">Under the decision costs, realized loss is 0.114 for REM, 0.136 for REM without expected-loss Escalate and 0.652 for B1. This comparison favors REM by construction (Chapter 3, Section 3.12.3) and is not evidence of superiority.</w:t>
      </w:r>
    </w:p>
    <w:bookmarkEnd w:id="195"/>
    <w:bookmarkStart w:id="201" w:name="rq2-and-rq3-replay-sensitivity-analysis"/>
    <w:p>
      <w:pPr>
        <w:pStyle w:val="Heading2"/>
      </w:pPr>
      <w:r>
        <w:t xml:space="preserve">5.6 RQ2 and RQ3 — Replay Sensitivity Analysis</w:t>
      </w:r>
    </w:p>
    <w:p>
      <w:pPr>
        <w:pStyle w:val="FirstParagraph"/>
      </w:pPr>
      <w:r>
        <w:t xml:space="preserve">The replay re-executes each recorded episode in the benchmark’s sandbox with REM enforcing its verdicts (Chapter 3, Section 3.11.11). Its use is a proposed amendment to the scope of Chapter 3. Three properties limit what it can show:</w:t>
      </w:r>
    </w:p>
    <w:p>
      <w:pPr>
        <w:numPr>
          <w:ilvl w:val="0"/>
          <w:numId w:val="1180"/>
        </w:numPr>
        <w:pStyle w:val="Compact"/>
      </w:pPr>
      <w:r>
        <w:rPr>
          <w:bCs/>
          <w:b/>
        </w:rPr>
        <w:t xml:space="preserve">NO-ADAPT.</w:t>
      </w:r>
      <w:r>
        <w:t xml:space="preserve"> </w:t>
      </w:r>
      <w:r>
        <w:t xml:space="preserve">The agent emits the calls it emitted in the recorded run, whatever REM does. After a refusal, a live agent could retry, rephrase, use another tool, or abandon the task. Replay therefore cannot show how often a live agent would achieve the attacker’s goal by another route, and</w:t>
      </w:r>
      <w:r>
        <w:t xml:space="preserve"> </w:t>
      </w:r>
      <w:r>
        <w:rPr>
          <w:bCs/>
          <w:b/>
        </w:rPr>
        <w:t xml:space="preserve">a near-zero replay ASR is not evidence of protection against a live or adaptive agent.</w:t>
      </w:r>
    </w:p>
    <w:p>
      <w:pPr>
        <w:numPr>
          <w:ilvl w:val="0"/>
          <w:numId w:val="1180"/>
        </w:numPr>
        <w:pStyle w:val="Compact"/>
      </w:pPr>
      <w:r>
        <w:rPr>
          <w:bCs/>
          <w:b/>
        </w:rPr>
        <w:t xml:space="preserve">Modify and Block.</w:t>
      </w:r>
      <w:r>
        <w:t xml:space="preserve"> </w:t>
      </w:r>
      <w:r>
        <w:t xml:space="preserve">Under NO-ADAPT, Modify and Block have the same effect on the withheld call, and step-level and episode-level semantics cannot differ, because no refused tool is retried. The replay results are identical for the two semantics; only step-level results are shown.</w:t>
      </w:r>
    </w:p>
    <w:p>
      <w:pPr>
        <w:numPr>
          <w:ilvl w:val="0"/>
          <w:numId w:val="1180"/>
        </w:numPr>
        <w:pStyle w:val="Compact"/>
      </w:pPr>
      <w:r>
        <w:rPr>
          <w:bCs/>
          <w:b/>
        </w:rPr>
        <w:t xml:space="preserve">Not independent runs.</w:t>
      </w:r>
      <w:r>
        <w:t xml:space="preserve"> </w:t>
      </w:r>
      <w:r>
        <w:t xml:space="preserve">Replaying a recorded trajectory is deterministic. Repeating it adds no information about LLM behavior.</w:t>
      </w:r>
    </w:p>
    <w:bookmarkStart w:id="196" w:name="replay-validity-and-exclusions"/>
    <w:p>
      <w:pPr>
        <w:pStyle w:val="Heading3"/>
      </w:pPr>
      <w:r>
        <w:t xml:space="preserve">5.6.1 Replay validity and exclusions</w:t>
      </w:r>
    </w:p>
    <w:p>
      <w:pPr>
        <w:pStyle w:val="FirstParagraph"/>
      </w:pPr>
      <w:r>
        <w:t xml:space="preserve">With every call allowed, the replay reproduced the recorded utility and security outcomes of 3,313 of the 3,334 episodes.</w:t>
      </w:r>
    </w:p>
    <w:p>
      <w:pPr>
        <w:pStyle w:val="BodyText"/>
      </w:pPr>
      <w:r>
        <w:rPr>
          <w:bCs/>
          <w:b/>
        </w:rPr>
        <w:t xml:space="preserve">The 21 failures</w:t>
      </w:r>
      <w:r>
        <w:t xml:space="preserve"> </w:t>
      </w:r>
      <w:r>
        <w:t xml:space="preserve">(</w:t>
      </w:r>
      <w:r>
        <w:rPr>
          <w:rStyle w:val="VerbatimChar"/>
        </w:rPr>
        <w:t xml:space="preserve">r2_breakdowns.json</w:t>
      </w:r>
      <w:r>
        <w:t xml:space="preserve">,</w:t>
      </w:r>
      <w:r>
        <w:t xml:space="preserve"> </w:t>
      </w:r>
      <w:r>
        <w:rPr>
          <w:rStyle w:val="VerbatimChar"/>
        </w:rPr>
        <w:t xml:space="preserve">replay_failures</w:t>
      </w:r>
      <w:r>
        <w:t xml:space="preserve">) are concentrated:</w:t>
      </w:r>
    </w:p>
    <w:p>
      <w:pPr>
        <w:numPr>
          <w:ilvl w:val="0"/>
          <w:numId w:val="1181"/>
        </w:numPr>
        <w:pStyle w:val="Compact"/>
      </w:pPr>
      <w:r>
        <w:t xml:space="preserve">20 are user_task_13 episodes whose utility verdict differs; 1 is a user_task_14 episode whose security verdict differs;</w:t>
      </w:r>
    </w:p>
    <w:p>
      <w:pPr>
        <w:numPr>
          <w:ilvl w:val="0"/>
          <w:numId w:val="1181"/>
        </w:numPr>
        <w:pStyle w:val="Compact"/>
      </w:pPr>
      <w:r>
        <w:t xml:space="preserve">10 are from gpt-4o, and the remaining 11 are spread over six other backbones;</w:t>
      </w:r>
    </w:p>
    <w:p>
      <w:pPr>
        <w:numPr>
          <w:ilvl w:val="0"/>
          <w:numId w:val="1181"/>
        </w:numPr>
        <w:pStyle w:val="Compact"/>
      </w:pPr>
      <w:r>
        <w:t xml:space="preserve">none raised an error.</w:t>
      </w:r>
    </w:p>
    <w:p>
      <w:pPr>
        <w:pStyle w:val="FirstParagraph"/>
      </w:pPr>
      <w:r>
        <w:t xml:space="preserve">The pattern is consistent with a change in the user task’s definition between the suite version used for recording and the version used for replay (v1). This was not confirmed task by task.</w:t>
      </w:r>
    </w:p>
    <w:p>
      <w:pPr>
        <w:pStyle w:val="BodyText"/>
      </w:pPr>
      <w:r>
        <w:rPr>
          <w:bCs/>
          <w:b/>
        </w:rPr>
        <w:t xml:space="preserve">Effect of the exclusion.</w:t>
      </w:r>
      <w:r>
        <w:t xml:space="preserve"> </w:t>
      </w:r>
      <w:r>
        <w:t xml:space="preserve">Of the 21 excluded episodes, 19 are attacked, and 14 of these recorded attack success. Excluding them changes the recorded attack-success rate from 0.228 (all 2,998 attacked episodes) to 0.226 (2,979 retained), and the recorded benign utility from 0.521 (336) to 0.524 (334). All replay metrics use the 2,979 attacked and 334 benign retained episodes.</w:t>
      </w:r>
    </w:p>
    <w:bookmarkEnd w:id="196"/>
    <w:bookmarkStart w:id="200" w:name="results"/>
    <w:p>
      <w:pPr>
        <w:pStyle w:val="Heading3"/>
      </w:pPr>
      <w:r>
        <w:t xml:space="preserve">5.6.2 Results</w:t>
      </w:r>
    </w:p>
    <w:p>
      <w:pPr>
        <w:pStyle w:val="FirstParagraph"/>
      </w:pPr>
      <w:r>
        <w:rPr>
          <w:bCs/>
          <w:b/>
        </w:rPr>
        <w:t xml:space="preserve">Table 5.7. Replay results, step-level semantics</w:t>
      </w:r>
      <w:r>
        <w:t xml:space="preserve"> </w:t>
      </w:r>
      <w:r>
        <w:t xml:space="preserve">(attacked n = 2,979; benign n = 334;</w:t>
      </w:r>
      <w:r>
        <w:t xml:space="preserve"> </w:t>
      </w:r>
      <w:r>
        <w:rPr>
          <w:rStyle w:val="VerbatimChar"/>
        </w:rPr>
        <w:t xml:space="preserve">e4_e5_enforcement_replay.json</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Configuration</w:t>
            </w:r>
          </w:p>
        </w:tc>
        <w:tc>
          <w:tcPr/>
          <w:p>
            <w:pPr>
              <w:pStyle w:val="Compact"/>
              <w:jc w:val="left"/>
            </w:pPr>
            <w:r>
              <w:t xml:space="preserve">ASR</w:t>
            </w:r>
          </w:p>
        </w:tc>
        <w:tc>
          <w:tcPr/>
          <w:p>
            <w:pPr>
              <w:pStyle w:val="Compact"/>
              <w:jc w:val="left"/>
            </w:pPr>
            <w:r>
              <w:t xml:space="preserve">Benign utility</w:t>
            </w:r>
          </w:p>
        </w:tc>
        <w:tc>
          <w:tcPr/>
          <w:p>
            <w:pPr>
              <w:pStyle w:val="Compact"/>
              <w:jc w:val="left"/>
            </w:pPr>
            <w:r>
              <w:t xml:space="preserve">Utility under attack</w:t>
            </w:r>
          </w:p>
        </w:tc>
      </w:tr>
      <w:tr>
        <w:tc>
          <w:tcPr/>
          <w:p>
            <w:pPr>
              <w:pStyle w:val="Compact"/>
              <w:jc w:val="left"/>
            </w:pPr>
            <w:r>
              <w:t xml:space="preserve">B0, no defense (replay)</w:t>
            </w:r>
          </w:p>
        </w:tc>
        <w:tc>
          <w:tcPr/>
          <w:p>
            <w:pPr>
              <w:pStyle w:val="Compact"/>
              <w:jc w:val="left"/>
            </w:pPr>
            <w:r>
              <w:t xml:space="preserve">0.226 [0.148, 0.295]</w:t>
            </w:r>
          </w:p>
        </w:tc>
        <w:tc>
          <w:tcPr/>
          <w:p>
            <w:pPr>
              <w:pStyle w:val="Compact"/>
              <w:jc w:val="left"/>
            </w:pPr>
            <w:r>
              <w:t xml:space="preserve">0.524 [0.381, 0.676]</w:t>
            </w:r>
          </w:p>
        </w:tc>
        <w:tc>
          <w:tcPr/>
          <w:p>
            <w:pPr>
              <w:pStyle w:val="Compact"/>
              <w:jc w:val="left"/>
            </w:pPr>
            <w:r>
              <w:t xml:space="preserve">0.492</w:t>
            </w:r>
          </w:p>
        </w:tc>
      </w:tr>
      <w:tr>
        <w:tc>
          <w:tcPr/>
          <w:p>
            <w:pPr>
              <w:pStyle w:val="Compact"/>
              <w:jc w:val="left"/>
            </w:pPr>
            <w:r>
              <w:t xml:space="preserve">B1, no reviewer</w:t>
            </w:r>
          </w:p>
        </w:tc>
        <w:tc>
          <w:tcPr/>
          <w:p>
            <w:pPr>
              <w:pStyle w:val="Compact"/>
              <w:jc w:val="left"/>
            </w:pPr>
            <w:r>
              <w:t xml:space="preserve">0.055 [0.011, 0.134]</w:t>
            </w:r>
          </w:p>
        </w:tc>
        <w:tc>
          <w:tcPr/>
          <w:p>
            <w:pPr>
              <w:pStyle w:val="Compact"/>
              <w:jc w:val="left"/>
            </w:pPr>
            <w:r>
              <w:t xml:space="preserve">0.509 [0.334, 0.702]</w:t>
            </w:r>
          </w:p>
        </w:tc>
        <w:tc>
          <w:tcPr/>
          <w:p>
            <w:pPr>
              <w:pStyle w:val="Compact"/>
              <w:jc w:val="left"/>
            </w:pPr>
            <w:r>
              <w:t xml:space="preserve">0.514</w:t>
            </w:r>
          </w:p>
        </w:tc>
      </w:tr>
      <w:tr>
        <w:tc>
          <w:tcPr/>
          <w:p>
            <w:pPr>
              <w:pStyle w:val="Compact"/>
              <w:jc w:val="left"/>
            </w:pPr>
            <w:r>
              <w:t xml:space="preserve">REM, no reviewer</w:t>
            </w:r>
          </w:p>
        </w:tc>
        <w:tc>
          <w:tcPr/>
          <w:p>
            <w:pPr>
              <w:pStyle w:val="Compact"/>
              <w:jc w:val="left"/>
            </w:pPr>
            <w:r>
              <w:t xml:space="preserve">0.004 [0.001, 0.007]</w:t>
            </w:r>
          </w:p>
        </w:tc>
        <w:tc>
          <w:tcPr/>
          <w:p>
            <w:pPr>
              <w:pStyle w:val="Compact"/>
              <w:jc w:val="left"/>
            </w:pPr>
            <w:r>
              <w:t xml:space="preserve">0.314 [0.110, 0.548]</w:t>
            </w:r>
          </w:p>
        </w:tc>
        <w:tc>
          <w:tcPr/>
          <w:p>
            <w:pPr>
              <w:pStyle w:val="Compact"/>
              <w:jc w:val="left"/>
            </w:pPr>
            <w:r>
              <w:t xml:space="preserve">0.364</w:t>
            </w:r>
          </w:p>
        </w:tc>
      </w:tr>
      <w:tr>
        <w:tc>
          <w:tcPr/>
          <w:p>
            <w:pPr>
              <w:pStyle w:val="Compact"/>
              <w:jc w:val="left"/>
            </w:pPr>
            <w:r>
              <w:t xml:space="preserve">REM w/o expected-loss Escalate, no reviewer</w:t>
            </w:r>
          </w:p>
        </w:tc>
        <w:tc>
          <w:tcPr/>
          <w:p>
            <w:pPr>
              <w:pStyle w:val="Compact"/>
              <w:jc w:val="left"/>
            </w:pPr>
            <w:r>
              <w:t xml:space="preserve">0.004 [0.001, 0.007]</w:t>
            </w:r>
          </w:p>
        </w:tc>
        <w:tc>
          <w:tcPr/>
          <w:p>
            <w:pPr>
              <w:pStyle w:val="Compact"/>
              <w:jc w:val="left"/>
            </w:pPr>
            <w:r>
              <w:t xml:space="preserve">0.329 [0.126, 0.551]</w:t>
            </w:r>
          </w:p>
        </w:tc>
        <w:tc>
          <w:tcPr/>
          <w:p>
            <w:pPr>
              <w:pStyle w:val="Compact"/>
              <w:jc w:val="left"/>
            </w:pPr>
            <w:r>
              <w:t xml:space="preserve">0.374</w:t>
            </w:r>
          </w:p>
        </w:tc>
      </w:tr>
      <w:tr>
        <w:tc>
          <w:tcPr/>
          <w:p>
            <w:pPr>
              <w:pStyle w:val="Compact"/>
              <w:jc w:val="left"/>
            </w:pPr>
            <w:r>
              <w:t xml:space="preserve">REM, idealized reviewer</w:t>
            </w:r>
          </w:p>
        </w:tc>
        <w:tc>
          <w:tcPr/>
          <w:p>
            <w:pPr>
              <w:pStyle w:val="Compact"/>
              <w:jc w:val="left"/>
            </w:pPr>
            <w:r>
              <w:t xml:space="preserve">0.004 [0.001, 0.007]</w:t>
            </w:r>
          </w:p>
        </w:tc>
        <w:tc>
          <w:tcPr/>
          <w:p>
            <w:pPr>
              <w:pStyle w:val="Compact"/>
              <w:jc w:val="left"/>
            </w:pPr>
            <w:r>
              <w:t xml:space="preserve">0.497 [0.333, 0.680]</w:t>
            </w:r>
          </w:p>
        </w:tc>
        <w:tc>
          <w:tcPr/>
          <w:p>
            <w:pPr>
              <w:pStyle w:val="Compact"/>
              <w:jc w:val="left"/>
            </w:pPr>
            <w:r>
              <w:t xml:space="preserve">0.496</w:t>
            </w:r>
          </w:p>
        </w:tc>
      </w:tr>
      <w:tr>
        <w:tc>
          <w:tcPr/>
          <w:p>
            <w:pPr>
              <w:pStyle w:val="Compact"/>
              <w:jc w:val="left"/>
            </w:pPr>
            <w:r>
              <w:t xml:space="preserve">REM w/o expected-loss Escalate, idealized reviewer</w:t>
            </w:r>
          </w:p>
        </w:tc>
        <w:tc>
          <w:tcPr/>
          <w:p>
            <w:pPr>
              <w:pStyle w:val="Compact"/>
              <w:jc w:val="left"/>
            </w:pPr>
            <w:r>
              <w:t xml:space="preserve">0.004 [0.001, 0.007]</w:t>
            </w:r>
          </w:p>
        </w:tc>
        <w:tc>
          <w:tcPr/>
          <w:p>
            <w:pPr>
              <w:pStyle w:val="Compact"/>
              <w:jc w:val="left"/>
            </w:pPr>
            <w:r>
              <w:t xml:space="preserve">0.311 [0.123, 0.518]</w:t>
            </w:r>
          </w:p>
        </w:tc>
        <w:tc>
          <w:tcPr/>
          <w:p>
            <w:pPr>
              <w:pStyle w:val="Compact"/>
              <w:jc w:val="left"/>
            </w:pPr>
            <w:r>
              <w:t xml:space="preserve">0.359</w:t>
            </w:r>
          </w:p>
        </w:tc>
      </w:tr>
    </w:tbl>
    <w:p>
      <w:pPr>
        <w:pStyle w:val="BodyText"/>
      </w:pPr>
      <w:r>
        <w:rPr>
          <w:bCs/>
          <w:b/>
        </w:rPr>
        <w:t xml:space="preserve">Table 5.8. Paired differences (grouped bootstrap)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Comparison</w:t>
            </w:r>
          </w:p>
        </w:tc>
        <w:tc>
          <w:tcPr/>
          <w:p>
            <w:pPr>
              <w:pStyle w:val="Compact"/>
              <w:jc w:val="left"/>
            </w:pPr>
            <w:r>
              <w:t xml:space="preserve">ΔASR</w:t>
            </w:r>
          </w:p>
        </w:tc>
        <w:tc>
          <w:tcPr/>
          <w:p>
            <w:pPr>
              <w:pStyle w:val="Compact"/>
              <w:jc w:val="left"/>
            </w:pPr>
            <w:r>
              <w:t xml:space="preserve">ΔBenign utility</w:t>
            </w:r>
          </w:p>
        </w:tc>
      </w:tr>
      <w:tr>
        <w:tc>
          <w:tcPr/>
          <w:p>
            <w:pPr>
              <w:pStyle w:val="Compact"/>
              <w:jc w:val="left"/>
            </w:pPr>
            <w:r>
              <w:t xml:space="preserve">REM − B1, no reviewer</w:t>
            </w:r>
          </w:p>
        </w:tc>
        <w:tc>
          <w:tcPr/>
          <w:p>
            <w:pPr>
              <w:pStyle w:val="Compact"/>
              <w:jc w:val="left"/>
            </w:pPr>
            <w:r>
              <w:t xml:space="preserve">−0.051 [−0.130, −0.007]</w:t>
            </w:r>
          </w:p>
        </w:tc>
        <w:tc>
          <w:tcPr/>
          <w:p>
            <w:pPr>
              <w:pStyle w:val="Compact"/>
              <w:jc w:val="left"/>
            </w:pPr>
            <w:r>
              <w:t xml:space="preserve">−0.195 [−0.341, −0.074]</w:t>
            </w:r>
          </w:p>
        </w:tc>
      </w:tr>
      <w:tr>
        <w:tc>
          <w:tcPr/>
          <w:p>
            <w:pPr>
              <w:pStyle w:val="Compact"/>
              <w:jc w:val="left"/>
            </w:pPr>
            <w:r>
              <w:t xml:space="preserve">REM w/o Esc. − B1, no reviewer (same escalation opportunity)</w:t>
            </w:r>
          </w:p>
        </w:tc>
        <w:tc>
          <w:tcPr/>
          <w:p>
            <w:pPr>
              <w:pStyle w:val="Compact"/>
              <w:jc w:val="left"/>
            </w:pPr>
            <w:r>
              <w:t xml:space="preserve">−0.051 [−0.130, −0.007]</w:t>
            </w:r>
          </w:p>
        </w:tc>
        <w:tc>
          <w:tcPr/>
          <w:p>
            <w:pPr>
              <w:pStyle w:val="Compact"/>
              <w:jc w:val="left"/>
            </w:pPr>
            <w:r>
              <w:t xml:space="preserve">−0.180 [−0.325, −0.063]</w:t>
            </w:r>
          </w:p>
        </w:tc>
      </w:tr>
      <w:tr>
        <w:tc>
          <w:tcPr/>
          <w:p>
            <w:pPr>
              <w:pStyle w:val="Compact"/>
              <w:jc w:val="left"/>
            </w:pPr>
            <w:r>
              <w:t xml:space="preserve">REM − B1, idealized reviewer</w:t>
            </w:r>
          </w:p>
        </w:tc>
        <w:tc>
          <w:tcPr/>
          <w:p>
            <w:pPr>
              <w:pStyle w:val="Compact"/>
              <w:jc w:val="left"/>
            </w:pPr>
            <w:r>
              <w:t xml:space="preserve">−0.051 [−0.130, −0.007]</w:t>
            </w:r>
          </w:p>
        </w:tc>
        <w:tc>
          <w:tcPr/>
          <w:p>
            <w:pPr>
              <w:pStyle w:val="Compact"/>
              <w:jc w:val="left"/>
            </w:pPr>
            <w:r>
              <w:t xml:space="preserve">+0.003 [−0.009, 0.018]</w:t>
            </w:r>
          </w:p>
        </w:tc>
      </w:tr>
      <w:tr>
        <w:tc>
          <w:tcPr/>
          <w:p>
            <w:pPr>
              <w:pStyle w:val="Compact"/>
              <w:jc w:val="left"/>
            </w:pPr>
            <w:r>
              <w:t xml:space="preserve">REM − REM w/o Esc., idealized reviewer</w:t>
            </w:r>
          </w:p>
        </w:tc>
        <w:tc>
          <w:tcPr/>
          <w:p>
            <w:pPr>
              <w:pStyle w:val="Compact"/>
              <w:jc w:val="left"/>
            </w:pPr>
            <w:r>
              <w:t xml:space="preserve">0.000</w:t>
            </w:r>
          </w:p>
        </w:tc>
        <w:tc>
          <w:tcPr/>
          <w:p>
            <w:pPr>
              <w:pStyle w:val="Compact"/>
              <w:jc w:val="left"/>
            </w:pPr>
            <w:r>
              <w:t xml:space="preserve">+0.186 [0.065, 0.335]</w:t>
            </w:r>
          </w:p>
        </w:tc>
      </w:tr>
      <w:tr>
        <w:tc>
          <w:tcPr/>
          <w:p>
            <w:pPr>
              <w:pStyle w:val="Compact"/>
              <w:jc w:val="left"/>
            </w:pPr>
            <w:r>
              <w:t xml:space="preserve">REM − B0, no reviewer</w:t>
            </w:r>
          </w:p>
        </w:tc>
        <w:tc>
          <w:tcPr/>
          <w:p>
            <w:pPr>
              <w:pStyle w:val="Compact"/>
              <w:jc w:val="left"/>
            </w:pPr>
            <w:r>
              <w:t xml:space="preserve">−0.222 [−0.289, −0.146]</w:t>
            </w:r>
          </w:p>
        </w:tc>
        <w:tc>
          <w:tcPr/>
          <w:p>
            <w:pPr>
              <w:pStyle w:val="Compact"/>
              <w:jc w:val="left"/>
            </w:pPr>
            <w:r>
              <w:t xml:space="preserve">−0.210 [−0.379, −0.051]</w:t>
            </w:r>
          </w:p>
        </w:tc>
      </w:tr>
    </w:tbl>
    <w:p>
      <w:pPr>
        <w:pStyle w:val="BodyText"/>
      </w:pPr>
      <w:r>
        <w:rPr>
          <w:bCs/>
          <w:b/>
        </w:rPr>
        <w:t xml:space="preserve">Table 5.9. Replay ASR by the attacker’s target action</w:t>
      </w:r>
      <w:r>
        <w:t xml:space="preserve"> </w:t>
      </w:r>
      <w:r>
        <w:t xml:space="preserve">(</w:t>
      </w:r>
      <w:r>
        <w:rPr>
          <w:rStyle w:val="VerbatimChar"/>
        </w:rPr>
        <w:t xml:space="preserve">r2_breakdowns.json</w:t>
      </w:r>
      <w:r>
        <w:t xml:space="p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Target action</w:t>
            </w:r>
          </w:p>
        </w:tc>
        <w:tc>
          <w:tcPr/>
          <w:p>
            <w:pPr>
              <w:pStyle w:val="Compact"/>
              <w:jc w:val="left"/>
            </w:pPr>
            <w:r>
              <w:t xml:space="preserve">Injection tasks</w:t>
            </w:r>
          </w:p>
        </w:tc>
        <w:tc>
          <w:tcPr/>
          <w:p>
            <w:pPr>
              <w:pStyle w:val="Compact"/>
              <w:jc w:val="left"/>
            </w:pPr>
            <w:r>
              <w:t xml:space="preserve">Attacked episodes</w:t>
            </w:r>
          </w:p>
        </w:tc>
        <w:tc>
          <w:tcPr/>
          <w:p>
            <w:pPr>
              <w:pStyle w:val="Compact"/>
              <w:jc w:val="left"/>
            </w:pPr>
            <w:r>
              <w:t xml:space="preserve">B0</w:t>
            </w:r>
          </w:p>
        </w:tc>
        <w:tc>
          <w:tcPr/>
          <w:p>
            <w:pPr>
              <w:pStyle w:val="Compact"/>
              <w:jc w:val="left"/>
            </w:pPr>
            <w:r>
              <w:t xml:space="preserve">B1 (no reviewer)</w:t>
            </w:r>
          </w:p>
        </w:tc>
        <w:tc>
          <w:tcPr/>
          <w:p>
            <w:pPr>
              <w:pStyle w:val="Compact"/>
              <w:jc w:val="left"/>
            </w:pPr>
            <w:r>
              <w:t xml:space="preserve">REM (no reviewer)</w:t>
            </w:r>
          </w:p>
        </w:tc>
      </w:tr>
      <w:tr>
        <w:tc>
          <w:tcPr/>
          <w:p>
            <w:pPr>
              <w:pStyle w:val="Compact"/>
              <w:jc w:val="left"/>
            </w:pPr>
            <w:r>
              <w:t xml:space="preserve">Value transfer</w:t>
            </w:r>
          </w:p>
        </w:tc>
        <w:tc>
          <w:tcPr/>
          <w:p>
            <w:pPr>
              <w:pStyle w:val="Compact"/>
              <w:jc w:val="left"/>
            </w:pPr>
            <w:r>
              <w:t xml:space="preserve">7</w:t>
            </w:r>
          </w:p>
        </w:tc>
        <w:tc>
          <w:tcPr/>
          <w:p>
            <w:pPr>
              <w:pStyle w:val="Compact"/>
              <w:jc w:val="left"/>
            </w:pPr>
            <w:r>
              <w:t xml:space="preserve">2,334</w:t>
            </w:r>
          </w:p>
        </w:tc>
        <w:tc>
          <w:tcPr/>
          <w:p>
            <w:pPr>
              <w:pStyle w:val="Compact"/>
              <w:jc w:val="left"/>
            </w:pPr>
            <w:r>
              <w:t xml:space="preserve">0.213 [0.128, 0.293]</w:t>
            </w:r>
          </w:p>
        </w:tc>
        <w:tc>
          <w:tcPr/>
          <w:p>
            <w:pPr>
              <w:pStyle w:val="Compact"/>
              <w:jc w:val="left"/>
            </w:pPr>
            <w:r>
              <w:t xml:space="preserve">0.014 [0.007, 0.020]</w:t>
            </w:r>
          </w:p>
        </w:tc>
        <w:tc>
          <w:tcPr/>
          <w:p>
            <w:pPr>
              <w:pStyle w:val="Compact"/>
              <w:jc w:val="left"/>
            </w:pPr>
            <w:r>
              <w:t xml:space="preserve">0.005 [0.002, 0.008]</w:t>
            </w:r>
          </w:p>
        </w:tc>
      </w:tr>
      <w:tr>
        <w:tc>
          <w:tcPr/>
          <w:p>
            <w:pPr>
              <w:pStyle w:val="Compact"/>
              <w:jc w:val="left"/>
            </w:pPr>
            <w:r>
              <w:t xml:space="preserve">Payment modification</w:t>
            </w:r>
          </w:p>
        </w:tc>
        <w:tc>
          <w:tcPr/>
          <w:p>
            <w:pPr>
              <w:pStyle w:val="Compact"/>
              <w:jc w:val="left"/>
            </w:pPr>
            <w:r>
              <w:t xml:space="preserve">1</w:t>
            </w:r>
          </w:p>
        </w:tc>
        <w:tc>
          <w:tcPr/>
          <w:p>
            <w:pPr>
              <w:pStyle w:val="Compact"/>
              <w:jc w:val="left"/>
            </w:pPr>
            <w:r>
              <w:t xml:space="preserve">311</w:t>
            </w:r>
          </w:p>
        </w:tc>
        <w:tc>
          <w:tcPr/>
          <w:p>
            <w:pPr>
              <w:pStyle w:val="Compact"/>
              <w:jc w:val="left"/>
            </w:pPr>
            <w:r>
              <w:t xml:space="preserve">0.183</w:t>
            </w:r>
          </w:p>
        </w:tc>
        <w:tc>
          <w:tcPr/>
          <w:p>
            <w:pPr>
              <w:pStyle w:val="Compact"/>
              <w:jc w:val="left"/>
            </w:pPr>
            <w:r>
              <w:t xml:space="preserve">0.042</w:t>
            </w:r>
          </w:p>
        </w:tc>
        <w:tc>
          <w:tcPr/>
          <w:p>
            <w:pPr>
              <w:pStyle w:val="Compact"/>
              <w:jc w:val="left"/>
            </w:pPr>
            <w:r>
              <w:t xml:space="preserve">0.000</w:t>
            </w:r>
          </w:p>
        </w:tc>
      </w:tr>
      <w:tr>
        <w:tc>
          <w:tcPr/>
          <w:p>
            <w:pPr>
              <w:pStyle w:val="Compact"/>
              <w:jc w:val="left"/>
            </w:pPr>
            <w:r>
              <w:t xml:space="preserve">Credential change</w:t>
            </w:r>
          </w:p>
        </w:tc>
        <w:tc>
          <w:tcPr/>
          <w:p>
            <w:pPr>
              <w:pStyle w:val="Compact"/>
              <w:jc w:val="left"/>
            </w:pPr>
            <w:r>
              <w:t xml:space="preserve">1</w:t>
            </w:r>
          </w:p>
        </w:tc>
        <w:tc>
          <w:tcPr/>
          <w:p>
            <w:pPr>
              <w:pStyle w:val="Compact"/>
              <w:jc w:val="left"/>
            </w:pPr>
            <w:r>
              <w:t xml:space="preserve">334</w:t>
            </w:r>
          </w:p>
        </w:tc>
        <w:tc>
          <w:tcPr/>
          <w:p>
            <w:pPr>
              <w:pStyle w:val="Compact"/>
              <w:jc w:val="left"/>
            </w:pPr>
            <w:r>
              <w:t xml:space="preserve">0.356</w:t>
            </w:r>
          </w:p>
        </w:tc>
        <w:tc>
          <w:tcPr/>
          <w:p>
            <w:pPr>
              <w:pStyle w:val="Compact"/>
              <w:jc w:val="left"/>
            </w:pPr>
            <w:r>
              <w:t xml:space="preserve">0.356</w:t>
            </w:r>
          </w:p>
        </w:tc>
        <w:tc>
          <w:tcPr/>
          <w:p>
            <w:pPr>
              <w:pStyle w:val="Compact"/>
              <w:jc w:val="left"/>
            </w:pPr>
            <w:r>
              <w:t xml:space="preserve">0.000</w:t>
            </w:r>
          </w:p>
        </w:tc>
      </w:tr>
    </w:tbl>
    <w:p>
      <w:pPr>
        <w:pStyle w:val="BodyText"/>
      </w:pPr>
      <w:r>
        <w:t xml:space="preserve">Single-task categories have no interval.</w:t>
      </w:r>
    </w:p>
    <w:p>
      <w:pPr>
        <w:pStyle w:val="BodyText"/>
      </w:pPr>
      <w:r>
        <w:rPr>
          <w:bCs/>
          <w:b/>
        </w:rPr>
        <w:t xml:space="preserve">Table 5.10. Replay benign utility by kind of user task</w:t>
      </w:r>
      <w:r>
        <w:t xml:space="preserve"> </w:t>
      </w:r>
      <w:r>
        <w:t xml:space="preserve">(</w:t>
      </w:r>
      <w:r>
        <w:rPr>
          <w:rStyle w:val="VerbatimChar"/>
        </w:rPr>
        <w:t xml:space="preserve">r2_breakdowns.json</w:t>
      </w:r>
      <w:r>
        <w:t xml:space="preserv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User tasks</w:t>
            </w:r>
          </w:p>
        </w:tc>
        <w:tc>
          <w:tcPr/>
          <w:p>
            <w:pPr>
              <w:pStyle w:val="Compact"/>
              <w:jc w:val="left"/>
            </w:pPr>
            <w:r>
              <w:t xml:space="preserve">Tasks</w:t>
            </w:r>
          </w:p>
        </w:tc>
        <w:tc>
          <w:tcPr/>
          <w:p>
            <w:pPr>
              <w:pStyle w:val="Compact"/>
              <w:jc w:val="left"/>
            </w:pPr>
            <w:r>
              <w:t xml:space="preserve">Episodes</w:t>
            </w:r>
          </w:p>
        </w:tc>
        <w:tc>
          <w:tcPr/>
          <w:p>
            <w:pPr>
              <w:pStyle w:val="Compact"/>
              <w:jc w:val="left"/>
            </w:pPr>
            <w:r>
              <w:t xml:space="preserve">B0</w:t>
            </w:r>
          </w:p>
        </w:tc>
        <w:tc>
          <w:tcPr/>
          <w:p>
            <w:pPr>
              <w:pStyle w:val="Compact"/>
              <w:jc w:val="left"/>
            </w:pPr>
            <w:r>
              <w:t xml:space="preserve">B1 (no reviewer)</w:t>
            </w:r>
          </w:p>
        </w:tc>
        <w:tc>
          <w:tcPr/>
          <w:p>
            <w:pPr>
              <w:pStyle w:val="Compact"/>
              <w:jc w:val="left"/>
            </w:pPr>
            <w:r>
              <w:t xml:space="preserve">REM (no reviewer)</w:t>
            </w:r>
          </w:p>
        </w:tc>
        <w:tc>
          <w:tcPr/>
          <w:p>
            <w:pPr>
              <w:pStyle w:val="Compact"/>
              <w:jc w:val="left"/>
            </w:pPr>
            <w:r>
              <w:t xml:space="preserve">REM (idealized reviewer)</w:t>
            </w:r>
          </w:p>
        </w:tc>
      </w:tr>
      <w:tr>
        <w:tc>
          <w:tcPr/>
          <w:p>
            <w:pPr>
              <w:pStyle w:val="Compact"/>
              <w:jc w:val="left"/>
            </w:pPr>
            <w:r>
              <w:t xml:space="preserve">Requiring a state change</w:t>
            </w:r>
          </w:p>
        </w:tc>
        <w:tc>
          <w:tcPr/>
          <w:p>
            <w:pPr>
              <w:pStyle w:val="Compact"/>
              <w:jc w:val="left"/>
            </w:pPr>
            <w:r>
              <w:t xml:space="preserve">12</w:t>
            </w:r>
          </w:p>
        </w:tc>
        <w:tc>
          <w:tcPr/>
          <w:p>
            <w:pPr>
              <w:pStyle w:val="Compact"/>
              <w:jc w:val="left"/>
            </w:pPr>
            <w:r>
              <w:t xml:space="preserve">250</w:t>
            </w:r>
          </w:p>
        </w:tc>
        <w:tc>
          <w:tcPr/>
          <w:p>
            <w:pPr>
              <w:pStyle w:val="Compact"/>
              <w:jc w:val="left"/>
            </w:pPr>
            <w:r>
              <w:t xml:space="preserve">0.472 [0.320, 0.632]</w:t>
            </w:r>
          </w:p>
        </w:tc>
        <w:tc>
          <w:tcPr/>
          <w:p>
            <w:pPr>
              <w:pStyle w:val="Compact"/>
              <w:jc w:val="left"/>
            </w:pPr>
            <w:r>
              <w:t xml:space="preserve">0.432 [0.238, 0.637]</w:t>
            </w:r>
          </w:p>
        </w:tc>
        <w:tc>
          <w:tcPr/>
          <w:p>
            <w:pPr>
              <w:pStyle w:val="Compact"/>
              <w:jc w:val="left"/>
            </w:pPr>
            <w:r>
              <w:t xml:space="preserve">0.168 [0.000, 0.420]</w:t>
            </w:r>
          </w:p>
        </w:tc>
        <w:tc>
          <w:tcPr/>
          <w:p>
            <w:pPr>
              <w:pStyle w:val="Compact"/>
              <w:jc w:val="left"/>
            </w:pPr>
            <w:r>
              <w:t xml:space="preserve">0.416 [0.238, 0.600]</w:t>
            </w:r>
          </w:p>
        </w:tc>
      </w:tr>
      <w:tr>
        <w:tc>
          <w:tcPr/>
          <w:p>
            <w:pPr>
              <w:pStyle w:val="Compact"/>
              <w:jc w:val="left"/>
            </w:pPr>
            <w:r>
              <w:t xml:space="preserve">Read-only</w:t>
            </w:r>
          </w:p>
        </w:tc>
        <w:tc>
          <w:tcPr/>
          <w:p>
            <w:pPr>
              <w:pStyle w:val="Compact"/>
              <w:jc w:val="left"/>
            </w:pPr>
            <w:r>
              <w:t xml:space="preserve">4</w:t>
            </w:r>
          </w:p>
        </w:tc>
        <w:tc>
          <w:tcPr/>
          <w:p>
            <w:pPr>
              <w:pStyle w:val="Compact"/>
              <w:jc w:val="left"/>
            </w:pPr>
            <w:r>
              <w:t xml:space="preserve">84</w:t>
            </w:r>
          </w:p>
        </w:tc>
        <w:tc>
          <w:tcPr/>
          <w:p>
            <w:pPr>
              <w:pStyle w:val="Compact"/>
              <w:jc w:val="left"/>
            </w:pPr>
            <w:r>
              <w:t xml:space="preserve">0.679 [0.369, 0.929]</w:t>
            </w:r>
          </w:p>
        </w:tc>
        <w:tc>
          <w:tcPr/>
          <w:p>
            <w:pPr>
              <w:pStyle w:val="Compact"/>
              <w:jc w:val="left"/>
            </w:pPr>
            <w:r>
              <w:t xml:space="preserve">0.738 [0.417, 0.976]</w:t>
            </w:r>
          </w:p>
        </w:tc>
        <w:tc>
          <w:tcPr/>
          <w:p>
            <w:pPr>
              <w:pStyle w:val="Compact"/>
              <w:jc w:val="left"/>
            </w:pPr>
            <w:r>
              <w:t xml:space="preserve">0.750 [0.429, 1.000]</w:t>
            </w:r>
          </w:p>
        </w:tc>
        <w:tc>
          <w:tcPr/>
          <w:p>
            <w:pPr>
              <w:pStyle w:val="Compact"/>
              <w:jc w:val="left"/>
            </w:pPr>
            <w:r>
              <w:t xml:space="preserve">0.738 [0.417, 0.976]</w:t>
            </w:r>
          </w:p>
        </w:tc>
      </w:tr>
    </w:tbl>
    <w:p>
      <w:pPr>
        <w:pStyle w:val="CaptionedFigure"/>
      </w:pPr>
      <w:r>
        <w:drawing>
          <wp:inline>
            <wp:extent cx="5067300" cy="2266950"/>
            <wp:effectExtent b="0" l="0" r="0" t="0"/>
            <wp:docPr descr="Figure 5.2. Replay sensitivity analysis (NO-ADAPT): ASR and benign utility with 95% grouped-bootstrap intervals." title="" id="198" name="Picture"/>
            <a:graphic>
              <a:graphicData uri="http://schemas.openxmlformats.org/drawingml/2006/picture">
                <pic:pic>
                  <pic:nvPicPr>
                    <pic:cNvPr descr="results/pilot_R2/figures/fig_enforcement_replay.png" id="199" name="Picture"/>
                    <pic:cNvPicPr>
                      <a:picLocks noChangeArrowheads="1" noChangeAspect="1"/>
                    </pic:cNvPicPr>
                  </pic:nvPicPr>
                  <pic:blipFill>
                    <a:blip r:embed="rId197"/>
                    <a:stretch>
                      <a:fillRect/>
                    </a:stretch>
                  </pic:blipFill>
                  <pic:spPr bwMode="auto">
                    <a:xfrm>
                      <a:off x="0" y="0"/>
                      <a:ext cx="5067300" cy="2266950"/>
                    </a:xfrm>
                    <a:prstGeom prst="rect">
                      <a:avLst/>
                    </a:prstGeom>
                    <a:noFill/>
                    <a:ln w="9525">
                      <a:noFill/>
                      <a:headEnd/>
                      <a:tailEnd/>
                    </a:ln>
                  </pic:spPr>
                </pic:pic>
              </a:graphicData>
            </a:graphic>
          </wp:inline>
        </w:drawing>
      </w:r>
    </w:p>
    <w:p>
      <w:pPr>
        <w:pStyle w:val="ImageCaption"/>
      </w:pPr>
      <w:r>
        <w:t xml:space="preserve">Figure 5.2. Replay sensitivity analysis (NO-ADAPT): ASR and benign utility with 95% grouped-bootstrap intervals.</w:t>
      </w:r>
    </w:p>
    <w:p>
      <w:pPr>
        <w:pStyle w:val="BodyText"/>
      </w:pPr>
      <w:r>
        <w:rPr>
          <w:bCs/>
          <w:b/>
        </w:rPr>
        <w:t xml:space="preserve">What the replay results show, within NO-ADAPT:</w:t>
      </w:r>
    </w:p>
    <w:p>
      <w:pPr>
        <w:numPr>
          <w:ilvl w:val="0"/>
          <w:numId w:val="1182"/>
        </w:numPr>
        <w:pStyle w:val="Compact"/>
      </w:pPr>
      <w:r>
        <w:rPr>
          <w:bCs/>
          <w:b/>
        </w:rPr>
        <w:t xml:space="preserve">Where the ASR difference comes from.</w:t>
      </w:r>
      <w:r>
        <w:t xml:space="preserve"> </w:t>
      </w:r>
      <w:r>
        <w:t xml:space="preserve">REM withholds more of the recorded attack attempts than B1. Most of the difference comes from the credential-change and payment-modification attacks (Table 5.9), each represented by a single injection task.</w:t>
      </w:r>
    </w:p>
    <w:p>
      <w:pPr>
        <w:numPr>
          <w:ilvl w:val="0"/>
          <w:numId w:val="1182"/>
        </w:numPr>
        <w:pStyle w:val="Compact"/>
      </w:pPr>
      <w:r>
        <w:rPr>
          <w:bCs/>
          <w:b/>
        </w:rPr>
        <w:t xml:space="preserve">The utility cost falls on state-changing tasks.</w:t>
      </w:r>
      <w:r>
        <w:t xml:space="preserve"> </w:t>
      </w:r>
      <w:r>
        <w:t xml:space="preserve">With no reviewer, REM’s benign utility falls to 0.168 on those tasks (Table 5.10).</w:t>
      </w:r>
    </w:p>
    <w:p>
      <w:pPr>
        <w:numPr>
          <w:ilvl w:val="0"/>
          <w:numId w:val="1182"/>
        </w:numPr>
        <w:pStyle w:val="Compact"/>
      </w:pPr>
      <w:r>
        <w:rPr>
          <w:bCs/>
          <w:b/>
        </w:rPr>
        <w:t xml:space="preserve">The cost is not caused by the escalation option.</w:t>
      </w:r>
      <w:r>
        <w:t xml:space="preserve"> </w:t>
      </w:r>
      <w:r>
        <w:t xml:space="preserve">REM without expected-loss Escalate has almost the same utility cost relative to B1 (Table 5.8).</w:t>
      </w:r>
    </w:p>
    <w:p>
      <w:pPr>
        <w:numPr>
          <w:ilvl w:val="0"/>
          <w:numId w:val="1182"/>
        </w:numPr>
        <w:pStyle w:val="Compact"/>
      </w:pPr>
      <w:r>
        <w:rPr>
          <w:bCs/>
          <w:b/>
        </w:rPr>
        <w:t xml:space="preserve">With an idealized reviewer, the cost disappears.</w:t>
      </w:r>
      <w:r>
        <w:t xml:space="preserve"> </w:t>
      </w:r>
      <w:r>
        <w:t xml:space="preserve">That reviewer knows the label and is an upper bound on reviewer quality, not a model of one.</w:t>
      </w:r>
    </w:p>
    <w:p>
      <w:pPr>
        <w:pStyle w:val="FirstParagraph"/>
      </w:pPr>
      <w:r>
        <w:rPr>
          <w:bCs/>
          <w:b/>
        </w:rPr>
        <w:t xml:space="preserve">RQ3 quantities:</w:t>
      </w:r>
    </w:p>
    <w:p>
      <w:pPr>
        <w:numPr>
          <w:ilvl w:val="0"/>
          <w:numId w:val="1183"/>
        </w:numPr>
        <w:pStyle w:val="Compact"/>
      </w:pPr>
      <w:r>
        <w:rPr>
          <w:bCs/>
          <w:b/>
        </w:rPr>
        <w:t xml:space="preserve">Residual attack success after Modify.</w:t>
      </w:r>
      <w:r>
        <w:t xml:space="preserve"> </w:t>
      </w:r>
      <w:r>
        <w:t xml:space="preserve">In oracle-Modify replays within the fitting folds, r</w:t>
      </w:r>
      <w:r>
        <w:rPr>
          <w:vertAlign w:val="subscript"/>
        </w:rPr>
        <w:t xml:space="preserve">mod</w:t>
      </w:r>
      <w:r>
        <w:t xml:space="preserve"> </w:t>
      </w:r>
      <w:r>
        <w:t xml:space="preserve">was 0.000 at tier 3 (530 episodes) and 0.010 at tier 4 (298 episodes) (</w:t>
      </w:r>
      <w:r>
        <w:rPr>
          <w:rStyle w:val="VerbatimChar"/>
        </w:rPr>
        <w:t xml:space="preserve">e4_rmod_and_replay_validity.json</w:t>
      </w:r>
      <w:r>
        <w:t xml:space="preserve">). In replays where REM applied Modify to an attack step, residual ASR was 0.000 (610 episodes). Under NO-ADAPT a withheld call simply does not occur, so</w:t>
      </w:r>
      <w:r>
        <w:t xml:space="preserve"> </w:t>
      </w:r>
      <w:r>
        <w:rPr>
          <w:bCs/>
          <w:b/>
        </w:rPr>
        <w:t xml:space="preserve">these values are consequences of the assumption, not measurements of tool restriction against a live agent.</w:t>
      </w:r>
    </w:p>
    <w:p>
      <w:pPr>
        <w:numPr>
          <w:ilvl w:val="0"/>
          <w:numId w:val="1183"/>
        </w:numPr>
        <w:pStyle w:val="Compact"/>
      </w:pPr>
      <w:r>
        <w:rPr>
          <w:bCs/>
          <w:b/>
        </w:rPr>
        <w:t xml:space="preserve">Escalation rate.</w:t>
      </w:r>
      <w:r>
        <w:t xml:space="preserve"> </w:t>
      </w:r>
      <w:r>
        <w:t xml:space="preserve">0.196 of all steps in the observe-only analysis (Table 5.5).</w:t>
      </w:r>
    </w:p>
    <w:p>
      <w:pPr>
        <w:numPr>
          <w:ilvl w:val="0"/>
          <w:numId w:val="1183"/>
        </w:numPr>
        <w:pStyle w:val="Compact"/>
      </w:pPr>
      <w:r>
        <w:rPr>
          <w:bCs/>
          <w:b/>
        </w:rPr>
        <w:t xml:space="preserve">Processing time.</w:t>
      </w:r>
      <w:r>
        <w:t xml:space="preserve"> </w:t>
      </w:r>
      <w:r>
        <w:t xml:space="preserve">REM’s processing time per step, measured as described in Chapter 4, Section 4.14, had a median of 0.14–0.20 ms and a 95th percentile of 0.39–0.54 ms across configurations and the two runs.</w:t>
      </w:r>
    </w:p>
    <w:p>
      <w:pPr>
        <w:numPr>
          <w:ilvl w:val="0"/>
          <w:numId w:val="1183"/>
        </w:numPr>
        <w:pStyle w:val="Compact"/>
      </w:pPr>
      <w:r>
        <w:rPr>
          <w:bCs/>
          <w:b/>
        </w:rPr>
        <w:t xml:space="preserve">Memory.</w:t>
      </w:r>
      <w:r>
        <w:t xml:space="preserve"> </w:t>
      </w:r>
      <w:r>
        <w:t xml:space="preserve">The median peak traced allocation was 2.9 KB per step (</w:t>
      </w:r>
      <w:r>
        <w:rPr>
          <w:rStyle w:val="VerbatimChar"/>
        </w:rPr>
        <w:t xml:space="preserve">latency_memory_profile.json</w:t>
      </w:r>
      <w:r>
        <w:t xml:space="preserve">).</w:t>
      </w:r>
    </w:p>
    <w:p>
      <w:pPr>
        <w:pStyle w:val="FirstParagraph"/>
      </w:pPr>
      <w:r>
        <w:t xml:space="preserve">These figures apply to the evaluated configuration only: no neural injection classifier, no reviewer, recorded inputs. They are not estimates for a complete deployment.</w:t>
      </w:r>
    </w:p>
    <w:bookmarkEnd w:id="200"/>
    <w:bookmarkEnd w:id="201"/>
    <w:bookmarkStart w:id="202" w:name="rq4-ablations"/>
    <w:p>
      <w:pPr>
        <w:pStyle w:val="Heading2"/>
      </w:pPr>
      <w:r>
        <w:t xml:space="preserve">5.7 RQ4 — Ablations</w:t>
      </w:r>
    </w:p>
    <w:p>
      <w:pPr>
        <w:pStyle w:val="FirstParagraph"/>
      </w:pPr>
      <w:r>
        <w:rPr>
          <w:bCs/>
          <w:b/>
        </w:rPr>
        <w:t xml:space="preserve">Table 5.11. Ablations</w:t>
      </w:r>
      <w:r>
        <w:t xml:space="preserve"> </w:t>
      </w:r>
      <w:r>
        <w:t xml:space="preserve">(observe-only columns: held-out recorded steps; replay columns: step-level semantics, no reviewer)</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Configuration</w:t>
            </w:r>
          </w:p>
        </w:tc>
        <w:tc>
          <w:tcPr/>
          <w:p>
            <w:pPr>
              <w:pStyle w:val="Compact"/>
              <w:jc w:val="left"/>
            </w:pPr>
            <w:r>
              <w:t xml:space="preserve">Held-out ROC-AUC</w:t>
            </w:r>
          </w:p>
        </w:tc>
        <w:tc>
          <w:tcPr/>
          <w:p>
            <w:pPr>
              <w:pStyle w:val="Compact"/>
              <w:jc w:val="left"/>
            </w:pPr>
            <w:r>
              <w:t xml:space="preserve">Observe-only intervention, y = 0</w:t>
            </w:r>
          </w:p>
        </w:tc>
        <w:tc>
          <w:tcPr/>
          <w:p>
            <w:pPr>
              <w:pStyle w:val="Compact"/>
              <w:jc w:val="left"/>
            </w:pPr>
            <w:r>
              <w:t xml:space="preserve">Observe-only intervention, y = 1</w:t>
            </w:r>
          </w:p>
        </w:tc>
        <w:tc>
          <w:tcPr/>
          <w:p>
            <w:pPr>
              <w:pStyle w:val="Compact"/>
              <w:jc w:val="left"/>
            </w:pPr>
            <w:r>
              <w:t xml:space="preserve">Replay ASR</w:t>
            </w:r>
          </w:p>
        </w:tc>
        <w:tc>
          <w:tcPr/>
          <w:p>
            <w:pPr>
              <w:pStyle w:val="Compact"/>
              <w:jc w:val="left"/>
            </w:pPr>
            <w:r>
              <w:t xml:space="preserve">Replay benign utility</w:t>
            </w:r>
          </w:p>
        </w:tc>
      </w:tr>
      <w:tr>
        <w:tc>
          <w:tcPr/>
          <w:p>
            <w:pPr>
              <w:pStyle w:val="Compact"/>
              <w:jc w:val="left"/>
            </w:pPr>
            <w:r>
              <w:t xml:space="preserve">Full REM</w:t>
            </w:r>
          </w:p>
        </w:tc>
        <w:tc>
          <w:tcPr/>
          <w:p>
            <w:pPr>
              <w:pStyle w:val="Compact"/>
              <w:jc w:val="left"/>
            </w:pPr>
            <w:r>
              <w:t xml:space="preserve">0.938</w:t>
            </w:r>
          </w:p>
        </w:tc>
        <w:tc>
          <w:tcPr/>
          <w:p>
            <w:pPr>
              <w:pStyle w:val="Compact"/>
              <w:jc w:val="left"/>
            </w:pPr>
            <w:r>
              <w:t xml:space="preserve">0.227</w:t>
            </w:r>
          </w:p>
        </w:tc>
        <w:tc>
          <w:tcPr/>
          <w:p>
            <w:pPr>
              <w:pStyle w:val="Compact"/>
              <w:jc w:val="left"/>
            </w:pPr>
            <w:r>
              <w:t xml:space="preserve">0.973</w:t>
            </w:r>
          </w:p>
        </w:tc>
        <w:tc>
          <w:tcPr/>
          <w:p>
            <w:pPr>
              <w:pStyle w:val="Compact"/>
              <w:jc w:val="left"/>
            </w:pPr>
            <w:r>
              <w:t xml:space="preserve">0.004</w:t>
            </w:r>
          </w:p>
        </w:tc>
        <w:tc>
          <w:tcPr/>
          <w:p>
            <w:pPr>
              <w:pStyle w:val="Compact"/>
              <w:jc w:val="left"/>
            </w:pPr>
            <w:r>
              <w:t xml:space="preserve">0.314</w:t>
            </w:r>
          </w:p>
        </w:tc>
      </w:tr>
      <w:tr>
        <w:tc>
          <w:tcPr/>
          <w:p>
            <w:pPr>
              <w:pStyle w:val="Compact"/>
              <w:jc w:val="left"/>
            </w:pPr>
            <w:r>
              <w:t xml:space="preserve">− context evidence (x^ctx₂)</w:t>
            </w:r>
          </w:p>
        </w:tc>
        <w:tc>
          <w:tcPr/>
          <w:p>
            <w:pPr>
              <w:pStyle w:val="Compact"/>
              <w:jc w:val="left"/>
            </w:pPr>
            <w:r>
              <w:t xml:space="preserve">0.938</w:t>
            </w:r>
          </w:p>
        </w:tc>
        <w:tc>
          <w:tcPr/>
          <w:p>
            <w:pPr>
              <w:pStyle w:val="Compact"/>
              <w:jc w:val="left"/>
            </w:pPr>
            <w:r>
              <w:t xml:space="preserve">0.228</w:t>
            </w:r>
          </w:p>
        </w:tc>
        <w:tc>
          <w:tcPr/>
          <w:p>
            <w:pPr>
              <w:pStyle w:val="Compact"/>
              <w:jc w:val="left"/>
            </w:pPr>
            <w:r>
              <w:t xml:space="preserve">0.973</w:t>
            </w:r>
          </w:p>
        </w:tc>
        <w:tc>
          <w:tcPr/>
          <w:p>
            <w:pPr>
              <w:pStyle w:val="Compact"/>
              <w:jc w:val="left"/>
            </w:pPr>
            <w:r>
              <w:t xml:space="preserve">0.004</w:t>
            </w:r>
          </w:p>
        </w:tc>
        <w:tc>
          <w:tcPr/>
          <w:p>
            <w:pPr>
              <w:pStyle w:val="Compact"/>
              <w:jc w:val="left"/>
            </w:pPr>
            <w:r>
              <w:t xml:space="preserve">0.314</w:t>
            </w:r>
          </w:p>
        </w:tc>
      </w:tr>
      <w:tr>
        <w:tc>
          <w:tcPr/>
          <w:p>
            <w:pPr>
              <w:pStyle w:val="Compact"/>
              <w:jc w:val="left"/>
            </w:pPr>
            <w:r>
              <w:t xml:space="preserve">− behavioral evidence</w:t>
            </w:r>
          </w:p>
        </w:tc>
        <w:tc>
          <w:tcPr/>
          <w:p>
            <w:pPr>
              <w:pStyle w:val="Compact"/>
              <w:jc w:val="left"/>
            </w:pPr>
            <w:r>
              <w:t xml:space="preserve">0.938</w:t>
            </w:r>
          </w:p>
        </w:tc>
        <w:tc>
          <w:tcPr/>
          <w:p>
            <w:pPr>
              <w:pStyle w:val="Compact"/>
              <w:jc w:val="left"/>
            </w:pPr>
            <w:r>
              <w:t xml:space="preserve">0.174</w:t>
            </w:r>
          </w:p>
        </w:tc>
        <w:tc>
          <w:tcPr/>
          <w:p>
            <w:pPr>
              <w:pStyle w:val="Compact"/>
              <w:jc w:val="left"/>
            </w:pPr>
            <w:r>
              <w:t xml:space="preserve">0.973</w:t>
            </w:r>
          </w:p>
        </w:tc>
        <w:tc>
          <w:tcPr/>
          <w:p>
            <w:pPr>
              <w:pStyle w:val="Compact"/>
              <w:jc w:val="left"/>
            </w:pPr>
            <w:r>
              <w:t xml:space="preserve">0.004</w:t>
            </w:r>
          </w:p>
        </w:tc>
        <w:tc>
          <w:tcPr/>
          <w:p>
            <w:pPr>
              <w:pStyle w:val="Compact"/>
              <w:jc w:val="left"/>
            </w:pPr>
            <w:r>
              <w:t xml:space="preserve">0.419</w:t>
            </w:r>
          </w:p>
        </w:tc>
      </w:tr>
      <w:tr>
        <w:tc>
          <w:tcPr/>
          <w:p>
            <w:pPr>
              <w:pStyle w:val="Compact"/>
              <w:jc w:val="left"/>
            </w:pPr>
            <w:r>
              <w:t xml:space="preserve">− action evidence</w:t>
            </w:r>
          </w:p>
        </w:tc>
        <w:tc>
          <w:tcPr/>
          <w:p>
            <w:pPr>
              <w:pStyle w:val="Compact"/>
              <w:jc w:val="left"/>
            </w:pPr>
            <w:r>
              <w:t xml:space="preserve">0.799</w:t>
            </w:r>
          </w:p>
        </w:tc>
        <w:tc>
          <w:tcPr/>
          <w:p>
            <w:pPr>
              <w:pStyle w:val="Compact"/>
              <w:jc w:val="left"/>
            </w:pPr>
            <w:r>
              <w:t xml:space="preserve">0.242</w:t>
            </w:r>
          </w:p>
        </w:tc>
        <w:tc>
          <w:tcPr/>
          <w:p>
            <w:pPr>
              <w:pStyle w:val="Compact"/>
              <w:jc w:val="left"/>
            </w:pPr>
            <w:r>
              <w:t xml:space="preserve">0.921</w:t>
            </w:r>
          </w:p>
        </w:tc>
        <w:tc>
          <w:tcPr/>
          <w:p>
            <w:pPr>
              <w:pStyle w:val="Compact"/>
              <w:jc w:val="left"/>
            </w:pPr>
            <w:r>
              <w:t xml:space="preserve">0.006</w:t>
            </w:r>
          </w:p>
        </w:tc>
        <w:tc>
          <w:tcPr/>
          <w:p>
            <w:pPr>
              <w:pStyle w:val="Compact"/>
              <w:jc w:val="left"/>
            </w:pPr>
            <w:r>
              <w:t xml:space="preserve">0.314</w:t>
            </w:r>
          </w:p>
        </w:tc>
      </w:tr>
      <w:tr>
        <w:tc>
          <w:tcPr/>
          <w:p>
            <w:pPr>
              <w:pStyle w:val="Compact"/>
              <w:jc w:val="left"/>
            </w:pPr>
            <w:r>
              <w:t xml:space="preserve">− calibration (p̃ in Eq. 3.6)</w:t>
            </w:r>
          </w:p>
        </w:tc>
        <w:tc>
          <w:tcPr/>
          <w:p>
            <w:pPr>
              <w:pStyle w:val="Compact"/>
              <w:jc w:val="left"/>
            </w:pPr>
            <w:r>
              <w:t xml:space="preserve">—</w:t>
            </w:r>
          </w:p>
        </w:tc>
        <w:tc>
          <w:tcPr/>
          <w:p>
            <w:pPr>
              <w:pStyle w:val="Compact"/>
              <w:jc w:val="left"/>
            </w:pPr>
            <w:r>
              <w:t xml:space="preserve">0.213</w:t>
            </w:r>
          </w:p>
        </w:tc>
        <w:tc>
          <w:tcPr/>
          <w:p>
            <w:pPr>
              <w:pStyle w:val="Compact"/>
              <w:jc w:val="left"/>
            </w:pPr>
            <w:r>
              <w:t xml:space="preserve">0.973</w:t>
            </w:r>
          </w:p>
        </w:tc>
        <w:tc>
          <w:tcPr/>
          <w:p>
            <w:pPr>
              <w:pStyle w:val="Compact"/>
              <w:jc w:val="left"/>
            </w:pPr>
            <w:r>
              <w:t xml:space="preserve">0.004</w:t>
            </w:r>
          </w:p>
        </w:tc>
        <w:tc>
          <w:tcPr/>
          <w:p>
            <w:pPr>
              <w:pStyle w:val="Compact"/>
              <w:jc w:val="left"/>
            </w:pPr>
            <w:r>
              <w:t xml:space="preserve">0.329</w:t>
            </w:r>
          </w:p>
        </w:tc>
      </w:tr>
      <w:tr>
        <w:tc>
          <w:tcPr/>
          <w:p>
            <w:pPr>
              <w:pStyle w:val="Compact"/>
              <w:jc w:val="left"/>
            </w:pPr>
            <w:r>
              <w:t xml:space="preserve">one tier for all actions: 1 / 2 / 3 / 4</w:t>
            </w:r>
          </w:p>
        </w:tc>
        <w:tc>
          <w:tcPr/>
          <w:p>
            <w:pPr>
              <w:pStyle w:val="Compact"/>
              <w:jc w:val="left"/>
            </w:pPr>
            <w:r>
              <w:t xml:space="preserve">—</w:t>
            </w:r>
          </w:p>
        </w:tc>
        <w:tc>
          <w:tcPr/>
          <w:p>
            <w:pPr>
              <w:pStyle w:val="Compact"/>
              <w:jc w:val="left"/>
            </w:pPr>
            <w:r>
              <w:t xml:space="preserve">0.093 / 0.157 / 0.233 / 0.336</w:t>
            </w:r>
          </w:p>
        </w:tc>
        <w:tc>
          <w:tcPr/>
          <w:p>
            <w:pPr>
              <w:pStyle w:val="Compact"/>
              <w:jc w:val="left"/>
            </w:pPr>
            <w:r>
              <w:t xml:space="preserve">0.757 / 0.909 / 0.972 / 0.976</w:t>
            </w:r>
          </w:p>
        </w:tc>
        <w:tc>
          <w:tcPr/>
          <w:p>
            <w:pPr>
              <w:pStyle w:val="Compact"/>
              <w:jc w:val="left"/>
            </w:pPr>
            <w:r>
              <w:t xml:space="preserve">0.051 / 0.022 / 0.004 / 0.003</w:t>
            </w:r>
          </w:p>
        </w:tc>
        <w:tc>
          <w:tcPr/>
          <w:p>
            <w:pPr>
              <w:pStyle w:val="Compact"/>
              <w:jc w:val="left"/>
            </w:pPr>
            <w:r>
              <w:t xml:space="preserve">0.440 / 0.353 / 0.338 / 0.314</w:t>
            </w:r>
          </w:p>
        </w:tc>
      </w:tr>
      <w:tr>
        <w:tc>
          <w:tcPr/>
          <w:p>
            <w:pPr>
              <w:pStyle w:val="Compact"/>
              <w:jc w:val="left"/>
            </w:pPr>
            <w:r>
              <w:t xml:space="preserve">− predicates D1, D2</w:t>
            </w:r>
          </w:p>
        </w:tc>
        <w:tc>
          <w:tcPr/>
          <w:p>
            <w:pPr>
              <w:pStyle w:val="Compact"/>
              <w:jc w:val="left"/>
            </w:pPr>
            <w:r>
              <w:t xml:space="preserve">—</w:t>
            </w:r>
          </w:p>
        </w:tc>
        <w:tc>
          <w:tcPr/>
          <w:p>
            <w:pPr>
              <w:pStyle w:val="Compact"/>
              <w:jc w:val="left"/>
            </w:pPr>
            <w:r>
              <w:t xml:space="preserve">0.226</w:t>
            </w:r>
          </w:p>
        </w:tc>
        <w:tc>
          <w:tcPr/>
          <w:p>
            <w:pPr>
              <w:pStyle w:val="Compact"/>
              <w:jc w:val="left"/>
            </w:pPr>
            <w:r>
              <w:t xml:space="preserve">0.973</w:t>
            </w:r>
          </w:p>
        </w:tc>
        <w:tc>
          <w:tcPr/>
          <w:p>
            <w:pPr>
              <w:pStyle w:val="Compact"/>
              <w:jc w:val="left"/>
            </w:pPr>
            <w:r>
              <w:t xml:space="preserve">0.004</w:t>
            </w:r>
          </w:p>
        </w:tc>
        <w:tc>
          <w:tcPr/>
          <w:p>
            <w:pPr>
              <w:pStyle w:val="Compact"/>
              <w:jc w:val="left"/>
            </w:pPr>
            <w:r>
              <w:t xml:space="preserve">0.314</w:t>
            </w:r>
          </w:p>
        </w:tc>
      </w:tr>
    </w:tbl>
    <w:p>
      <w:pPr>
        <w:pStyle w:val="BodyText"/>
      </w:pPr>
      <w:r>
        <w:t xml:space="preserve">Findings, worded as what was and was not observed:</w:t>
      </w:r>
    </w:p>
    <w:p>
      <w:pPr>
        <w:numPr>
          <w:ilvl w:val="0"/>
          <w:numId w:val="1184"/>
        </w:numPr>
        <w:pStyle w:val="Compact"/>
      </w:pPr>
      <w:r>
        <w:rPr>
          <w:bCs/>
          <w:b/>
        </w:rPr>
        <w:t xml:space="preserve">Action evidence</w:t>
      </w:r>
      <w:r>
        <w:t xml:space="preserve"> </w:t>
      </w:r>
      <w:r>
        <w:t xml:space="preserve">carries most of the discrimination: without it, held-out ROC-AUC falls from 0.938 to 0.799 and average precision from 0.719 to 0.367.</w:t>
      </w:r>
    </w:p>
    <w:p>
      <w:pPr>
        <w:numPr>
          <w:ilvl w:val="0"/>
          <w:numId w:val="1184"/>
        </w:numPr>
        <w:pStyle w:val="Compact"/>
      </w:pPr>
      <w:r>
        <w:rPr>
          <w:bCs/>
          <w:b/>
        </w:rPr>
        <w:t xml:space="preserve">Context evidence.</w:t>
      </w:r>
      <w:r>
        <w:t xml:space="preserve"> </w:t>
      </w:r>
      <w:r>
        <w:t xml:space="preserve">No improvement from the instruction-pattern indicator was observed. This concerns that indicator only; the pre-trained injection classifier x^ctx₁ was not tested, so nothing is concluded about context evidence in general.</w:t>
      </w:r>
    </w:p>
    <w:p>
      <w:pPr>
        <w:numPr>
          <w:ilvl w:val="0"/>
          <w:numId w:val="1184"/>
        </w:numPr>
        <w:pStyle w:val="Compact"/>
      </w:pPr>
      <w:r>
        <w:rPr>
          <w:bCs/>
          <w:b/>
        </w:rPr>
        <w:t xml:space="preserve">Behavioral evidence.</w:t>
      </w:r>
      <w:r>
        <w:t xml:space="preserve"> </w:t>
      </w:r>
      <w:r>
        <w:t xml:space="preserve">No security improvement was observed, and removing it raised replay benign utility by 10.5 points. The firing rates show why (</w:t>
      </w:r>
      <w:r>
        <w:rPr>
          <w:rStyle w:val="VerbatimChar"/>
        </w:rPr>
        <w:t xml:space="preserve">feature_firing_rates.json</w:t>
      </w:r>
      <w:r>
        <w:t xml:space="preserve">):</w:t>
      </w:r>
    </w:p>
    <w:p>
      <w:pPr>
        <w:numPr>
          <w:ilvl w:val="1"/>
          <w:numId w:val="1185"/>
        </w:numPr>
        <w:pStyle w:val="Compact"/>
      </w:pPr>
      <w:r>
        <w:t xml:space="preserve">the privilege-escalation indicator x^beh₃ fired on 92% of legitimate state-changing steps in episodes without injection, against 87% of attack steps;</w:t>
      </w:r>
    </w:p>
    <w:p>
      <w:pPr>
        <w:numPr>
          <w:ilvl w:val="1"/>
          <w:numId w:val="1185"/>
        </w:numPr>
        <w:pStyle w:val="Compact"/>
      </w:pPr>
      <w:r>
        <w:t xml:space="preserve">the transition-deviation indicator x^beh₄ fired on 43% of legitimate state-changing steps, against 17% of attack steps. Legitimate tasks held out by user task produce transitions that are absent from the fitting portion’s benign reference.</w:t>
      </w:r>
    </w:p>
    <w:p>
      <w:pPr>
        <w:numPr>
          <w:ilvl w:val="0"/>
          <w:numId w:val="1000"/>
        </w:numPr>
        <w:pStyle w:val="Compact"/>
      </w:pPr>
      <w:r>
        <w:t xml:space="preserve">In this benchmark, therefore, the behavioral features mark legitimate first transfers at least as often as attacks. Whether this holds in other environments is not known.</w:t>
      </w:r>
    </w:p>
    <w:p>
      <w:pPr>
        <w:numPr>
          <w:ilvl w:val="0"/>
          <w:numId w:val="1184"/>
        </w:numPr>
        <w:pStyle w:val="Compact"/>
      </w:pPr>
      <w:r>
        <w:rPr>
          <w:bCs/>
          <w:b/>
        </w:rPr>
        <w:t xml:space="preserve">Calibration and predicates.</w:t>
      </w:r>
      <w:r>
        <w:t xml:space="preserve"> </w:t>
      </w:r>
      <w:r>
        <w:t xml:space="preserve">No material change was observed from removing them. With Π empty, D2 fixed the verdict for 58 steps.</w:t>
      </w:r>
    </w:p>
    <w:p>
      <w:pPr>
        <w:numPr>
          <w:ilvl w:val="0"/>
          <w:numId w:val="1184"/>
        </w:numPr>
        <w:pStyle w:val="Compact"/>
      </w:pPr>
      <w:r>
        <w:rPr>
          <w:bCs/>
          <w:b/>
        </w:rPr>
        <w:t xml:space="preserve">Tiers.</w:t>
      </w:r>
      <w:r>
        <w:t xml:space="preserve"> </w:t>
      </w:r>
      <w:r>
        <w:t xml:space="preserve">The tier map moves the trade-off. A single low tier recovers utility and loses protection; a single high tier does the opposite.</w:t>
      </w:r>
    </w:p>
    <w:p>
      <w:pPr>
        <w:pStyle w:val="FirstParagraph"/>
      </w:pPr>
      <w:r>
        <w:t xml:space="preserve">None of these observations establishes that a component has no benefit in general. They are single-benchmark observations with nine attacked groups.</w:t>
      </w:r>
    </w:p>
    <w:bookmarkEnd w:id="202"/>
    <w:bookmarkStart w:id="203" w:name="X61b5e34e060f233a86f34c9bd24f80cbea663bf"/>
    <w:p>
      <w:pPr>
        <w:pStyle w:val="Heading2"/>
      </w:pPr>
      <w:r>
        <w:t xml:space="preserve">5.8 Optional Sequential Analysis (CUSUM, observe-only)</w:t>
      </w:r>
    </w:p>
    <w:p>
      <w:pPr>
        <w:pStyle w:val="FirstParagraph"/>
      </w:pPr>
      <w:r>
        <w:t xml:space="preserve">The Bernoulli CUSUM was fitted on each fold’s benign fitting episodes (</w:t>
      </w:r>
      <w:r>
        <w:rPr>
          <w:rStyle w:val="VerbatimChar"/>
        </w:rPr>
        <w:t xml:space="preserve">e3_a2_cusum_observe_only.json</w:t>
      </w:r>
      <w:r>
        <w:t xml:space="preserve">):</w:t>
      </w:r>
    </w:p>
    <w:p>
      <w:pPr>
        <w:numPr>
          <w:ilvl w:val="0"/>
          <w:numId w:val="1186"/>
        </w:numPr>
        <w:pStyle w:val="Compact"/>
      </w:pPr>
      <w:r>
        <w:rPr>
          <w:bCs/>
          <w:b/>
        </w:rPr>
        <w:t xml:space="preserve">q₁ = 0.3:</w:t>
      </w:r>
      <w:r>
        <w:t xml:space="preserve"> </w:t>
      </w:r>
      <w:r>
        <w:t xml:space="preserve">it was undefined in all folds, because the estimated pre-change rate (about 0.34) exceeded q₁.</w:t>
      </w:r>
    </w:p>
    <w:p>
      <w:pPr>
        <w:numPr>
          <w:ilvl w:val="0"/>
          <w:numId w:val="1186"/>
        </w:numPr>
        <w:pStyle w:val="Compact"/>
      </w:pPr>
      <w:r>
        <w:rPr>
          <w:bCs/>
          <w:b/>
        </w:rPr>
        <w:t xml:space="preserve">q₁ = 0.5 and 0.7:</w:t>
      </w:r>
    </w:p>
    <w:p>
      <w:pPr>
        <w:numPr>
          <w:ilvl w:val="1"/>
          <w:numId w:val="1187"/>
        </w:numPr>
        <w:pStyle w:val="Compact"/>
      </w:pPr>
      <w:r>
        <w:t xml:space="preserve">an alarm followed the entry of injected content in 74.8% of attacked episodes with a positive step;</w:t>
      </w:r>
    </w:p>
    <w:p>
      <w:pPr>
        <w:numPr>
          <w:ilvl w:val="1"/>
          <w:numId w:val="1187"/>
        </w:numPr>
        <w:pStyle w:val="Compact"/>
      </w:pPr>
      <w:r>
        <w:t xml:space="preserve">it came at or before the first positive step in 42.5–43.8%;</w:t>
      </w:r>
    </w:p>
    <w:p>
      <w:pPr>
        <w:numPr>
          <w:ilvl w:val="1"/>
          <w:numId w:val="1187"/>
        </w:numPr>
        <w:pStyle w:val="Compact"/>
      </w:pPr>
      <w:r>
        <w:t xml:space="preserve">the median delay was 1 step;</w:t>
      </w:r>
    </w:p>
    <w:p>
      <w:pPr>
        <w:numPr>
          <w:ilvl w:val="1"/>
          <w:numId w:val="1187"/>
        </w:numPr>
        <w:pStyle w:val="Compact"/>
      </w:pPr>
      <w:r>
        <w:t xml:space="preserve">the held-out benign false-alarm rate was 0.106, against an in-fold target of 0.05.</w:t>
      </w:r>
    </w:p>
    <w:p>
      <w:pPr>
        <w:pStyle w:val="FirstParagraph"/>
      </w:pPr>
      <w:r>
        <w:t xml:space="preserve">The CUSUM issued no verdicts.</w:t>
      </w:r>
    </w:p>
    <w:bookmarkEnd w:id="203"/>
    <w:bookmarkStart w:id="204" w:name="realized-loss-across-the-declared-grid"/>
    <w:p>
      <w:pPr>
        <w:pStyle w:val="Heading2"/>
      </w:pPr>
      <w:r>
        <w:t xml:space="preserve">5.9 Realized Loss across the Declared Grid</w:t>
      </w:r>
    </w:p>
    <w:p>
      <w:pPr>
        <w:pStyle w:val="FirstParagraph"/>
      </w:pPr>
      <w:r>
        <w:t xml:space="preserve">Realized loss (Eq. 3.22) on held-out steps was computed for 36 loss structures:</w:t>
      </w:r>
    </w:p>
    <w:p>
      <w:pPr>
        <w:numPr>
          <w:ilvl w:val="0"/>
          <w:numId w:val="1188"/>
        </w:numPr>
        <w:pStyle w:val="Compact"/>
      </w:pPr>
      <w:r>
        <w:t xml:space="preserve">C</w:t>
      </w:r>
      <w:r>
        <w:rPr>
          <w:vertAlign w:val="subscript"/>
        </w:rPr>
        <w:t xml:space="preserve">miss</w:t>
      </w:r>
      <w:r>
        <w:t xml:space="preserve"> </w:t>
      </w:r>
      <w:r>
        <w:t xml:space="preserve">multipliers 0.5–5;</w:t>
      </w:r>
    </w:p>
    <w:p>
      <w:pPr>
        <w:numPr>
          <w:ilvl w:val="0"/>
          <w:numId w:val="1188"/>
        </w:numPr>
        <w:pStyle w:val="Compact"/>
      </w:pPr>
      <w:r>
        <w:t xml:space="preserve">C</w:t>
      </w:r>
      <w:r>
        <w:rPr>
          <w:vertAlign w:val="subscript"/>
        </w:rPr>
        <w:t xml:space="preserve">esc</w:t>
      </w:r>
      <w:r>
        <w:t xml:space="preserve"> </w:t>
      </w:r>
      <w:r>
        <w:t xml:space="preserve">0.1–0.6;</w:t>
      </w:r>
    </w:p>
    <w:p>
      <w:pPr>
        <w:numPr>
          <w:ilvl w:val="0"/>
          <w:numId w:val="1188"/>
        </w:numPr>
        <w:pStyle w:val="Compact"/>
      </w:pPr>
      <w:r>
        <w:t xml:space="preserve">amount limits 100–10,000.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Configuration</w:t>
            </w:r>
          </w:p>
        </w:tc>
        <w:tc>
          <w:tcPr/>
          <w:p>
            <w:pPr>
              <w:pStyle w:val="Compact"/>
              <w:jc w:val="left"/>
            </w:pPr>
            <w:r>
              <w:t xml:space="preserve">Realized loss, range over the 36 cells</w:t>
            </w:r>
          </w:p>
        </w:tc>
      </w:tr>
      <w:tr>
        <w:tc>
          <w:tcPr/>
          <w:p>
            <w:pPr>
              <w:pStyle w:val="Compact"/>
              <w:jc w:val="left"/>
            </w:pPr>
            <w:r>
              <w:t xml:space="preserve">REM, matched costs</w:t>
            </w:r>
          </w:p>
        </w:tc>
        <w:tc>
          <w:tcPr/>
          <w:p>
            <w:pPr>
              <w:pStyle w:val="Compact"/>
              <w:jc w:val="left"/>
            </w:pPr>
            <w:r>
              <w:t xml:space="preserve">0.039–0.298</w:t>
            </w:r>
          </w:p>
        </w:tc>
      </w:tr>
      <w:tr>
        <w:tc>
          <w:tcPr/>
          <w:p>
            <w:pPr>
              <w:pStyle w:val="Compact"/>
              <w:jc w:val="left"/>
            </w:pPr>
            <w:r>
              <w:t xml:space="preserve">REM, base costs (misspecified)</w:t>
            </w:r>
          </w:p>
        </w:tc>
        <w:tc>
          <w:tcPr/>
          <w:p>
            <w:pPr>
              <w:pStyle w:val="Compact"/>
              <w:jc w:val="left"/>
            </w:pPr>
            <w:r>
              <w:t xml:space="preserve">0.057–0.324</w:t>
            </w:r>
          </w:p>
        </w:tc>
      </w:tr>
      <w:tr>
        <w:tc>
          <w:tcPr/>
          <w:p>
            <w:pPr>
              <w:pStyle w:val="Compact"/>
              <w:jc w:val="left"/>
            </w:pPr>
            <w:r>
              <w:t xml:space="preserve">B1</w:t>
            </w:r>
          </w:p>
        </w:tc>
        <w:tc>
          <w:tcPr/>
          <w:p>
            <w:pPr>
              <w:pStyle w:val="Compact"/>
              <w:jc w:val="left"/>
            </w:pPr>
            <w:r>
              <w:t xml:space="preserve">0.303–3.261</w:t>
            </w:r>
          </w:p>
        </w:tc>
      </w:tr>
    </w:tbl>
    <w:p>
      <w:pPr>
        <w:pStyle w:val="BodyText"/>
      </w:pPr>
      <w:r>
        <w:t xml:space="preserve">REM’s loss was below B1’s in every cell, also when misspecified. Matched costs gave lower realized loss than misspecified costs in 34 of 36 cells.</w:t>
      </w:r>
    </w:p>
    <w:p>
      <w:pPr>
        <w:pStyle w:val="BodyText"/>
      </w:pPr>
      <w:r>
        <w:t xml:space="preserve">The comparison favors REM by construction. The grid cell α</w:t>
      </w:r>
      <w:r>
        <w:rPr>
          <w:vertAlign w:val="subscript"/>
        </w:rPr>
        <w:t xml:space="preserve">blk</w:t>
      </w:r>
      <w:r>
        <w:t xml:space="preserve"> </w:t>
      </w:r>
      <w:r>
        <w:t xml:space="preserve">= 0.05 is not evaluable, because the pre-registered α</w:t>
      </w:r>
      <w:r>
        <w:rPr>
          <w:vertAlign w:val="subscript"/>
        </w:rPr>
        <w:t xml:space="preserve">mod</w:t>
      </w:r>
      <w:r>
        <w:t xml:space="preserve"> </w:t>
      </w:r>
      <w:r>
        <w:t xml:space="preserve">= 0.05 must exceed α</w:t>
      </w:r>
      <w:r>
        <w:rPr>
          <w:vertAlign w:val="subscript"/>
        </w:rPr>
        <w:t xml:space="preserve">blk</w:t>
      </w:r>
      <w:r>
        <w:t xml:space="preserve">.</w:t>
      </w:r>
    </w:p>
    <w:bookmarkEnd w:id="204"/>
    <w:bookmarkStart w:id="205" w:name="X66cd39d5b1d30f1c848bcf3390bb9f1d13fa553"/>
    <w:p>
      <w:pPr>
        <w:pStyle w:val="Heading2"/>
      </w:pPr>
      <w:r>
        <w:t xml:space="preserve">5.10 Labels, the user_task_15 Collision and Benchmark Versions</w:t>
      </w:r>
    </w:p>
    <w:p>
      <w:pPr>
        <w:pStyle w:val="FirstParagraph"/>
      </w:pPr>
      <w:r>
        <w:rPr>
          <w:bCs/>
          <w:b/>
        </w:rPr>
        <w:t xml:space="preserve">Primary and post-hoc analyses are kept separate.</w:t>
      </w:r>
      <w:r>
        <w:t xml:space="preserve"> </w:t>
      </w:r>
      <w:r>
        <w:t xml:space="preserve">All results above use the pre-registered label rule with amendment AM-1.</w:t>
      </w:r>
    </w:p>
    <w:p>
      <w:pPr>
        <w:pStyle w:val="BodyText"/>
      </w:pPr>
      <w:r>
        <w:rPr>
          <w:bCs/>
          <w:b/>
        </w:rPr>
        <w:t xml:space="preserve">The collision.</w:t>
      </w:r>
      <w:r>
        <w:t xml:space="preserve"> </w:t>
      </w:r>
      <w:r>
        <w:t xml:space="preserve">In suite versions v1 and v1.1, user_task_15 asks the agent to pay a landlord whose account is also the attacker account of every injection task. The benchmark changed this from v1.1.1. Sixteen of the 21 recorded backbones used the earlier prompt. The label-relevant definitions of the nine injection tasks are identical in every suite version from v1 to v1.2.2, so labels are consistent across the mixed recordings.</w:t>
      </w:r>
    </w:p>
    <w:p>
      <w:pPr>
        <w:pStyle w:val="BodyText"/>
      </w:pPr>
      <w:r>
        <w:rPr>
          <w:bCs/>
          <w:b/>
        </w:rPr>
        <w:t xml:space="preserve">Post-hoc analysis.</w:t>
      </w:r>
      <w:r>
        <w:t xml:space="preserve"> </w:t>
      </w:r>
      <w:r>
        <w:t xml:space="preserve">29 positive steps in user_task_15 episodes are ambiguous, 19 of them with no injected content in the context. All of REM’s residual replay ASR comes from these episodes. A post-hoc analysis that excludes user_task_15 gives REM ASR 0.000 and held-out ROC-AUC 0.952 (</w:t>
      </w:r>
      <w:r>
        <w:rPr>
          <w:rStyle w:val="VerbatimChar"/>
        </w:rPr>
        <w:t xml:space="preserve">sensitivity_post_hoc_exclude_user_task_15.json</w:t>
      </w:r>
      <w:r>
        <w:t xml:space="preserve">). It is reported for transparency and does not replace the primary result.</w:t>
      </w:r>
    </w:p>
    <w:p>
      <w:pPr>
        <w:pStyle w:val="BodyText"/>
      </w:pPr>
      <w:r>
        <w:rPr>
          <w:bCs/>
          <w:b/>
        </w:rPr>
        <w:t xml:space="preserve">Label audit.</w:t>
      </w:r>
    </w:p>
    <w:p>
      <w:pPr>
        <w:numPr>
          <w:ilvl w:val="0"/>
          <w:numId w:val="1189"/>
        </w:numPr>
        <w:pStyle w:val="Compact"/>
      </w:pPr>
      <w:r>
        <w:rPr>
          <w:bCs/>
          <w:b/>
        </w:rPr>
        <w:t xml:space="preserve">AI inspection only so far.</w:t>
      </w:r>
      <w:r>
        <w:t xml:space="preserve"> </w:t>
      </w:r>
      <w:r>
        <w:t xml:space="preserve">A sample of 30 attacked episodes was inspected by the AI assistant that assisted this work, not by a human: 29 labels agreed with the trace, and one was a likely false negative (an attacker-directed transfer through a tool other than the reference tool).</w:t>
      </w:r>
    </w:p>
    <w:p>
      <w:pPr>
        <w:numPr>
          <w:ilvl w:val="0"/>
          <w:numId w:val="1189"/>
        </w:numPr>
        <w:pStyle w:val="Compact"/>
      </w:pPr>
      <w:r>
        <w:rPr>
          <w:bCs/>
          <w:b/>
        </w:rPr>
        <w:t xml:space="preserve">Human audit package.</w:t>
      </w:r>
      <w:r>
        <w:t xml:space="preserve"> </w:t>
      </w:r>
      <w:r>
        <w:t xml:space="preserve">A package for human annotation has been prepared (</w:t>
      </w:r>
      <w:r>
        <w:rPr>
          <w:rStyle w:val="VerbatimChar"/>
        </w:rPr>
        <w:t xml:space="preserve">results/pilot_R2/label_audit_human_package.csv</w:t>
      </w:r>
      <w:r>
        <w:t xml:space="preserve">, with instructions). It contains 145 items:</w:t>
      </w:r>
    </w:p>
    <w:p>
      <w:pPr>
        <w:numPr>
          <w:ilvl w:val="1"/>
          <w:numId w:val="1190"/>
        </w:numPr>
        <w:pStyle w:val="Compact"/>
      </w:pPr>
      <w:r>
        <w:t xml:space="preserve">a random sample of 30 attacked episodes;</w:t>
      </w:r>
    </w:p>
    <w:p>
      <w:pPr>
        <w:numPr>
          <w:ilvl w:val="1"/>
          <w:numId w:val="1190"/>
        </w:numPr>
        <w:pStyle w:val="Compact"/>
      </w:pPr>
      <w:r>
        <w:t xml:space="preserve">all 29 ambiguous user_task_15 positives;</w:t>
      </w:r>
    </w:p>
    <w:p>
      <w:pPr>
        <w:numPr>
          <w:ilvl w:val="1"/>
          <w:numId w:val="1190"/>
        </w:numPr>
        <w:pStyle w:val="Compact"/>
      </w:pPr>
      <w:r>
        <w:t xml:space="preserve">19 steps carrying an attacker value but labelled 0;</w:t>
      </w:r>
    </w:p>
    <w:p>
      <w:pPr>
        <w:numPr>
          <w:ilvl w:val="1"/>
          <w:numId w:val="1190"/>
        </w:numPr>
        <w:pStyle w:val="Compact"/>
      </w:pPr>
      <w:r>
        <w:t xml:space="preserve">4 steps from episodes with recorded success but no positive label;</w:t>
      </w:r>
    </w:p>
    <w:p>
      <w:pPr>
        <w:numPr>
          <w:ilvl w:val="1"/>
          <w:numId w:val="1190"/>
        </w:numPr>
        <w:pStyle w:val="Compact"/>
      </w:pPr>
      <w:r>
        <w:t xml:space="preserve">23 positive steps from episodes without recorded success.</w:t>
      </w:r>
    </w:p>
    <w:p>
      <w:pPr>
        <w:pStyle w:val="FirstParagraph"/>
      </w:pPr>
      <w:r>
        <w:rPr>
          <w:bCs/>
          <w:b/>
        </w:rPr>
        <w:t xml:space="preserve">The human audit has not been performed.</w:t>
      </w:r>
    </w:p>
    <w:bookmarkEnd w:id="205"/>
    <w:bookmarkStart w:id="206" w:name="X93045bcbb19b63067cd053082be9318b6534057"/>
    <w:p>
      <w:pPr>
        <w:pStyle w:val="Heading2"/>
      </w:pPr>
      <w:r>
        <w:t xml:space="preserve">5.11 Distributed Defenses (Recorded Outcomes Only)</w:t>
      </w:r>
    </w:p>
    <w:p>
      <w:pPr>
        <w:pStyle w:val="FirstParagraph"/>
      </w:pPr>
      <w:r>
        <w:t xml:space="preserve">For orientation, the recorded outcomes of four defenses distributed with the benchmark, on gpt-4o (</w:t>
      </w:r>
      <w:r>
        <w:rPr>
          <w:rStyle w:val="VerbatimChar"/>
        </w:rPr>
        <w:t xml:space="preserve">e4_cross_template_and_defenses.json</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Defense</w:t>
            </w:r>
          </w:p>
        </w:tc>
        <w:tc>
          <w:tcPr/>
          <w:p>
            <w:pPr>
              <w:pStyle w:val="Compact"/>
              <w:jc w:val="left"/>
            </w:pPr>
            <w:r>
              <w:t xml:space="preserve">ASR</w:t>
            </w:r>
          </w:p>
        </w:tc>
        <w:tc>
          <w:tcPr/>
          <w:p>
            <w:pPr>
              <w:pStyle w:val="Compact"/>
              <w:jc w:val="left"/>
            </w:pPr>
            <w:r>
              <w:t xml:space="preserve">Benign utility</w:t>
            </w:r>
          </w:p>
        </w:tc>
      </w:tr>
      <w:tr>
        <w:tc>
          <w:tcPr/>
          <w:p>
            <w:pPr>
              <w:pStyle w:val="Compact"/>
              <w:jc w:val="left"/>
            </w:pPr>
            <w:r>
              <w:t xml:space="preserve">tool_filter</w:t>
            </w:r>
          </w:p>
        </w:tc>
        <w:tc>
          <w:tcPr/>
          <w:p>
            <w:pPr>
              <w:pStyle w:val="Compact"/>
              <w:jc w:val="left"/>
            </w:pPr>
            <w:r>
              <w:t xml:space="preserve">0.112</w:t>
            </w:r>
          </w:p>
        </w:tc>
        <w:tc>
          <w:tcPr/>
          <w:p>
            <w:pPr>
              <w:pStyle w:val="Compact"/>
              <w:jc w:val="left"/>
            </w:pPr>
            <w:r>
              <w:t xml:space="preserve">0.81</w:t>
            </w:r>
          </w:p>
        </w:tc>
      </w:tr>
      <w:tr>
        <w:tc>
          <w:tcPr/>
          <w:p>
            <w:pPr>
              <w:pStyle w:val="Compact"/>
              <w:jc w:val="left"/>
            </w:pPr>
            <w:r>
              <w:t xml:space="preserve">transformers_pi_detector</w:t>
            </w:r>
          </w:p>
        </w:tc>
        <w:tc>
          <w:tcPr/>
          <w:p>
            <w:pPr>
              <w:pStyle w:val="Compact"/>
              <w:jc w:val="left"/>
            </w:pPr>
            <w:r>
              <w:t xml:space="preserve">0.007</w:t>
            </w:r>
          </w:p>
        </w:tc>
        <w:tc>
          <w:tcPr/>
          <w:p>
            <w:pPr>
              <w:pStyle w:val="Compact"/>
              <w:jc w:val="left"/>
            </w:pPr>
            <w:r>
              <w:t xml:space="preserve">0.44</w:t>
            </w:r>
          </w:p>
        </w:tc>
      </w:tr>
      <w:tr>
        <w:tc>
          <w:tcPr/>
          <w:p>
            <w:pPr>
              <w:pStyle w:val="Compact"/>
              <w:jc w:val="left"/>
            </w:pPr>
            <w:r>
              <w:t xml:space="preserve">repeat_user_prompt</w:t>
            </w:r>
          </w:p>
        </w:tc>
        <w:tc>
          <w:tcPr/>
          <w:p>
            <w:pPr>
              <w:pStyle w:val="Compact"/>
              <w:jc w:val="left"/>
            </w:pPr>
            <w:r>
              <w:t xml:space="preserve">0.462</w:t>
            </w:r>
          </w:p>
        </w:tc>
        <w:tc>
          <w:tcPr/>
          <w:p>
            <w:pPr>
              <w:pStyle w:val="Compact"/>
              <w:jc w:val="left"/>
            </w:pPr>
            <w:r>
              <w:t xml:space="preserve">0.94</w:t>
            </w:r>
          </w:p>
        </w:tc>
      </w:tr>
      <w:tr>
        <w:tc>
          <w:tcPr/>
          <w:p>
            <w:pPr>
              <w:pStyle w:val="Compact"/>
              <w:jc w:val="left"/>
            </w:pPr>
            <w:r>
              <w:t xml:space="preserve">spotlighting_with_delimiting</w:t>
            </w:r>
          </w:p>
        </w:tc>
        <w:tc>
          <w:tcPr/>
          <w:p>
            <w:pPr>
              <w:pStyle w:val="Compact"/>
              <w:jc w:val="left"/>
            </w:pPr>
            <w:r>
              <w:t xml:space="preserve">0.615</w:t>
            </w:r>
          </w:p>
        </w:tc>
        <w:tc>
          <w:tcPr/>
          <w:p>
            <w:pPr>
              <w:pStyle w:val="Compact"/>
              <w:jc w:val="left"/>
            </w:pPr>
            <w:r>
              <w:t xml:space="preserve">0.81</w:t>
            </w:r>
          </w:p>
        </w:tc>
      </w:tr>
    </w:tbl>
    <w:p>
      <w:pPr>
        <w:pStyle w:val="BodyText"/>
      </w:pPr>
      <w:r>
        <w:t xml:space="preserve">These are recorded outcomes, possibly under different suite versions, and were not replayed.</w:t>
      </w:r>
      <w:r>
        <w:t xml:space="preserve"> </w:t>
      </w:r>
      <w:r>
        <w:rPr>
          <w:bCs/>
          <w:b/>
        </w:rPr>
        <w:t xml:space="preserve">They are not a controlled comparison with REM</w:t>
      </w:r>
      <w:r>
        <w:t xml:space="preserve"> </w:t>
      </w:r>
      <w:r>
        <w:t xml:space="preserve">and are not used as one.</w:t>
      </w:r>
    </w:p>
    <w:bookmarkEnd w:id="206"/>
    <w:bookmarkStart w:id="207" w:name="summary-by-research-question"/>
    <w:p>
      <w:pPr>
        <w:pStyle w:val="Heading2"/>
      </w:pPr>
      <w:r>
        <w:t xml:space="preserve">5.12 Summary by Research Question</w:t>
      </w:r>
    </w:p>
    <w:p>
      <w:pPr>
        <w:pStyle w:val="FirstParagraph"/>
      </w:pPr>
      <w:r>
        <w:rPr>
          <w:bCs/>
          <w:b/>
        </w:rPr>
        <w:t xml:space="preserve">Table 5.12. Evidence summary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RQ</w:t>
            </w:r>
          </w:p>
        </w:tc>
        <w:tc>
          <w:tcPr/>
          <w:p>
            <w:pPr>
              <w:pStyle w:val="Compact"/>
              <w:jc w:val="left"/>
            </w:pPr>
            <w:r>
              <w:t xml:space="preserve">Kind of evidence</w:t>
            </w:r>
          </w:p>
        </w:tc>
        <w:tc>
          <w:tcPr/>
          <w:p>
            <w:pPr>
              <w:pStyle w:val="Compact"/>
              <w:jc w:val="left"/>
            </w:pPr>
            <w:r>
              <w:t xml:space="preserve">What was observed</w:t>
            </w:r>
          </w:p>
        </w:tc>
        <w:tc>
          <w:tcPr/>
          <w:p>
            <w:pPr>
              <w:pStyle w:val="Compact"/>
              <w:jc w:val="left"/>
            </w:pPr>
            <w:r>
              <w:t xml:space="preserve">Not shown</w:t>
            </w:r>
          </w:p>
        </w:tc>
      </w:tr>
      <w:tr>
        <w:tc>
          <w:tcPr/>
          <w:p>
            <w:pPr>
              <w:pStyle w:val="Compact"/>
              <w:jc w:val="left"/>
            </w:pPr>
            <w:r>
              <w:t xml:space="preserve">RQ1</w:t>
            </w:r>
          </w:p>
        </w:tc>
        <w:tc>
          <w:tcPr/>
          <w:p>
            <w:pPr>
              <w:pStyle w:val="Compact"/>
              <w:jc w:val="left"/>
            </w:pPr>
            <w:r>
              <w:t xml:space="preserve">Held-out predictions</w:t>
            </w:r>
          </w:p>
        </w:tc>
        <w:tc>
          <w:tcPr/>
          <w:p>
            <w:pPr>
              <w:pStyle w:val="Compact"/>
              <w:jc w:val="left"/>
            </w:pPr>
            <w:r>
              <w:t xml:space="preserve">ROC-AUC 0.94 overall; 0.86–0.98 per held-out attacker objective; 0.92–0.96 on other templates; 0.74–1.00 per held-out backbone. ECE 0.044, degraded on the unseen credential-change category. No calibration improvement observed</w:t>
            </w:r>
          </w:p>
        </w:tc>
        <w:tc>
          <w:tcPr/>
          <w:p>
            <w:pPr>
              <w:pStyle w:val="Compact"/>
              <w:jc w:val="left"/>
            </w:pPr>
            <w:r>
              <w:t xml:space="preserve">Performance on other benchmarks or live agents</w:t>
            </w:r>
          </w:p>
        </w:tc>
      </w:tr>
      <w:tr>
        <w:tc>
          <w:tcPr/>
          <w:p>
            <w:pPr>
              <w:pStyle w:val="Compact"/>
              <w:jc w:val="left"/>
            </w:pPr>
            <w:r>
              <w:t xml:space="preserve">RQ2</w:t>
            </w:r>
          </w:p>
        </w:tc>
        <w:tc>
          <w:tcPr/>
          <w:p>
            <w:pPr>
              <w:pStyle w:val="Compact"/>
              <w:jc w:val="left"/>
            </w:pPr>
            <w:r>
              <w:t xml:space="preserve">Observe-only decisions; replay</w:t>
            </w:r>
          </w:p>
        </w:tc>
        <w:tc>
          <w:tcPr/>
          <w:p>
            <w:pPr>
              <w:pStyle w:val="Compact"/>
              <w:jc w:val="left"/>
            </w:pPr>
            <w:r>
              <w:t xml:space="preserve">REM intervened on more attack steps than B1 and on many more legitimate state-changing steps. The difference stems mainly from tier-indexed costs, not from the escalation option. In replay, REM’s ASR was lower than B1’s (mostly credential and payment attacks), at a utility cost of −18 to −20 points without a reviewer and about 0 with an oracle reviewer</w:t>
            </w:r>
          </w:p>
        </w:tc>
        <w:tc>
          <w:tcPr/>
          <w:p>
            <w:pPr>
              <w:pStyle w:val="Compact"/>
              <w:jc w:val="left"/>
            </w:pPr>
            <w:r>
              <w:t xml:space="preserve">Enforcement against live or adaptive agents</w:t>
            </w:r>
          </w:p>
        </w:tc>
      </w:tr>
      <w:tr>
        <w:tc>
          <w:tcPr/>
          <w:p>
            <w:pPr>
              <w:pStyle w:val="Compact"/>
              <w:jc w:val="left"/>
            </w:pPr>
            <w:r>
              <w:t xml:space="preserve">RQ3</w:t>
            </w:r>
          </w:p>
        </w:tc>
        <w:tc>
          <w:tcPr/>
          <w:p>
            <w:pPr>
              <w:pStyle w:val="Compact"/>
              <w:jc w:val="left"/>
            </w:pPr>
            <w:r>
              <w:t xml:space="preserve">Replay; runtime measurement</w:t>
            </w:r>
          </w:p>
        </w:tc>
        <w:tc>
          <w:tcPr/>
          <w:p>
            <w:pPr>
              <w:pStyle w:val="Compact"/>
              <w:jc w:val="left"/>
            </w:pPr>
            <w:r>
              <w:t xml:space="preserve">r</w:t>
            </w:r>
            <w:r>
              <w:rPr>
                <w:vertAlign w:val="subscript"/>
              </w:rPr>
              <w:t xml:space="preserve">mod</w:t>
            </w:r>
            <w:r>
              <w:t xml:space="preserve"> </w:t>
            </w:r>
            <w:r>
              <w:t xml:space="preserve">and residual ASR ≈ 0 under NO-ADAPT (assumption-driven); escalation 19.6% of steps; REM processing below 0.6 ms per step at p95 in this configuration</w:t>
            </w:r>
          </w:p>
        </w:tc>
        <w:tc>
          <w:tcPr/>
          <w:p>
            <w:pPr>
              <w:pStyle w:val="Compact"/>
              <w:jc w:val="left"/>
            </w:pPr>
            <w:r>
              <w:t xml:space="preserve">Residual success of live agents after Modify; full-system latency</w:t>
            </w:r>
          </w:p>
        </w:tc>
      </w:tr>
      <w:tr>
        <w:tc>
          <w:tcPr/>
          <w:p>
            <w:pPr>
              <w:pStyle w:val="Compact"/>
              <w:jc w:val="left"/>
            </w:pPr>
            <w:r>
              <w:t xml:space="preserve">RQ4</w:t>
            </w:r>
          </w:p>
        </w:tc>
        <w:tc>
          <w:tcPr/>
          <w:p>
            <w:pPr>
              <w:pStyle w:val="Compact"/>
              <w:jc w:val="left"/>
            </w:pPr>
            <w:r>
              <w:t xml:space="preserve">Held-out predictions; observe-only; replay</w:t>
            </w:r>
          </w:p>
        </w:tc>
        <w:tc>
          <w:tcPr/>
          <w:p>
            <w:pPr>
              <w:pStyle w:val="Compact"/>
              <w:jc w:val="left"/>
            </w:pPr>
            <w:r>
              <w:t xml:space="preserve">Action evidence dominates. No improvement observed from the instruction-pattern indicator or from behavioral evidence, which lowered utility. Tiers drive the trade-off</w:t>
            </w:r>
          </w:p>
        </w:tc>
        <w:tc>
          <w:tcPr/>
          <w:p>
            <w:pPr>
              <w:pStyle w:val="Compact"/>
              <w:jc w:val="left"/>
            </w:pPr>
            <w:r>
              <w:t xml:space="preserve">General claims about context or behavioral evidence</w:t>
            </w:r>
          </w:p>
        </w:tc>
      </w:tr>
    </w:tbl>
    <w:bookmarkEnd w:id="207"/>
    <w:bookmarkStart w:id="208" w:name="references-4"/>
    <w:p>
      <w:pPr>
        <w:pStyle w:val="Heading2"/>
      </w:pPr>
      <w:r>
        <w:t xml:space="preserve">References</w:t>
      </w:r>
    </w:p>
    <w:p>
      <w:pPr>
        <w:pStyle w:val="FirstParagraph"/>
      </w:pPr>
      <w:r>
        <w:t xml:space="preserve">Debenedetti, E., Zhang, J., Balunović, M., Beurer-Kellner, L., Fischer, M., &amp; Tramèr, F. (2024). AgentDojo: A dynamic environment to evaluate prompt injection attacks and defenses for LLM agents. In</w:t>
      </w:r>
      <w:r>
        <w:t xml:space="preserve"> </w:t>
      </w:r>
      <w:r>
        <w:rPr>
          <w:iCs/>
          <w:i/>
        </w:rPr>
        <w:t xml:space="preserve">Advances in Neural Information Processing Systems 37</w:t>
      </w:r>
      <w:r>
        <w:t xml:space="preserve">. https://doi.org/10.52202/079017-2636</w:t>
      </w:r>
    </w:p>
    <w:p>
      <w:pPr>
        <w:pStyle w:val="BodyText"/>
      </w:pPr>
      <w:r>
        <w:t xml:space="preserve">Efron, B. (1979). Bootstrap methods: Another look at the jackknife.</w:t>
      </w:r>
      <w:r>
        <w:t xml:space="preserve"> </w:t>
      </w:r>
      <w:r>
        <w:rPr>
          <w:iCs/>
          <w:i/>
        </w:rPr>
        <w:t xml:space="preserve">The Annals of Statistics, 7</w:t>
      </w:r>
      <w:r>
        <w:t xml:space="preserve">(1), 1–26. https://doi.org/10.1214/aos/1176344552</w:t>
      </w:r>
    </w:p>
    <w:p>
      <w:pPr>
        <w:pStyle w:val="BodyText"/>
      </w:pPr>
      <w:r>
        <w:t xml:space="preserve">Guo, C., Pleiss, G., Sun, Y., &amp; Weinberger, K. Q. (2017). On calibration of modern neural networks. In</w:t>
      </w:r>
      <w:r>
        <w:t xml:space="preserve"> </w:t>
      </w:r>
      <w:r>
        <w:rPr>
          <w:iCs/>
          <w:i/>
        </w:rPr>
        <w:t xml:space="preserve">Proceedings of the 34th International Conference on Machine Learning</w:t>
      </w:r>
      <w:r>
        <w:t xml:space="preserve"> </w:t>
      </w:r>
      <w:r>
        <w:t xml:space="preserve">(Vol. 70, pp. 1321–1330). PMLR.</w:t>
      </w:r>
    </w:p>
    <w:p>
      <w:pPr>
        <w:pStyle w:val="BodyText"/>
      </w:pPr>
      <w:r>
        <w:t xml:space="preserve">Naeini, M. P., Cooper, G., &amp; Hauskrecht, M. (2015). Obtaining well calibrated probabilities using Bayesian binning.</w:t>
      </w:r>
      <w:r>
        <w:t xml:space="preserve"> </w:t>
      </w:r>
      <w:r>
        <w:rPr>
          <w:iCs/>
          <w:i/>
        </w:rPr>
        <w:t xml:space="preserve">Proceedings of the AAAI Conference on Artificial Intelligence, 29</w:t>
      </w:r>
      <w:r>
        <w:t xml:space="preserve">(1). https://doi.org/10.1609/aaai.v29i1.9602</w:t>
      </w:r>
    </w:p>
    <w:bookmarkEnd w:id="208"/>
    <w:bookmarkEnd w:id="209"/>
    <w:bookmarkStart w:id="210" w:name="chapter-six"/>
    <w:p>
      <w:pPr>
        <w:pStyle w:val="Heading1"/>
      </w:pPr>
      <w:r>
        <w:t xml:space="preserve">CHAPTER SIX</w:t>
      </w:r>
    </w:p>
    <w:bookmarkEnd w:id="210"/>
    <w:bookmarkStart w:id="223" w:name="X435abf360a59d408ec597aa850f32630959af35"/>
    <w:p>
      <w:pPr>
        <w:pStyle w:val="Heading1"/>
      </w:pPr>
      <w:r>
        <w:t xml:space="preserve">DISCUSSION, CONTRIBUTIONS, LIMITATIONS, AND CONCLUSION</w:t>
      </w:r>
    </w:p>
    <w:p>
      <w:pPr>
        <w:pStyle w:val="FirstParagraph"/>
      </w:pPr>
      <w:r>
        <w:t xml:space="preserve">This chapter interprets the exploratory evaluation of Chapter 5. Each conclusion is linked to the result that supports it and to the limit of that result. Section 5.1 defines the kinds of evidence: held-out prediction, observe-only decision, replay result; no live run was executed.</w:t>
      </w:r>
    </w:p>
    <w:bookmarkStart w:id="215" w:name="interpretation-of-the-findings"/>
    <w:p>
      <w:pPr>
        <w:pStyle w:val="Heading2"/>
      </w:pPr>
      <w:r>
        <w:t xml:space="preserve">6.1 Interpretation of the Findings</w:t>
      </w:r>
    </w:p>
    <w:bookmarkStart w:id="211" w:name="what-the-evidence-supports"/>
    <w:p>
      <w:pPr>
        <w:pStyle w:val="Heading3"/>
      </w:pPr>
      <w:r>
        <w:t xml:space="preserve">6.1.1 What the evidence supports</w:t>
      </w:r>
    </w:p>
    <w:p>
      <w:pPr>
        <w:pStyle w:val="FirstParagraph"/>
      </w:pPr>
      <w:r>
        <w:rPr>
          <w:bCs/>
          <w:b/>
        </w:rPr>
        <w:t xml:space="preserve">Table 6.1. Conclusions, their support and their limits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Conclusion</w:t>
            </w:r>
          </w:p>
        </w:tc>
        <w:tc>
          <w:tcPr/>
          <w:p>
            <w:pPr>
              <w:pStyle w:val="Compact"/>
              <w:jc w:val="left"/>
            </w:pPr>
            <w:r>
              <w:t xml:space="preserve">Supporting result</w:t>
            </w:r>
          </w:p>
        </w:tc>
        <w:tc>
          <w:tcPr/>
          <w:p>
            <w:pPr>
              <w:pStyle w:val="Compact"/>
              <w:jc w:val="left"/>
            </w:pPr>
            <w:r>
              <w:t xml:space="preserve">Limit</w:t>
            </w:r>
          </w:p>
        </w:tc>
      </w:tr>
      <w:tr>
        <w:tc>
          <w:tcPr/>
          <w:p>
            <w:pPr>
              <w:pStyle w:val="Compact"/>
              <w:jc w:val="left"/>
            </w:pPr>
            <w:r>
              <w:t xml:space="preserve">1</w:t>
            </w:r>
          </w:p>
        </w:tc>
        <w:tc>
          <w:tcPr/>
          <w:p>
            <w:pPr>
              <w:pStyle w:val="Compact"/>
              <w:jc w:val="left"/>
            </w:pPr>
            <w:r>
              <w:t xml:space="preserve">REM can be placed at the tool-execution boundary of a benchmark agent without modifying the agent’s model, prompts or tools</w:t>
            </w:r>
          </w:p>
        </w:tc>
        <w:tc>
          <w:tcPr/>
          <w:p>
            <w:pPr>
              <w:pStyle w:val="Compact"/>
              <w:jc w:val="left"/>
            </w:pPr>
            <w:r>
              <w:t xml:space="preserve">Integration tests; replay of 3,313 episodes reproducing recorded outcomes (Chapter 4, Section 4.11.2)</w:t>
            </w:r>
          </w:p>
        </w:tc>
        <w:tc>
          <w:tcPr/>
          <w:p>
            <w:pPr>
              <w:pStyle w:val="Compact"/>
              <w:jc w:val="left"/>
            </w:pPr>
            <w:r>
              <w:t xml:space="preserve">Placement requires control of the tool executor (Chapter 4, Section 4.9); not shown in a production framework</w:t>
            </w:r>
          </w:p>
        </w:tc>
      </w:tr>
      <w:tr>
        <w:tc>
          <w:tcPr/>
          <w:p>
            <w:pPr>
              <w:pStyle w:val="Compact"/>
              <w:jc w:val="left"/>
            </w:pPr>
            <w:r>
              <w:t xml:space="preserve">2</w:t>
            </w:r>
          </w:p>
        </w:tc>
        <w:tc>
          <w:tcPr/>
          <w:p>
            <w:pPr>
              <w:pStyle w:val="Compact"/>
              <w:jc w:val="left"/>
            </w:pPr>
            <w:r>
              <w:t xml:space="preserve">Evidence available at the tool boundary separates attack attempts from legitimate calls on attacker objectives, templates and backbones not seen in fitting</w:t>
            </w:r>
          </w:p>
        </w:tc>
        <w:tc>
          <w:tcPr/>
          <w:p>
            <w:pPr>
              <w:pStyle w:val="Compact"/>
              <w:jc w:val="left"/>
            </w:pPr>
            <w:r>
              <w:t xml:space="preserve">Held-out ROC-AUC 0.938 [0.908, 0.961]; 0.92–0.96 on other templates; 0.74–1.00 per held-out backbone (Section 5.4)</w:t>
            </w:r>
          </w:p>
        </w:tc>
        <w:tc>
          <w:tcPr/>
          <w:p>
            <w:pPr>
              <w:pStyle w:val="Compact"/>
              <w:jc w:val="left"/>
            </w:pPr>
            <w:r>
              <w:t xml:space="preserve">One benchmark, one attacker account, labels that are a proxy; destination novelty is easier here than in practice</w:t>
            </w:r>
          </w:p>
        </w:tc>
      </w:tr>
      <w:tr>
        <w:tc>
          <w:tcPr/>
          <w:p>
            <w:pPr>
              <w:pStyle w:val="Compact"/>
              <w:jc w:val="left"/>
            </w:pPr>
            <w:r>
              <w:t xml:space="preserve">3</w:t>
            </w:r>
          </w:p>
        </w:tc>
        <w:tc>
          <w:tcPr/>
          <w:p>
            <w:pPr>
              <w:pStyle w:val="Compact"/>
              <w:jc w:val="left"/>
            </w:pPr>
            <w:r>
              <w:t xml:space="preserve">Action evidence carries most of this separation</w:t>
            </w:r>
          </w:p>
        </w:tc>
        <w:tc>
          <w:tcPr/>
          <w:p>
            <w:pPr>
              <w:pStyle w:val="Compact"/>
              <w:jc w:val="left"/>
            </w:pPr>
            <w:r>
              <w:t xml:space="preserve">Without action evidence, ROC-AUC falls to 0.799 and AP to 0.367 (Section 5.7)</w:t>
            </w:r>
          </w:p>
        </w:tc>
        <w:tc>
          <w:tcPr/>
          <w:p>
            <w:pPr>
              <w:pStyle w:val="Compact"/>
              <w:jc w:val="left"/>
            </w:pPr>
            <w:r>
              <w:t xml:space="preserve">Single benchmark; nine attacked groups</w:t>
            </w:r>
          </w:p>
        </w:tc>
      </w:tr>
      <w:tr>
        <w:tc>
          <w:tcPr/>
          <w:p>
            <w:pPr>
              <w:pStyle w:val="Compact"/>
              <w:jc w:val="left"/>
            </w:pPr>
            <w:r>
              <w:t xml:space="preserve">4</w:t>
            </w:r>
          </w:p>
        </w:tc>
        <w:tc>
          <w:tcPr/>
          <w:p>
            <w:pPr>
              <w:pStyle w:val="Compact"/>
              <w:jc w:val="left"/>
            </w:pPr>
            <w:r>
              <w:t xml:space="preserve">With the pre-registered costs, tier-indexed expected-loss verdicts intervene on far more legitimate state-changing actions than the baseline, mainly because of the low thresholds the costs imply at high tiers, not because of the escalation option</w:t>
            </w:r>
          </w:p>
        </w:tc>
        <w:tc>
          <w:tcPr/>
          <w:p>
            <w:pPr>
              <w:pStyle w:val="Compact"/>
              <w:jc w:val="left"/>
            </w:pPr>
            <w:r>
              <w:t xml:space="preserve">Observe-only: 33 vs 132 of 180 benign state-changing steps released; REM without expected-loss Escalate releases 48 (Section 5.5)</w:t>
            </w:r>
          </w:p>
        </w:tc>
        <w:tc>
          <w:tcPr/>
          <w:p>
            <w:pPr>
              <w:pStyle w:val="Compact"/>
              <w:jc w:val="left"/>
            </w:pPr>
            <w:r>
              <w:t xml:space="preserve">Costs are declared, not elicited; another cost structure gives another trade-off (Section 5.9)</w:t>
            </w:r>
          </w:p>
        </w:tc>
      </w:tr>
      <w:tr>
        <w:tc>
          <w:tcPr/>
          <w:p>
            <w:pPr>
              <w:pStyle w:val="Compact"/>
              <w:jc w:val="left"/>
            </w:pPr>
            <w:r>
              <w:t xml:space="preserve">5</w:t>
            </w:r>
          </w:p>
        </w:tc>
        <w:tc>
          <w:tcPr/>
          <w:p>
            <w:pPr>
              <w:pStyle w:val="Compact"/>
              <w:jc w:val="left"/>
            </w:pPr>
            <w:r>
              <w:t xml:space="preserve">Within the replay assumption, REM withholds more recorded attack attempts than the baseline, at a utility cost that depends on how escalations are resolved</w:t>
            </w:r>
          </w:p>
        </w:tc>
        <w:tc>
          <w:tcPr/>
          <w:p>
            <w:pPr>
              <w:pStyle w:val="Compact"/>
              <w:jc w:val="left"/>
            </w:pPr>
            <w:r>
              <w:t xml:space="preserve">ΔASR −0.051 [−0.130, −0.007]; Δbenign utility −0.195 without a reviewer and +0.003 with an oracle reviewer (Section 5.6)</w:t>
            </w:r>
          </w:p>
        </w:tc>
        <w:tc>
          <w:tcPr/>
          <w:p>
            <w:pPr>
              <w:pStyle w:val="Compact"/>
              <w:jc w:val="left"/>
            </w:pPr>
            <w:r>
              <w:t xml:space="preserve">NO-ADAPT; replay is a proposed scope amendment; most of the ASR difference comes from two single-task attack categories</w:t>
            </w:r>
          </w:p>
        </w:tc>
      </w:tr>
    </w:tbl>
    <w:bookmarkEnd w:id="211"/>
    <w:bookmarkStart w:id="212" w:name="why-benign-utility-falls"/>
    <w:p>
      <w:pPr>
        <w:pStyle w:val="Heading3"/>
      </w:pPr>
      <w:r>
        <w:t xml:space="preserve">6.1.2 Why benign utility falls</w:t>
      </w:r>
    </w:p>
    <w:p>
      <w:pPr>
        <w:pStyle w:val="FirstParagraph"/>
      </w:pPr>
      <w:r>
        <w:t xml:space="preserve">The fall in benign utility has two sources, and the evaluation separates them.</w:t>
      </w:r>
    </w:p>
    <w:p>
      <w:pPr>
        <w:pStyle w:val="BodyText"/>
      </w:pPr>
      <w:r>
        <w:rPr>
          <w:bCs/>
          <w:b/>
        </w:rPr>
        <w:t xml:space="preserve">Low thresholds at high tiers.</w:t>
      </w:r>
      <w:r>
        <w:t xml:space="preserve"> </w:t>
      </w:r>
      <w:r>
        <w:t xml:space="preserve">With C</w:t>
      </w:r>
      <w:r>
        <w:rPr>
          <w:vertAlign w:val="subscript"/>
        </w:rPr>
        <w:t xml:space="preserve">miss</w:t>
      </w:r>
      <w:r>
        <w:t xml:space="preserve"> </w:t>
      </w:r>
      <w:r>
        <w:t xml:space="preserve">up to twenty times C</w:t>
      </w:r>
      <w:r>
        <w:rPr>
          <w:vertAlign w:val="subscript"/>
        </w:rPr>
        <w:t xml:space="preserve">FA</w:t>
      </w:r>
      <w:r>
        <w:t xml:space="preserve">, the Allow–Block indifference point at tier 4 is 1/21 (Eq. 3.9). A probability as low as 0.05 is enough to withhold a transfer above the limit, a payment modification or a credential change. Legitimate actions of these kinds in this benchmark often carry the same action evidence as attacks; for example, a recipient read from a tool output rather than stated in the request. They therefore cross the threshold.</w:t>
      </w:r>
    </w:p>
    <w:p>
      <w:pPr>
        <w:pStyle w:val="BodyText"/>
      </w:pPr>
      <w:r>
        <w:rPr>
          <w:bCs/>
          <w:b/>
        </w:rPr>
        <w:t xml:space="preserve">Where the verdict sends them.</w:t>
      </w:r>
      <w:r>
        <w:t xml:space="preserve"> </w:t>
      </w:r>
      <w:r>
        <w:t xml:space="preserve">The withheld actions are mostly escalated. Without a reviewer an escalation is a withheld action, so utility falls. The comparison with REM without expected-loss Escalate shows that removing the option does not recover the utility: the same actions are then withheld through Modify. The utility cost is therefore a consequence of the declared costs and of the evidence, not of escalation as such.</w:t>
      </w:r>
    </w:p>
    <w:p>
      <w:pPr>
        <w:pStyle w:val="BodyText"/>
      </w:pPr>
      <w:r>
        <w:rPr>
          <w:bCs/>
          <w:b/>
        </w:rPr>
        <w:t xml:space="preserve">What a reviewer would change.</w:t>
      </w:r>
      <w:r>
        <w:t xml:space="preserve"> </w:t>
      </w:r>
      <w:r>
        <w:t xml:space="preserve">An escalation is worth something only if someone resolves it. With an oracle reviewer the utility cost disappears, which bounds what a perfect reviewer could recover. A real reviewer would recover less, at some delay and cost. The thesis does not model that reviewer.</w:t>
      </w:r>
    </w:p>
    <w:bookmarkEnd w:id="212"/>
    <w:bookmarkStart w:id="213" w:name="X53464e9489e273c62331591e8dc9a8bd3f2dd97"/>
    <w:p>
      <w:pPr>
        <w:pStyle w:val="Heading3"/>
      </w:pPr>
      <w:r>
        <w:t xml:space="preserve">6.1.3 Why behavioral evidence did not help, and calibration did not change outcomes</w:t>
      </w:r>
    </w:p>
    <w:p>
      <w:pPr>
        <w:pStyle w:val="FirstParagraph"/>
      </w:pPr>
      <w:r>
        <w:rPr>
          <w:bCs/>
          <w:b/>
        </w:rPr>
        <w:t xml:space="preserve">Behavioral evidence.</w:t>
      </w:r>
      <w:r>
        <w:t xml:space="preserve"> </w:t>
      </w:r>
      <w:r>
        <w:t xml:space="preserve">The behavioral indicators are not specific to attacks in this benchmark:</w:t>
      </w:r>
    </w:p>
    <w:p>
      <w:pPr>
        <w:numPr>
          <w:ilvl w:val="0"/>
          <w:numId w:val="1191"/>
        </w:numPr>
        <w:pStyle w:val="Compact"/>
      </w:pPr>
      <w:r>
        <w:rPr>
          <w:iCs/>
          <w:i/>
        </w:rPr>
        <w:t xml:space="preserve">privilege escalation</w:t>
      </w:r>
      <w:r>
        <w:t xml:space="preserve"> </w:t>
      </w:r>
      <w:r>
        <w:t xml:space="preserve">fired on 92% of legitimate state-changing steps, because a user’s first transfer is, by definition, the first use of a higher-privilege tool;</w:t>
      </w:r>
    </w:p>
    <w:p>
      <w:pPr>
        <w:numPr>
          <w:ilvl w:val="0"/>
          <w:numId w:val="1191"/>
        </w:numPr>
        <w:pStyle w:val="Compact"/>
      </w:pPr>
      <w:r>
        <w:rPr>
          <w:iCs/>
          <w:i/>
        </w:rPr>
        <w:t xml:space="preserve">transition deviation</w:t>
      </w:r>
      <w:r>
        <w:t xml:space="preserve"> </w:t>
      </w:r>
      <w:r>
        <w:t xml:space="preserve">fired more often on legitimate steps (43%) than on attacks (17%), because legitimate tasks held out from fitting produce unseen transitions.</w:t>
      </w:r>
    </w:p>
    <w:p>
      <w:pPr>
        <w:pStyle w:val="FirstParagraph"/>
      </w:pPr>
      <w:r>
        <w:t xml:space="preserve">The estimator gave these features positive weight. In the decision they therefore added to the probability of legitimate high-tier actions, and removing them recovered utility without a measured change in attack success. This is an observation about these features in this benchmark, with short trajectories. It does not show that behavioral evidence is useless elsewhere.</w:t>
      </w:r>
    </w:p>
    <w:p>
      <w:pPr>
        <w:pStyle w:val="BodyText"/>
      </w:pPr>
      <w:r>
        <w:rPr>
          <w:bCs/>
          <w:b/>
        </w:rPr>
        <w:t xml:space="preserve">Calibration.</w:t>
      </w:r>
      <w:r>
        <w:t xml:space="preserve"> </w:t>
      </w:r>
      <w:r>
        <w:t xml:space="preserve">Calibration did not change outcomes for two reasons:</w:t>
      </w:r>
    </w:p>
    <w:p>
      <w:pPr>
        <w:numPr>
          <w:ilvl w:val="0"/>
          <w:numId w:val="1192"/>
        </w:numPr>
        <w:pStyle w:val="Compact"/>
      </w:pPr>
      <w:r>
        <w:t xml:space="preserve">logistic regression fitted by penalized likelihood was already close to calibrated on in-distribution folds, so the fitted map was close to the identity;</w:t>
      </w:r>
    </w:p>
    <w:p>
      <w:pPr>
        <w:numPr>
          <w:ilvl w:val="0"/>
          <w:numId w:val="1192"/>
        </w:numPr>
        <w:pStyle w:val="Compact"/>
      </w:pPr>
      <w:r>
        <w:t xml:space="preserve">the one fold where calibration mattered, the unseen credential-change attack, was miscalibrated in a way a monotone map fitted on other attack categories cannot repair.</w:t>
      </w:r>
    </w:p>
    <w:p>
      <w:pPr>
        <w:pStyle w:val="FirstParagraph"/>
      </w:pPr>
      <w:r>
        <w:t xml:space="preserve">This agrees with the position, taken in Chapter 3, that calibration quality and control quality must be reported separately (C. Zhang et al., 2026).</w:t>
      </w:r>
    </w:p>
    <w:bookmarkEnd w:id="213"/>
    <w:bookmarkStart w:id="214" w:name="what-the-evidence-does-not-support"/>
    <w:p>
      <w:pPr>
        <w:pStyle w:val="Heading3"/>
      </w:pPr>
      <w:r>
        <w:t xml:space="preserve">6.1.4 What the evidence does not support</w:t>
      </w:r>
    </w:p>
    <w:p>
      <w:pPr>
        <w:numPr>
          <w:ilvl w:val="0"/>
          <w:numId w:val="1193"/>
        </w:numPr>
        <w:pStyle w:val="Compact"/>
      </w:pPr>
      <w:r>
        <w:rPr>
          <w:bCs/>
          <w:b/>
        </w:rPr>
        <w:t xml:space="preserve">That REM protects live agents.</w:t>
      </w:r>
      <w:r>
        <w:t xml:space="preserve"> </w:t>
      </w:r>
      <w:r>
        <w:t xml:space="preserve">Under replay a withheld call does not reappear. A live agent can retry, rephrase or reach the goal through another tool. The near-zero replay ASR and the near-zero residual success after Modify are consequences of that assumption.</w:t>
      </w:r>
    </w:p>
    <w:p>
      <w:pPr>
        <w:numPr>
          <w:ilvl w:val="0"/>
          <w:numId w:val="1193"/>
        </w:numPr>
        <w:pStyle w:val="Compact"/>
      </w:pPr>
      <w:r>
        <w:rPr>
          <w:bCs/>
          <w:b/>
        </w:rPr>
        <w:t xml:space="preserve">That REM is deployable as configured.</w:t>
      </w:r>
      <w:r>
        <w:t xml:space="preserve"> </w:t>
      </w:r>
      <w:r>
        <w:t xml:space="preserve">Without a reviewer, benign utility on state-changing tasks fell from 0.47 to 0.17 in replay.</w:t>
      </w:r>
    </w:p>
    <w:p>
      <w:pPr>
        <w:numPr>
          <w:ilvl w:val="0"/>
          <w:numId w:val="1193"/>
        </w:numPr>
        <w:pStyle w:val="Compact"/>
      </w:pPr>
      <w:r>
        <w:rPr>
          <w:bCs/>
          <w:b/>
        </w:rPr>
        <w:t xml:space="preserve">That REM is superior to the baseline or to other defenses.</w:t>
      </w:r>
    </w:p>
    <w:p>
      <w:pPr>
        <w:numPr>
          <w:ilvl w:val="1"/>
          <w:numId w:val="1194"/>
        </w:numPr>
        <w:pStyle w:val="Compact"/>
      </w:pPr>
      <w:r>
        <w:t xml:space="preserve">The realized-loss comparison favors REM by construction.</w:t>
      </w:r>
    </w:p>
    <w:p>
      <w:pPr>
        <w:numPr>
          <w:ilvl w:val="1"/>
          <w:numId w:val="1194"/>
        </w:numPr>
        <w:pStyle w:val="Compact"/>
      </w:pPr>
      <w:r>
        <w:t xml:space="preserve">The comparison with distributed defenses is not controlled.</w:t>
      </w:r>
    </w:p>
    <w:p>
      <w:pPr>
        <w:numPr>
          <w:ilvl w:val="1"/>
          <w:numId w:val="1194"/>
        </w:numPr>
        <w:pStyle w:val="Compact"/>
      </w:pPr>
      <w:r>
        <w:t xml:space="preserve">Most of the ASR difference from the baseline comes from single-task attack categories.</w:t>
      </w:r>
    </w:p>
    <w:p>
      <w:pPr>
        <w:numPr>
          <w:ilvl w:val="0"/>
          <w:numId w:val="1193"/>
        </w:numPr>
        <w:pStyle w:val="Compact"/>
      </w:pPr>
      <w:r>
        <w:rPr>
          <w:bCs/>
          <w:b/>
        </w:rPr>
        <w:t xml:space="preserve">Anything about the injection classifier</w:t>
      </w:r>
      <w:r>
        <w:t xml:space="preserve">, which was not available, or about adaptive attackers, who were out of scope.</w:t>
      </w:r>
    </w:p>
    <w:bookmarkEnd w:id="214"/>
    <w:bookmarkEnd w:id="215"/>
    <w:bookmarkStart w:id="216" w:name="achievement-of-the-objectives"/>
    <w:p>
      <w:pPr>
        <w:pStyle w:val="Heading2"/>
      </w:pPr>
      <w:r>
        <w:t xml:space="preserve">6.2 Achievement of the Objectives</w:t>
      </w:r>
    </w:p>
    <w:p>
      <w:pPr>
        <w:pStyle w:val="FirstParagraph"/>
      </w:pPr>
      <w:r>
        <w:rPr>
          <w:bCs/>
          <w:b/>
        </w:rPr>
        <w:t xml:space="preserve">Table 6.2. Objectives and how far they were achieved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Objective</w:t>
            </w:r>
          </w:p>
        </w:tc>
        <w:tc>
          <w:tcPr/>
          <w:p>
            <w:pPr>
              <w:pStyle w:val="Compact"/>
              <w:jc w:val="left"/>
            </w:pPr>
            <w:r>
              <w:t xml:space="preserve">Achieved</w:t>
            </w:r>
          </w:p>
        </w:tc>
        <w:tc>
          <w:tcPr/>
          <w:p>
            <w:pPr>
              <w:pStyle w:val="Compact"/>
              <w:jc w:val="left"/>
            </w:pPr>
            <w:r>
              <w:t xml:space="preserve">Not achieved</w:t>
            </w:r>
          </w:p>
        </w:tc>
      </w:tr>
      <w:tr>
        <w:tc>
          <w:tcPr/>
          <w:p>
            <w:pPr>
              <w:pStyle w:val="Compact"/>
              <w:jc w:val="left"/>
            </w:pPr>
            <w:r>
              <w:rPr>
                <w:bCs/>
                <w:b/>
              </w:rPr>
              <w:t xml:space="preserve">O1.</w:t>
            </w:r>
            <w:r>
              <w:t xml:space="preserve"> </w:t>
            </w:r>
            <w:r>
              <w:t xml:space="preserve">Design a REM framework for financial AI agents’ and task automation agents’ security</w:t>
            </w:r>
          </w:p>
        </w:tc>
        <w:tc>
          <w:tcPr/>
          <w:p>
            <w:pPr>
              <w:pStyle w:val="Compact"/>
              <w:jc w:val="left"/>
            </w:pPr>
            <w:r>
              <w:t xml:space="preserve">Designed (Chapter 3) and implemented (Chapter 4) for a financial (banking) agent; design values declared for exploration</w:t>
            </w:r>
          </w:p>
        </w:tc>
        <w:tc>
          <w:tcPr/>
          <w:p>
            <w:pPr>
              <w:pStyle w:val="Compact"/>
              <w:jc w:val="left"/>
            </w:pPr>
            <w:r>
              <w:t xml:space="preserve">Supervisor-approved design values; any task-automation setting; the injection classifier</w:t>
            </w:r>
          </w:p>
        </w:tc>
      </w:tr>
      <w:tr>
        <w:tc>
          <w:tcPr/>
          <w:p>
            <w:pPr>
              <w:pStyle w:val="Compact"/>
              <w:jc w:val="left"/>
            </w:pPr>
            <w:r>
              <w:rPr>
                <w:bCs/>
                <w:b/>
              </w:rPr>
              <w:t xml:space="preserve">O2.</w:t>
            </w:r>
            <w:r>
              <w:t xml:space="preserve"> </w:t>
            </w:r>
            <w:r>
              <w:t xml:space="preserve">Evaluate the framework against adversarial attacks</w:t>
            </w:r>
          </w:p>
        </w:tc>
        <w:tc>
          <w:tcPr/>
          <w:p>
            <w:pPr>
              <w:pStyle w:val="Compact"/>
              <w:jc w:val="left"/>
            </w:pPr>
            <w:r>
              <w:t xml:space="preserve">Exploratory evaluation on recorded attacks against 21 real agents: offline classification, observe-only decisions, replay sensitivity (Chapter 5)</w:t>
            </w:r>
          </w:p>
        </w:tc>
        <w:tc>
          <w:tcPr/>
          <w:p>
            <w:pPr>
              <w:pStyle w:val="Compact"/>
              <w:jc w:val="left"/>
            </w:pPr>
            <w:r>
              <w:t xml:space="preserve">Enforcing-mode evaluation with live agents; repeated runs; human label audit; adaptive attacks</w:t>
            </w:r>
          </w:p>
        </w:tc>
      </w:tr>
      <w:tr>
        <w:tc>
          <w:tcPr/>
          <w:p>
            <w:pPr>
              <w:pStyle w:val="Compact"/>
              <w:jc w:val="left"/>
            </w:pPr>
            <w:r>
              <w:rPr>
                <w:bCs/>
                <w:b/>
              </w:rPr>
              <w:t xml:space="preserve">O3.</w:t>
            </w:r>
            <w:r>
              <w:t xml:space="preserve"> </w:t>
            </w:r>
            <w:r>
              <w:t xml:space="preserve">Compare performance with existing security approaches</w:t>
            </w:r>
          </w:p>
        </w:tc>
        <w:tc>
          <w:tcPr/>
          <w:p>
            <w:pPr>
              <w:pStyle w:val="Compact"/>
              <w:jc w:val="left"/>
            </w:pPr>
            <w:r>
              <w:t xml:space="preserve">Controlled comparison with a same-estimator baseline (B1) and a same-escalation-opportunity variant; recorded outcomes of four distributed defenses for orientation</w:t>
            </w:r>
          </w:p>
        </w:tc>
        <w:tc>
          <w:tcPr/>
          <w:p>
            <w:pPr>
              <w:pStyle w:val="Compact"/>
              <w:jc w:val="left"/>
            </w:pPr>
            <w:r>
              <w:t xml:space="preserve">A controlled comparison with any published defense (NEXUS, AgentTrust, FinHarness or the distributed defenses) on a shared protocol</w:t>
            </w:r>
          </w:p>
        </w:tc>
      </w:tr>
    </w:tbl>
    <w:p>
      <w:pPr>
        <w:pStyle w:val="BodyText"/>
      </w:pPr>
      <w:r>
        <w:t xml:space="preserve">O1 is achieved for the banking setting. O2 and O3 are partly achieved: the evidence is exploratory, and the decisive experiment, enforcement with live agents, was not run.</w:t>
      </w:r>
    </w:p>
    <w:bookmarkEnd w:id="216"/>
    <w:bookmarkStart w:id="217" w:name="comparison-with-prior-work"/>
    <w:p>
      <w:pPr>
        <w:pStyle w:val="Heading2"/>
      </w:pPr>
      <w:r>
        <w:t xml:space="preserve">6.3 Comparison with Prior Work</w:t>
      </w:r>
    </w:p>
    <w:p>
      <w:pPr>
        <w:pStyle w:val="FirstParagraph"/>
      </w:pPr>
      <w:r>
        <w:t xml:space="preserve">The comparison restates design positions documented in Chapter 2 and does not rank systems, because no shared evaluation exists. Properties marked U in Chapter 2 are unverified.</w:t>
      </w:r>
    </w:p>
    <w:p>
      <w:pPr>
        <w:pStyle w:val="BodyText"/>
      </w:pPr>
      <w:r>
        <w:rPr>
          <w:bCs/>
          <w:b/>
        </w:rPr>
        <w:t xml:space="preserve">Table 6.3. Design-level comparison with the closest prior work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System</w:t>
            </w:r>
          </w:p>
        </w:tc>
        <w:tc>
          <w:tcPr/>
          <w:p>
            <w:pPr>
              <w:pStyle w:val="Compact"/>
              <w:jc w:val="left"/>
            </w:pPr>
            <w:r>
              <w:t xml:space="preserve">Documented design (Chapter 2; verification level)</w:t>
            </w:r>
          </w:p>
        </w:tc>
        <w:tc>
          <w:tcPr/>
          <w:p>
            <w:pPr>
              <w:pStyle w:val="Compact"/>
              <w:jc w:val="left"/>
            </w:pPr>
            <w:r>
              <w:t xml:space="preserve">Relation to REM</w:t>
            </w:r>
          </w:p>
        </w:tc>
      </w:tr>
      <w:tr>
        <w:tc>
          <w:tcPr/>
          <w:p>
            <w:pPr>
              <w:pStyle w:val="Compact"/>
              <w:jc w:val="left"/>
            </w:pPr>
            <w:r>
              <w:t xml:space="preserve">NEXUS (Hossain et al., 2026)</w:t>
            </w:r>
          </w:p>
        </w:tc>
        <w:tc>
          <w:tcPr/>
          <w:p>
            <w:pPr>
              <w:pStyle w:val="Compact"/>
              <w:jc w:val="left"/>
            </w:pPr>
            <w:r>
              <w:t xml:space="preserve">Structured-plan monitor; formal policy over allow, block, confirm and revise; rules, argument inspection and a calibrated logistic risk score (A). Fixed intervention costs and a rule-first cascade (U)</w:t>
            </w:r>
          </w:p>
        </w:tc>
        <w:tc>
          <w:tcPr/>
          <w:p>
            <w:pPr>
              <w:pStyle w:val="Compact"/>
              <w:jc w:val="left"/>
            </w:pPr>
            <w:r>
              <w:t xml:space="preserve">Shares calibrated logistic scoring and a four-way intervention set. REM evaluates each call during execution, in an executable banking environment. The difference in decision rule rests partly on unverified evidence</w:t>
            </w:r>
          </w:p>
        </w:tc>
      </w:tr>
      <w:tr>
        <w:tc>
          <w:tcPr/>
          <w:p>
            <w:pPr>
              <w:pStyle w:val="Compact"/>
              <w:jc w:val="left"/>
            </w:pPr>
            <w:r>
              <w:t xml:space="preserve">AgentTrust (C. Yang, 2026)</w:t>
            </w:r>
          </w:p>
        </w:tc>
        <w:tc>
          <w:tcPr/>
          <w:p>
            <w:pPr>
              <w:pStyle w:val="Compact"/>
              <w:jc w:val="left"/>
            </w:pPr>
            <w:r>
              <w:t xml:space="preserve">Pre-execution interception; allow, warn, block and review; normalizer, chain detection and LLM judge (A)</w:t>
            </w:r>
          </w:p>
        </w:tc>
        <w:tc>
          <w:tcPr/>
          <w:p>
            <w:pPr>
              <w:pStyle w:val="Compact"/>
              <w:jc w:val="left"/>
            </w:pPr>
            <w:r>
              <w:t xml:space="preserve">Shares interception and a review verdict. REM uses a calibrated probability and declared losses</w:t>
            </w:r>
          </w:p>
        </w:tc>
      </w:tr>
      <w:tr>
        <w:tc>
          <w:tcPr/>
          <w:p>
            <w:pPr>
              <w:pStyle w:val="Compact"/>
              <w:jc w:val="left"/>
            </w:pPr>
            <w:r>
              <w:t xml:space="preserve">SafeAgent (H. Liu et al., 2026)</w:t>
            </w:r>
          </w:p>
        </w:tc>
        <w:tc>
          <w:tcPr/>
          <w:p>
            <w:pPr>
              <w:pStyle w:val="Compact"/>
              <w:jc w:val="left"/>
            </w:pPr>
            <w:r>
              <w:t xml:space="preserve">Runtime controller; decision core with operators for risk, utility-cost, consequence and arbitration (A); LLM realization (U)</w:t>
            </w:r>
          </w:p>
        </w:tc>
        <w:tc>
          <w:tcPr/>
          <w:p>
            <w:pPr>
              <w:pStyle w:val="Compact"/>
              <w:jc w:val="left"/>
            </w:pPr>
            <w:r>
              <w:t xml:space="preserve">REM’s verdict is a closed-form rule</w:t>
            </w:r>
          </w:p>
        </w:tc>
      </w:tr>
      <w:tr>
        <w:tc>
          <w:tcPr/>
          <w:p>
            <w:pPr>
              <w:pStyle w:val="Compact"/>
              <w:jc w:val="left"/>
            </w:pPr>
            <w:r>
              <w:t xml:space="preserve">ProvenanceGuard (She et al., 2026)</w:t>
            </w:r>
          </w:p>
        </w:tc>
        <w:tc>
          <w:tcPr/>
          <w:p>
            <w:pPr>
              <w:pStyle w:val="Compact"/>
              <w:jc w:val="left"/>
            </w:pPr>
            <w:r>
              <w:t xml:space="preserve">Checks whether a proposed call is supported by traceable evidence in context; peer-reviewed (A)</w:t>
            </w:r>
          </w:p>
        </w:tc>
        <w:tc>
          <w:tcPr/>
          <w:p>
            <w:pPr>
              <w:pStyle w:val="Compact"/>
              <w:jc w:val="left"/>
            </w:pPr>
            <w:r>
              <w:t xml:space="preserve">REM’s argument-provenance feature asks the same question; in REM’s evaluation such action evidence carried most of the separation</w:t>
            </w:r>
          </w:p>
        </w:tc>
      </w:tr>
      <w:tr>
        <w:tc>
          <w:tcPr/>
          <w:p>
            <w:pPr>
              <w:pStyle w:val="Compact"/>
              <w:jc w:val="left"/>
            </w:pPr>
            <w:r>
              <w:t xml:space="preserve">H.-H. Chen (2026)</w:t>
            </w:r>
          </w:p>
        </w:tc>
        <w:tc>
          <w:tcPr/>
          <w:p>
            <w:pPr>
              <w:pStyle w:val="Compact"/>
              <w:jc w:val="left"/>
            </w:pPr>
            <w:r>
              <w:t xml:space="preserve">Prices the consequence of side-effecting actions against reserve capital (A)</w:t>
            </w:r>
          </w:p>
        </w:tc>
        <w:tc>
          <w:tcPr/>
          <w:p>
            <w:pPr>
              <w:pStyle w:val="Compact"/>
              <w:jc w:val="left"/>
            </w:pPr>
            <w:r>
              <w:t xml:space="preserve">REM combines consequence with an estimated probability</w:t>
            </w:r>
          </w:p>
        </w:tc>
      </w:tr>
      <w:tr>
        <w:tc>
          <w:tcPr/>
          <w:p>
            <w:pPr>
              <w:pStyle w:val="Compact"/>
              <w:jc w:val="left"/>
            </w:pPr>
            <w:r>
              <w:t xml:space="preserve">FinHarness (Jia et al., 2026)</w:t>
            </w:r>
          </w:p>
        </w:tc>
        <w:tc>
          <w:tcPr/>
          <w:p>
            <w:pPr>
              <w:pStyle w:val="Compact"/>
              <w:jc w:val="left"/>
            </w:pPr>
            <w:r>
              <w:t xml:space="preserve">Financial-agent monitors and an LLM-judge cascade; results on a benchmark whose preprint was withdrawn for non-scientific reasons (A)</w:t>
            </w:r>
          </w:p>
        </w:tc>
        <w:tc>
          <w:tcPr/>
          <w:p>
            <w:pPr>
              <w:pStyle w:val="Compact"/>
              <w:jc w:val="left"/>
            </w:pPr>
            <w:r>
              <w:t xml:space="preserve">Shares domain and placement; REM is evaluated on an open benchmark</w:t>
            </w:r>
          </w:p>
        </w:tc>
      </w:tr>
      <w:tr>
        <w:tc>
          <w:tcPr/>
          <w:p>
            <w:pPr>
              <w:pStyle w:val="Compact"/>
              <w:jc w:val="left"/>
            </w:pPr>
            <w:r>
              <w:t xml:space="preserve">C. Zhang et al. (2026)</w:t>
            </w:r>
          </w:p>
        </w:tc>
        <w:tc>
          <w:tcPr/>
          <w:p>
            <w:pPr>
              <w:pStyle w:val="Compact"/>
              <w:jc w:val="left"/>
            </w:pPr>
            <w:r>
              <w:t xml:space="preserve">Calibration need not improve control (A)</w:t>
            </w:r>
          </w:p>
        </w:tc>
        <w:tc>
          <w:tcPr/>
          <w:p>
            <w:pPr>
              <w:pStyle w:val="Compact"/>
              <w:jc w:val="left"/>
            </w:pPr>
            <w:r>
              <w:t xml:space="preserve">REM’s evaluation observed no calibration effect on decisions</w:t>
            </w:r>
          </w:p>
        </w:tc>
      </w:tr>
    </w:tbl>
    <w:p>
      <w:pPr>
        <w:pStyle w:val="BodyText"/>
      </w:pPr>
      <w:r>
        <w:t xml:space="preserve">Each mechanism in REM has precedent. The distinguishing elements are the combination and the evaluation design; neither has been compared with these systems on a shared protocol.</w:t>
      </w:r>
    </w:p>
    <w:bookmarkEnd w:id="217"/>
    <w:bookmarkStart w:id="218" w:name="contributions"/>
    <w:p>
      <w:pPr>
        <w:pStyle w:val="Heading2"/>
      </w:pPr>
      <w:r>
        <w:t xml:space="preserve">6.4 Contributions</w:t>
      </w:r>
    </w:p>
    <w:p>
      <w:pPr>
        <w:pStyle w:val="FirstParagraph"/>
      </w:pPr>
      <w:r>
        <w:rPr>
          <w:bCs/>
          <w:b/>
        </w:rPr>
        <w:t xml:space="preserve">Achieved, with their evidence:</w:t>
      </w:r>
    </w:p>
    <w:p>
      <w:pPr>
        <w:numPr>
          <w:ilvl w:val="0"/>
          <w:numId w:val="1195"/>
        </w:numPr>
        <w:pStyle w:val="Compact"/>
      </w:pPr>
      <w:r>
        <w:rPr>
          <w:bCs/>
          <w:b/>
        </w:rPr>
        <w:t xml:space="preserve">A specified and implemented composition.</w:t>
      </w:r>
      <w:r>
        <w:t xml:space="preserve"> </w:t>
      </w:r>
      <w:r>
        <w:t xml:space="preserve">It comprises:</w:t>
      </w:r>
    </w:p>
    <w:p>
      <w:pPr>
        <w:numPr>
          <w:ilvl w:val="1"/>
          <w:numId w:val="1196"/>
        </w:numPr>
        <w:pStyle w:val="Compact"/>
      </w:pPr>
      <w:r>
        <w:t xml:space="preserve">provenance-based evidence;</w:t>
      </w:r>
    </w:p>
    <w:p>
      <w:pPr>
        <w:numPr>
          <w:ilvl w:val="1"/>
          <w:numId w:val="1196"/>
        </w:numPr>
        <w:pStyle w:val="Compact"/>
      </w:pPr>
      <w:r>
        <w:t xml:space="preserve">a ridge estimator calibrated on the logit;</w:t>
      </w:r>
    </w:p>
    <w:p>
      <w:pPr>
        <w:numPr>
          <w:ilvl w:val="1"/>
          <w:numId w:val="1196"/>
        </w:numPr>
        <w:pStyle w:val="Compact"/>
      </w:pPr>
      <w:r>
        <w:t xml:space="preserve">consequence tiers and policy predicates;</w:t>
      </w:r>
    </w:p>
    <w:p>
      <w:pPr>
        <w:numPr>
          <w:ilvl w:val="1"/>
          <w:numId w:val="1196"/>
        </w:numPr>
        <w:pStyle w:val="Compact"/>
      </w:pPr>
      <w:r>
        <w:t xml:space="preserve">a four-verdict expected-loss rule with a feasible set and a dominance check;</w:t>
      </w:r>
    </w:p>
    <w:p>
      <w:pPr>
        <w:numPr>
          <w:ilvl w:val="1"/>
          <w:numId w:val="1196"/>
        </w:numPr>
        <w:pStyle w:val="Compact"/>
      </w:pPr>
      <w:r>
        <w:t xml:space="preserve">deterministic mitigation under two stated semantics;</w:t>
      </w:r>
    </w:p>
    <w:p>
      <w:pPr>
        <w:numPr>
          <w:ilvl w:val="1"/>
          <w:numId w:val="1196"/>
        </w:numPr>
        <w:pStyle w:val="Compact"/>
      </w:pPr>
      <w:r>
        <w:t xml:space="preserve">an audit record whose attribution cannot reach the verdict.</w:t>
      </w:r>
    </w:p>
    <w:p>
      <w:pPr>
        <w:numPr>
          <w:ilvl w:val="0"/>
          <w:numId w:val="1000"/>
        </w:numPr>
        <w:pStyle w:val="Compact"/>
      </w:pPr>
      <w:r>
        <w:t xml:space="preserve">Undeclared design values stop the software.</w:t>
      </w:r>
      <w:r>
        <w:t xml:space="preserve"> </w:t>
      </w:r>
      <w:r>
        <w:rPr>
          <w:iCs/>
          <w:i/>
        </w:rPr>
        <w:t xml:space="preserve">Evidence:</w:t>
      </w:r>
      <w:r>
        <w:t xml:space="preserve"> </w:t>
      </w:r>
      <w:r>
        <w:t xml:space="preserve">Chapters 3–4; 193 tests.</w:t>
      </w:r>
    </w:p>
    <w:p>
      <w:pPr>
        <w:numPr>
          <w:ilvl w:val="0"/>
          <w:numId w:val="1195"/>
        </w:numPr>
        <w:pStyle w:val="Compact"/>
      </w:pPr>
      <w:r>
        <w:rPr>
          <w:bCs/>
          <w:b/>
        </w:rPr>
        <w:t xml:space="preserve">An evaluation protocol that isolates the decision rule.</w:t>
      </w:r>
      <w:r>
        <w:t xml:space="preserve"> </w:t>
      </w:r>
      <w:r>
        <w:t xml:space="preserve">REM, the baseline and the same-escalation variant share the estimator, calibration and predicates. Grouped cross-fitting holds out whole attacker objectives, and every fitted quantity, including the feature set, is fitted within the fold.</w:t>
      </w:r>
      <w:r>
        <w:t xml:space="preserve"> </w:t>
      </w:r>
      <w:r>
        <w:rPr>
          <w:iCs/>
          <w:i/>
        </w:rPr>
        <w:t xml:space="preserve">Evidence:</w:t>
      </w:r>
      <w:r>
        <w:t xml:space="preserve"> </w:t>
      </w:r>
      <w:r>
        <w:t xml:space="preserve">Chapter 5 and its exact reproduction.</w:t>
      </w:r>
    </w:p>
    <w:p>
      <w:pPr>
        <w:numPr>
          <w:ilvl w:val="0"/>
          <w:numId w:val="1195"/>
        </w:numPr>
        <w:pStyle w:val="Compact"/>
      </w:pPr>
      <w:r>
        <w:rPr>
          <w:bCs/>
          <w:b/>
        </w:rPr>
        <w:t xml:space="preserve">Exploratory evidence on recorded real-agent traces.</w:t>
      </w:r>
      <w:r>
        <w:t xml:space="preserve"> </w:t>
      </w:r>
      <w:r>
        <w:t xml:space="preserve">The evidence covers:</w:t>
      </w:r>
    </w:p>
    <w:p>
      <w:pPr>
        <w:numPr>
          <w:ilvl w:val="1"/>
          <w:numId w:val="1197"/>
        </w:numPr>
        <w:pStyle w:val="Compact"/>
      </w:pPr>
      <w:r>
        <w:t xml:space="preserve">discrimination on unseen attacker objectives;</w:t>
      </w:r>
    </w:p>
    <w:p>
      <w:pPr>
        <w:numPr>
          <w:ilvl w:val="1"/>
          <w:numId w:val="1197"/>
        </w:numPr>
        <w:pStyle w:val="Compact"/>
      </w:pPr>
      <w:r>
        <w:t xml:space="preserve">the observed absence of calibration and behavioral-feature benefit;</w:t>
      </w:r>
    </w:p>
    <w:p>
      <w:pPr>
        <w:numPr>
          <w:ilvl w:val="1"/>
          <w:numId w:val="1197"/>
        </w:numPr>
        <w:pStyle w:val="Compact"/>
      </w:pPr>
      <w:r>
        <w:t xml:space="preserve">a quantified protection–utility trade-off and its dependence on reviewer availability and on declared costs.</w:t>
      </w:r>
    </w:p>
    <w:p>
      <w:pPr>
        <w:numPr>
          <w:ilvl w:val="0"/>
          <w:numId w:val="1000"/>
        </w:numPr>
        <w:pStyle w:val="Compact"/>
      </w:pPr>
      <w:r>
        <w:rPr>
          <w:iCs/>
          <w:i/>
        </w:rPr>
        <w:t xml:space="preserve">Evidence:</w:t>
      </w:r>
      <w:r>
        <w:t xml:space="preserve"> </w:t>
      </w:r>
      <w:r>
        <w:t xml:space="preserve">exploratory; one benchmark; no live enforcement.</w:t>
      </w:r>
    </w:p>
    <w:p>
      <w:pPr>
        <w:pStyle w:val="FirstParagraph"/>
      </w:pPr>
      <w:r>
        <w:rPr>
          <w:bCs/>
          <w:b/>
        </w:rPr>
        <w:t xml:space="preserve">Proposed in Chapter 3 but not achieved:</w:t>
      </w:r>
      <w:r>
        <w:t xml:space="preserve"> </w:t>
      </w:r>
      <w:r>
        <w:t xml:space="preserve">an evaluation of enforcement against live agents, which is necessary to support any claim that REM reduces attack success in operation. Until it is run, the central practical claim of the thesis, that tier-indexed expected-loss verdicts reduce financial harm at acceptable utility cost, remains</w:t>
      </w:r>
      <w:r>
        <w:t xml:space="preserve"> </w:t>
      </w:r>
      <w:r>
        <w:rPr>
          <w:bCs/>
          <w:b/>
        </w:rPr>
        <w:t xml:space="preserve">unestablished</w:t>
      </w:r>
      <w:r>
        <w:t xml:space="preserve">.</w:t>
      </w:r>
    </w:p>
    <w:p>
      <w:pPr>
        <w:pStyle w:val="BodyText"/>
      </w:pPr>
      <w:r>
        <w:rPr>
          <w:bCs/>
          <w:b/>
        </w:rPr>
        <w:t xml:space="preserve">Not claimed:</w:t>
      </w:r>
    </w:p>
    <w:p>
      <w:pPr>
        <w:numPr>
          <w:ilvl w:val="0"/>
          <w:numId w:val="1198"/>
        </w:numPr>
        <w:pStyle w:val="Compact"/>
      </w:pPr>
      <w:r>
        <w:t xml:space="preserve">a new learning, calibration or decision-theoretic method;</w:t>
      </w:r>
    </w:p>
    <w:p>
      <w:pPr>
        <w:numPr>
          <w:ilvl w:val="0"/>
          <w:numId w:val="1198"/>
        </w:numPr>
        <w:pStyle w:val="Compact"/>
      </w:pPr>
      <w:r>
        <w:t xml:space="preserve">prevention guarantees;</w:t>
      </w:r>
    </w:p>
    <w:p>
      <w:pPr>
        <w:numPr>
          <w:ilvl w:val="0"/>
          <w:numId w:val="1198"/>
        </w:numPr>
        <w:pStyle w:val="Compact"/>
      </w:pPr>
      <w:r>
        <w:t xml:space="preserve">robustness to adaptive attackers;</w:t>
      </w:r>
    </w:p>
    <w:p>
      <w:pPr>
        <w:numPr>
          <w:ilvl w:val="0"/>
          <w:numId w:val="1198"/>
        </w:numPr>
        <w:pStyle w:val="Compact"/>
      </w:pPr>
      <w:r>
        <w:t xml:space="preserve">operational readiness;</w:t>
      </w:r>
    </w:p>
    <w:p>
      <w:pPr>
        <w:numPr>
          <w:ilvl w:val="0"/>
          <w:numId w:val="1198"/>
        </w:numPr>
        <w:pStyle w:val="Compact"/>
      </w:pPr>
      <w:r>
        <w:t xml:space="preserve">superiority over the systems of Table 6.3.</w:t>
      </w:r>
    </w:p>
    <w:bookmarkEnd w:id="218"/>
    <w:bookmarkStart w:id="219" w:name="limitations"/>
    <w:p>
      <w:pPr>
        <w:pStyle w:val="Heading2"/>
      </w:pPr>
      <w:r>
        <w:t xml:space="preserve">6.5 Limitations</w:t>
      </w:r>
    </w:p>
    <w:p>
      <w:pPr>
        <w:numPr>
          <w:ilvl w:val="0"/>
          <w:numId w:val="1199"/>
        </w:numPr>
        <w:pStyle w:val="Compact"/>
      </w:pPr>
      <w:r>
        <w:rPr>
          <w:bCs/>
          <w:b/>
        </w:rPr>
        <w:t xml:space="preserve">Design status.</w:t>
      </w:r>
      <w:r>
        <w:t xml:space="preserve"> </w:t>
      </w:r>
      <w:r>
        <w:t xml:space="preserve">Costs, tiers, predicates, the feature set and the label rule are declared exploratory values, not approved ones.</w:t>
      </w:r>
    </w:p>
    <w:p>
      <w:pPr>
        <w:numPr>
          <w:ilvl w:val="0"/>
          <w:numId w:val="1199"/>
        </w:numPr>
        <w:pStyle w:val="Compact"/>
      </w:pPr>
      <w:r>
        <w:rPr>
          <w:bCs/>
          <w:b/>
        </w:rPr>
        <w:t xml:space="preserve">No live runs.</w:t>
      </w:r>
      <w:r>
        <w:t xml:space="preserve"> </w:t>
      </w:r>
      <w:r>
        <w:t xml:space="preserve">Enforcement was estimated only by replay under NO-ADAPT, a method proposed as an amendment to the Chapter 3 scope.</w:t>
      </w:r>
    </w:p>
    <w:p>
      <w:pPr>
        <w:numPr>
          <w:ilvl w:val="0"/>
          <w:numId w:val="1199"/>
        </w:numPr>
        <w:pStyle w:val="Compact"/>
      </w:pPr>
      <w:r>
        <w:rPr>
          <w:bCs/>
          <w:b/>
        </w:rPr>
        <w:t xml:space="preserve">One benchmark.</w:t>
      </w:r>
      <w:r>
        <w:t xml:space="preserve"> </w:t>
      </w:r>
      <w:r>
        <w:t xml:space="preserve">One benchmark, one attack family for fitting, one attacker identity, and historical model snapshots (2024–2025).</w:t>
      </w:r>
    </w:p>
    <w:p>
      <w:pPr>
        <w:numPr>
          <w:ilvl w:val="0"/>
          <w:numId w:val="1199"/>
        </w:numPr>
        <w:pStyle w:val="Compact"/>
      </w:pPr>
      <w:r>
        <w:rPr>
          <w:bCs/>
          <w:b/>
        </w:rPr>
        <w:t xml:space="preserve">Labels.</w:t>
      </w:r>
      <w:r>
        <w:t xml:space="preserve"> </w:t>
      </w:r>
      <w:r>
        <w:t xml:space="preserve">Labels are attempt-based and reference-matched. They are ambiguous for user_task_15 under early suite versions and miss alternative attacker routes. They have not been audited by a human.</w:t>
      </w:r>
    </w:p>
    <w:p>
      <w:pPr>
        <w:numPr>
          <w:ilvl w:val="0"/>
          <w:numId w:val="1199"/>
        </w:numPr>
        <w:pStyle w:val="Compact"/>
      </w:pPr>
      <w:r>
        <w:rPr>
          <w:bCs/>
          <w:b/>
        </w:rPr>
        <w:t xml:space="preserve">Statistics.</w:t>
      </w:r>
      <w:r>
        <w:t xml:space="preserve"> </w:t>
      </w:r>
      <w:r>
        <w:t xml:space="preserve">Nine attacked groups, one run per configuration, no correction for multiple comparisons. Several categories contain a single injection task.</w:t>
      </w:r>
    </w:p>
    <w:p>
      <w:pPr>
        <w:numPr>
          <w:ilvl w:val="0"/>
          <w:numId w:val="1199"/>
        </w:numPr>
        <w:pStyle w:val="Compact"/>
      </w:pPr>
      <w:r>
        <w:rPr>
          <w:bCs/>
          <w:b/>
        </w:rPr>
        <w:t xml:space="preserve">Reviewer.</w:t>
      </w:r>
      <w:r>
        <w:t xml:space="preserve"> </w:t>
      </w:r>
      <w:r>
        <w:t xml:space="preserve">Escalation outcomes are bounded by an oracle and by no reviewer.</w:t>
      </w:r>
    </w:p>
    <w:p>
      <w:pPr>
        <w:numPr>
          <w:ilvl w:val="0"/>
          <w:numId w:val="1199"/>
        </w:numPr>
        <w:pStyle w:val="Compact"/>
      </w:pPr>
      <w:r>
        <w:rPr>
          <w:bCs/>
          <w:b/>
        </w:rPr>
        <w:t xml:space="preserve">Missing component.</w:t>
      </w:r>
      <w:r>
        <w:t xml:space="preserve"> </w:t>
      </w:r>
      <w:r>
        <w:t xml:space="preserve">No neural injection classifier was available.</w:t>
      </w:r>
    </w:p>
    <w:p>
      <w:pPr>
        <w:numPr>
          <w:ilvl w:val="0"/>
          <w:numId w:val="1199"/>
        </w:numPr>
        <w:pStyle w:val="Compact"/>
      </w:pPr>
      <w:r>
        <w:rPr>
          <w:bCs/>
          <w:b/>
        </w:rPr>
        <w:t xml:space="preserve">Literature review.</w:t>
      </w:r>
      <w:r>
        <w:t xml:space="preserve"> </w:t>
      </w:r>
      <w:r>
        <w:t xml:space="preserve">The review was record-level; no full text was screened.</w:t>
      </w:r>
    </w:p>
    <w:p>
      <w:pPr>
        <w:numPr>
          <w:ilvl w:val="0"/>
          <w:numId w:val="1199"/>
        </w:numPr>
        <w:pStyle w:val="Compact"/>
      </w:pPr>
      <w:r>
        <w:rPr>
          <w:bCs/>
          <w:b/>
        </w:rPr>
        <w:t xml:space="preserve">Runtime figures.</w:t>
      </w:r>
      <w:r>
        <w:t xml:space="preserve"> </w:t>
      </w:r>
      <w:r>
        <w:t xml:space="preserve">They describe the evaluated configuration only. A deployment with a neural classifier or a human reviewer would be slower.</w:t>
      </w:r>
    </w:p>
    <w:bookmarkEnd w:id="219"/>
    <w:bookmarkStart w:id="220" w:name="future-work-ordered-by-dependency"/>
    <w:p>
      <w:pPr>
        <w:pStyle w:val="Heading2"/>
      </w:pPr>
      <w:r>
        <w:t xml:space="preserve">6.6 Future Work, Ordered by Dependency</w:t>
      </w:r>
    </w:p>
    <w:p>
      <w:pPr>
        <w:numPr>
          <w:ilvl w:val="0"/>
          <w:numId w:val="1200"/>
        </w:numPr>
        <w:pStyle w:val="Compact"/>
      </w:pPr>
      <w:r>
        <w:rPr>
          <w:bCs/>
          <w:b/>
        </w:rPr>
        <w:t xml:space="preserve">Decisions</w:t>
      </w:r>
      <w:r>
        <w:t xml:space="preserve"> </w:t>
      </w:r>
      <w:r>
        <w:t xml:space="preserve">(</w:t>
      </w:r>
      <w:r>
        <w:rPr>
          <w:rStyle w:val="VerbatimChar"/>
        </w:rPr>
        <w:t xml:space="preserve">SUPERVISOR_DECISIONS_REQUIRED</w:t>
      </w:r>
      <w:r>
        <w:t xml:space="preserve">): approve or replace the declared design values, the label rule, the mitigation semantics and the replay scope amendment.</w:t>
      </w:r>
    </w:p>
    <w:p>
      <w:pPr>
        <w:numPr>
          <w:ilvl w:val="0"/>
          <w:numId w:val="1200"/>
        </w:numPr>
        <w:pStyle w:val="Compact"/>
      </w:pPr>
      <w:r>
        <w:rPr>
          <w:bCs/>
          <w:b/>
        </w:rPr>
        <w:t xml:space="preserve">Label audit.</w:t>
      </w:r>
      <w:r>
        <w:t xml:space="preserve"> </w:t>
      </w:r>
      <w:r>
        <w:t xml:space="preserve">Annotate the prepared package (</w:t>
      </w:r>
      <w:r>
        <w:rPr>
          <w:rStyle w:val="VerbatimChar"/>
        </w:rPr>
        <w:t xml:space="preserve">results/pilot_R2/label_audit_human_package.csv</w:t>
      </w:r>
      <w:r>
        <w:t xml:space="preserve">) with at least one human annotator, and preferably two. Report agreement and revise the label rule if needed.</w:t>
      </w:r>
    </w:p>
    <w:p>
      <w:pPr>
        <w:numPr>
          <w:ilvl w:val="0"/>
          <w:numId w:val="1200"/>
        </w:numPr>
        <w:pStyle w:val="Compact"/>
      </w:pPr>
      <w:r>
        <w:rPr>
          <w:bCs/>
          <w:b/>
        </w:rPr>
        <w:t xml:space="preserve">Live enforcing-mode evaluation</w:t>
      </w:r>
      <w:r>
        <w:t xml:space="preserve">, required for the central claim:</w:t>
      </w:r>
    </w:p>
    <w:p>
      <w:pPr>
        <w:numPr>
          <w:ilvl w:val="1"/>
          <w:numId w:val="1201"/>
        </w:numPr>
        <w:pStyle w:val="Compact"/>
      </w:pPr>
      <w:r>
        <w:t xml:space="preserve">run B0, B1, REM and REM without expected-loss Escalate with live backbones;</w:t>
      </w:r>
    </w:p>
    <w:p>
      <w:pPr>
        <w:numPr>
          <w:ilvl w:val="1"/>
          <w:numId w:val="1201"/>
        </w:numPr>
        <w:pStyle w:val="Compact"/>
      </w:pPr>
      <w:r>
        <w:t xml:space="preserve">use at least three repeated runs;</w:t>
      </w:r>
    </w:p>
    <w:p>
      <w:pPr>
        <w:numPr>
          <w:ilvl w:val="1"/>
          <w:numId w:val="1201"/>
        </w:numPr>
        <w:pStyle w:val="Compact"/>
      </w:pPr>
      <w:r>
        <w:t xml:space="preserve">fix and record the benchmark version, model versions, decoding parameters and costs.</w:t>
      </w:r>
    </w:p>
    <w:p>
      <w:pPr>
        <w:numPr>
          <w:ilvl w:val="0"/>
          <w:numId w:val="1000"/>
        </w:numPr>
        <w:pStyle w:val="Compact"/>
      </w:pPr>
      <w:r>
        <w:t xml:space="preserve">This measures adaptive agent behavior after refusals and the true residual success after Modify, and distinguishes step-level from episode-level semantics.</w:t>
      </w:r>
    </w:p>
    <w:p>
      <w:pPr>
        <w:numPr>
          <w:ilvl w:val="0"/>
          <w:numId w:val="1200"/>
        </w:numPr>
        <w:pStyle w:val="Compact"/>
      </w:pPr>
      <w:r>
        <w:rPr>
          <w:bCs/>
          <w:b/>
        </w:rPr>
        <w:t xml:space="preserve">A reviewer model</w:t>
      </w:r>
      <w:r>
        <w:t xml:space="preserve"> </w:t>
      </w:r>
      <w:r>
        <w:t xml:space="preserve">with error rate and delay, so that the utility cost of escalation can be estimated between the two bounds.</w:t>
      </w:r>
    </w:p>
    <w:p>
      <w:pPr>
        <w:numPr>
          <w:ilvl w:val="0"/>
          <w:numId w:val="1200"/>
        </w:numPr>
        <w:pStyle w:val="Compact"/>
      </w:pPr>
      <w:r>
        <w:rPr>
          <w:bCs/>
          <w:b/>
        </w:rPr>
        <w:t xml:space="preserve">Feature revision.</w:t>
      </w:r>
      <w:r>
        <w:t xml:space="preserve"> </w:t>
      </w:r>
      <w:r>
        <w:t xml:space="preserve">Revise the behavioral features, for example by conditioning privilege escalation on provenance, and add the injection classifier. Then re-run Pilot E0 on new fitting data.</w:t>
      </w:r>
    </w:p>
    <w:p>
      <w:pPr>
        <w:numPr>
          <w:ilvl w:val="0"/>
          <w:numId w:val="1200"/>
        </w:numPr>
        <w:pStyle w:val="Compact"/>
      </w:pPr>
      <w:r>
        <w:rPr>
          <w:bCs/>
          <w:b/>
        </w:rPr>
        <w:t xml:space="preserve">Elicited costs.</w:t>
      </w:r>
      <w:r>
        <w:t xml:space="preserve"> </w:t>
      </w:r>
      <w:r>
        <w:t xml:space="preserve">Repeat the decision analysis with costs elicited from a financial-institution context, rather than declared.</w:t>
      </w:r>
    </w:p>
    <w:p>
      <w:pPr>
        <w:numPr>
          <w:ilvl w:val="0"/>
          <w:numId w:val="1200"/>
        </w:numPr>
        <w:pStyle w:val="Compact"/>
      </w:pPr>
      <w:r>
        <w:rPr>
          <w:bCs/>
          <w:b/>
        </w:rPr>
        <w:t xml:space="preserve">Full-text literature review.</w:t>
      </w:r>
      <w:r>
        <w:t xml:space="preserve"> </w:t>
      </w:r>
      <w:r>
        <w:t xml:space="preserve">Complete the review by searching the named databases and screening full texts, and re-examine the unverified properties of the closest systems.</w:t>
      </w:r>
    </w:p>
    <w:p>
      <w:pPr>
        <w:numPr>
          <w:ilvl w:val="0"/>
          <w:numId w:val="1200"/>
        </w:numPr>
        <w:pStyle w:val="Compact"/>
      </w:pPr>
      <w:r>
        <w:rPr>
          <w:bCs/>
          <w:b/>
        </w:rPr>
        <w:t xml:space="preserve">Further benchmarks and adaptive attacks</w:t>
      </w:r>
      <w:r>
        <w:t xml:space="preserve">, reported per benchmark.</w:t>
      </w:r>
    </w:p>
    <w:bookmarkEnd w:id="220"/>
    <w:bookmarkStart w:id="221" w:name="conclusion"/>
    <w:p>
      <w:pPr>
        <w:pStyle w:val="Heading2"/>
      </w:pPr>
      <w:r>
        <w:t xml:space="preserve">6.7 Conclusion</w:t>
      </w:r>
    </w:p>
    <w:p>
      <w:pPr>
        <w:pStyle w:val="FirstParagraph"/>
      </w:pPr>
      <w:r>
        <w:t xml:space="preserve">This thesis set out to design a runtime framework that decides, for each tool call proposed by a financial AI agent, whether to allow, modify, escalate or block it. The decision minimizes expected loss under a calibrated probability of adversarial inducement and a declared consequence tier, and every verdict is recorded for audit. The framework was specified, implemented at the tool boundary of a benchmark agent, and evaluated in an exploratory study of 6,762 tool calls proposed by 21 real LLM agents.</w:t>
      </w:r>
    </w:p>
    <w:p>
      <w:pPr>
        <w:pStyle w:val="BodyText"/>
      </w:pPr>
      <w:r>
        <w:rPr>
          <w:bCs/>
          <w:b/>
        </w:rPr>
        <w:t xml:space="preserve">What was observed:</w:t>
      </w:r>
    </w:p>
    <w:p>
      <w:pPr>
        <w:numPr>
          <w:ilvl w:val="0"/>
          <w:numId w:val="1202"/>
        </w:numPr>
        <w:pStyle w:val="Compact"/>
      </w:pPr>
      <w:r>
        <w:t xml:space="preserve">The evidence available at the tool boundary separates attack attempts from legitimate calls well on attacker objectives not seen in fitting, mainly through evidence about the action’s arguments.</w:t>
      </w:r>
    </w:p>
    <w:p>
      <w:pPr>
        <w:numPr>
          <w:ilvl w:val="0"/>
          <w:numId w:val="1202"/>
        </w:numPr>
        <w:pStyle w:val="Compact"/>
      </w:pPr>
      <w:r>
        <w:t xml:space="preserve">With the costs declared for exploration, the expected-loss rule intervenes on nearly all attack attempts, and also on most legitimate high-consequence actions. Whether that is acceptable depends on a human reviewer that the benchmark does not provide.</w:t>
      </w:r>
    </w:p>
    <w:p>
      <w:pPr>
        <w:numPr>
          <w:ilvl w:val="0"/>
          <w:numId w:val="1202"/>
        </w:numPr>
        <w:pStyle w:val="Compact"/>
      </w:pPr>
      <w:r>
        <w:t xml:space="preserve">Calibration and the behavioral features produced no observed improvement.</w:t>
      </w:r>
    </w:p>
    <w:p>
      <w:pPr>
        <w:pStyle w:val="FirstParagraph"/>
      </w:pPr>
      <w:r>
        <w:t xml:space="preserve">These findings come from recorded traces and from a replay that assumes the agent does not adapt. They do not show that REM protects a live agent. The experiment needed to show that, enforcement with live agents, is the first item of future work, and the thesis does not claim its result in advance.</w:t>
      </w:r>
    </w:p>
    <w:bookmarkEnd w:id="221"/>
    <w:bookmarkStart w:id="222" w:name="references-5"/>
    <w:p>
      <w:pPr>
        <w:pStyle w:val="Heading2"/>
      </w:pPr>
      <w:r>
        <w:t xml:space="preserve">References</w:t>
      </w:r>
    </w:p>
    <w:p>
      <w:pPr>
        <w:pStyle w:val="FirstParagraph"/>
      </w:pPr>
      <w:r>
        <w:t xml:space="preserve">Chen, H.-H. (2026).</w:t>
      </w:r>
      <w:r>
        <w:t xml:space="preserve"> </w:t>
      </w:r>
      <w:r>
        <w:rPr>
          <w:iCs/>
          <w:i/>
        </w:rPr>
        <w:t xml:space="preserve">Insuring every action: An authority frontier framework for runtime actuarial control of autonomous AI agents</w:t>
      </w:r>
      <w:r>
        <w:t xml:space="preserve"> </w:t>
      </w:r>
      <w:r>
        <w:t xml:space="preserve">(arXiv:2605.25632) [Preprint]. arXiv. https://arxiv.org/abs/2605.25632</w:t>
      </w:r>
    </w:p>
    <w:p>
      <w:pPr>
        <w:pStyle w:val="BodyText"/>
      </w:pPr>
      <w:r>
        <w:t xml:space="preserve">Hossain, E., Nipu, M. M. H., Ornee, T. N., Rana, R., &amp; Yousefi, N. (2026).</w:t>
      </w:r>
      <w:r>
        <w:t xml:space="preserve"> </w:t>
      </w:r>
      <w:r>
        <w:rPr>
          <w:iCs/>
          <w:i/>
        </w:rPr>
        <w:t xml:space="preserve">NEXUS: Structured runtime safety for tool-using LLM agents</w:t>
      </w:r>
      <w:r>
        <w:t xml:space="preserve"> </w:t>
      </w:r>
      <w:r>
        <w:t xml:space="preserve">(arXiv:2607.19356) [Preprint]. arXiv. https://arxiv.org/abs/2607.19356</w:t>
      </w:r>
    </w:p>
    <w:p>
      <w:pPr>
        <w:pStyle w:val="BodyText"/>
      </w:pPr>
      <w:r>
        <w:t xml:space="preserve">Jia, H., Liu, Y., Chong, B., Yang, Y., Chen, Y., Liang, J., Li, Q., Lu, H., Xu, K., Zheng, H., Zhang, C., Peng, H., &amp; Yu, P. S. (2026).</w:t>
      </w:r>
      <w:r>
        <w:t xml:space="preserve"> </w:t>
      </w:r>
      <w:r>
        <w:rPr>
          <w:iCs/>
          <w:i/>
        </w:rPr>
        <w:t xml:space="preserve">FinHarness: An inline lifecycle safety harness for finance LLM agents</w:t>
      </w:r>
      <w:r>
        <w:t xml:space="preserve"> </w:t>
      </w:r>
      <w:r>
        <w:t xml:space="preserve">(arXiv:2605.27333) [Preprint]. arXiv. https://arxiv.org/abs/2605.27333</w:t>
      </w:r>
    </w:p>
    <w:p>
      <w:pPr>
        <w:pStyle w:val="BodyText"/>
      </w:pPr>
      <w:r>
        <w:t xml:space="preserve">Liu, H., Ilyushin, E., Ni, J., &amp; Zhu, M. (2026).</w:t>
      </w:r>
      <w:r>
        <w:t xml:space="preserve"> </w:t>
      </w:r>
      <w:r>
        <w:rPr>
          <w:iCs/>
          <w:i/>
        </w:rPr>
        <w:t xml:space="preserve">SafeAgent: A runtime protection architecture for agentic systems</w:t>
      </w:r>
      <w:r>
        <w:t xml:space="preserve"> </w:t>
      </w:r>
      <w:r>
        <w:t xml:space="preserve">(arXiv:2604.17562) [Preprint]. arXiv. https://arxiv.org/abs/2604.17562</w:t>
      </w:r>
    </w:p>
    <w:p>
      <w:pPr>
        <w:pStyle w:val="BodyText"/>
      </w:pPr>
      <w:r>
        <w:t xml:space="preserve">She, Y., Liang, Y., &amp; Kang, E. (2026). Safeguarding LLM agents from misalignment through provenance analysis. In</w:t>
      </w:r>
      <w:r>
        <w:t xml:space="preserve"> </w:t>
      </w:r>
      <w:r>
        <w:rPr>
          <w:iCs/>
          <w:i/>
        </w:rPr>
        <w:t xml:space="preserve">Proceedings of the 41st IEEE/ACM International Conference on Automated Software Engineering</w:t>
      </w:r>
      <w:r>
        <w:t xml:space="preserve"> </w:t>
      </w:r>
      <w:r>
        <w:t xml:space="preserve">(pp. 3036–3048). ACM. https://doi.org/10.1145/3832783.3837535</w:t>
      </w:r>
    </w:p>
    <w:p>
      <w:pPr>
        <w:pStyle w:val="BodyText"/>
      </w:pPr>
      <w:r>
        <w:t xml:space="preserve">Yang, C. (2026).</w:t>
      </w:r>
      <w:r>
        <w:t xml:space="preserve"> </w:t>
      </w:r>
      <w:r>
        <w:rPr>
          <w:iCs/>
          <w:i/>
        </w:rPr>
        <w:t xml:space="preserve">AgentTrust: Runtime safety evaluation and interception for AI agent tool use</w:t>
      </w:r>
      <w:r>
        <w:t xml:space="preserve"> </w:t>
      </w:r>
      <w:r>
        <w:t xml:space="preserve">(arXiv:2605.04785) [Preprint]. arXiv. https://arxiv.org/abs/2605.04785</w:t>
      </w:r>
    </w:p>
    <w:p>
      <w:pPr>
        <w:pStyle w:val="BodyText"/>
      </w:pPr>
      <w:r>
        <w:t xml:space="preserve">Zhang, C., Wan, Z., Yu, X., Wu, J., Wen, Q., Zhou, P., Zhao, W., &amp; Tsang, I. (2026).</w:t>
      </w:r>
      <w:r>
        <w:t xml:space="preserve"> </w:t>
      </w:r>
      <w:r>
        <w:rPr>
          <w:iCs/>
          <w:i/>
        </w:rPr>
        <w:t xml:space="preserve">Calibration is not control: Intervention value for LLM-agent oversight</w:t>
      </w:r>
      <w:r>
        <w:t xml:space="preserve"> </w:t>
      </w:r>
      <w:r>
        <w:t xml:space="preserve">(arXiv:2606.21399) [Preprint]. arXiv. https://arxiv.org/abs/2606.21399</w:t>
      </w:r>
    </w:p>
    <w:bookmarkEnd w:id="222"/>
    <w:bookmarkEnd w:id="2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8" Target="media/rId108.png" /><Relationship Type="http://schemas.openxmlformats.org/officeDocument/2006/relationships/image" Id="rId197" Target="media/rId197.png" /><Relationship Type="http://schemas.openxmlformats.org/officeDocument/2006/relationships/image" Id="rId191" Target="media/rId191.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Runtime Evaluation and Mitigation (REM) Framework for Securing Financial AI Agents</dc:title>
  <dc:creator>Al-Balqa Applied University — Faculty of Artificial Intelligence — Department of Intelligent Systems (Cyberspace Security)</dc:creator>
  <cp:keywords/>
  <dcterms:created xsi:type="dcterms:W3CDTF">2026-10-28T14:22:18Z</dcterms:created>
  <dcterms:modified xsi:type="dcterms:W3CDTF">2026-10-28T14:22:18Z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28 October 2026</vt:lpwstr>
  </property>
  <property fmtid="{D5CDD505-2E9C-101B-9397-08002B2CF9AE}" pid="3" name="subtitle">
    <vt:lpwstr>Master’s thesis — revised draft R2 for supervisor review</vt:lpwstr>
  </property>
</Properties>
</file>