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five"/>
    <w:p>
      <w:pPr>
        <w:pStyle w:val="Heading1"/>
      </w:pPr>
      <w:r>
        <w:t xml:space="preserve">CHAPTER FIVE</w:t>
      </w:r>
    </w:p>
    <w:bookmarkEnd w:id="20"/>
    <w:bookmarkStart w:id="42" w:name="exploratory-pilot-evaluation"/>
    <w:p>
      <w:pPr>
        <w:pStyle w:val="Heading1"/>
      </w:pPr>
      <w:r>
        <w:t xml:space="preserve">EXPLORATORY PILOT EVALUATION</w:t>
      </w:r>
    </w:p>
    <w:p>
      <w:pPr>
        <w:pStyle w:val="BlockText"/>
      </w:pPr>
      <w:r>
        <w:rPr>
          <w:bCs/>
          <w:b/>
        </w:rPr>
        <w:t xml:space="preserve">EXPLORATORY — NOT CONFIRMATORY THESIS RESULTS — SUPERVISOR DECISION REQUIRED.</w:t>
      </w:r>
    </w:p>
    <w:p>
      <w:pPr>
        <w:pStyle w:val="BlockText"/>
      </w:pPr>
      <w:r>
        <w:t xml:space="preserve">This chapter reports an executed pilot. Its design was declared and committed before any held-out prediction was computed (</w:t>
      </w:r>
      <w:r>
        <w:rPr>
          <w:rStyle w:val="VerbatimChar"/>
        </w:rPr>
        <w:t xml:space="preserve">configs/exploratory/pilot_e0.yaml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48bef90</w:t>
      </w:r>
      <w:r>
        <w:t xml:space="preserve">; amendments AM-1 to AM-4, commit</w:t>
      </w:r>
      <w:r>
        <w:t xml:space="preserve"> </w:t>
      </w:r>
      <w:r>
        <w:rPr>
          <w:rStyle w:val="VerbatimChar"/>
        </w:rPr>
        <w:t xml:space="preserve">7a707a7</w:t>
      </w:r>
      <w:r>
        <w:t xml:space="preserve">). Every number comes from</w:t>
      </w:r>
      <w:r>
        <w:t xml:space="preserve"> </w:t>
      </w:r>
      <w:r>
        <w:rPr>
          <w:rStyle w:val="VerbatimChar"/>
        </w:rPr>
        <w:t xml:space="preserve">results/pilot/</w:t>
      </w:r>
      <w:r>
        <w:t xml:space="preserve"> </w:t>
      </w:r>
      <w:r>
        <w:t xml:space="preserve">(code commit</w:t>
      </w:r>
      <w:r>
        <w:t xml:space="preserve"> </w:t>
      </w:r>
      <w:r>
        <w:rPr>
          <w:rStyle w:val="VerbatimChar"/>
        </w:rPr>
        <w:t xml:space="preserve">aa66f22</w:t>
      </w:r>
      <w:r>
        <w:t xml:space="preserve">), and a complete second run reproduced every number exactly. The confirmatory evaluation specified in Chapter 3 remains</w:t>
      </w:r>
      <w:r>
        <w:t xml:space="preserve"> </w:t>
      </w:r>
      <w:r>
        <w:rPr>
          <w:bCs/>
          <w:b/>
        </w:rPr>
        <w:t xml:space="preserve">RESULTS PENDING</w:t>
      </w:r>
      <w:r>
        <w:t xml:space="preserve"> </w:t>
      </w:r>
      <w:r>
        <w:t xml:space="preserve">until:</w:t>
      </w:r>
    </w:p>
    <w:p>
      <w:pPr>
        <w:numPr>
          <w:ilvl w:val="0"/>
          <w:numId w:val="1001"/>
        </w:numPr>
        <w:pStyle w:val="Compact"/>
      </w:pPr>
      <w:r>
        <w:t xml:space="preserve">the design values are frozen (SD-FREEZE, SD-1 to SD-4);</w:t>
      </w:r>
    </w:p>
    <w:p>
      <w:pPr>
        <w:numPr>
          <w:ilvl w:val="0"/>
          <w:numId w:val="1001"/>
        </w:numPr>
        <w:pStyle w:val="Compact"/>
      </w:pPr>
      <w:r>
        <w:t xml:space="preserve">live enforcing-mode runs become possible;</w:t>
      </w:r>
    </w:p>
    <w:p>
      <w:pPr>
        <w:numPr>
          <w:ilvl w:val="0"/>
          <w:numId w:val="1001"/>
        </w:numPr>
        <w:pStyle w:val="Compact"/>
      </w:pPr>
      <w:r>
        <w:t xml:space="preserve">the replay conflict SC-7 is decided.</w:t>
      </w:r>
    </w:p>
    <w:p>
      <w:pPr>
        <w:pStyle w:val="BlockText"/>
      </w:pPr>
      <w:r>
        <w:t xml:space="preserve">Results in Sections 5.6–5.7 that depend on trajectory replay are marked</w:t>
      </w:r>
      <w:r>
        <w:t xml:space="preserve"> </w:t>
      </w:r>
      <w:r>
        <w:rPr>
          <w:bCs/>
          <w:b/>
        </w:rPr>
        <w:t xml:space="preserve">[REPLAY — SC-7]</w:t>
      </w:r>
      <w:r>
        <w:t xml:space="preserve">: the method is out of scope in Chapter 3 Section 3.1.4.</w:t>
      </w:r>
    </w:p>
    <w:bookmarkStart w:id="21" w:name="purpose"/>
    <w:p>
      <w:pPr>
        <w:pStyle w:val="Heading2"/>
      </w:pPr>
      <w:r>
        <w:t xml:space="preserve">5.1 Purpose</w:t>
      </w:r>
    </w:p>
    <w:p>
      <w:pPr>
        <w:pStyle w:val="FirstParagraph"/>
      </w:pPr>
      <w:r>
        <w:t xml:space="preserve">The pilot asks whether the REM pipeline of Chapter 3 can be fitted and evaluated on real agent behaviour under the grouped cross-fitting protocol. It also asks what that evaluation shows for each research question ([PD]), and which of Chapter 3’s assumptions it confirms or contradicts.</w:t>
      </w:r>
    </w:p>
    <w:p>
      <w:pPr>
        <w:pStyle w:val="BodyText"/>
      </w:pPr>
      <w:r>
        <w:t xml:space="preserve">It is a pilot in the sense of Chapter 3 Section 3.11.8. It also executes, on the same data, the experiments E1–E6 that the master plan names. Negative results are reported with the same prominence as positive ones.</w:t>
      </w:r>
    </w:p>
    <w:bookmarkEnd w:id="21"/>
    <w:bookmarkStart w:id="25" w:name="data-and-protocol"/>
    <w:p>
      <w:pPr>
        <w:pStyle w:val="Heading2"/>
      </w:pPr>
      <w:r>
        <w:t xml:space="preserve">5.2 Data and Protocol</w:t>
      </w:r>
    </w:p>
    <w:bookmarkStart w:id="22" w:name="data"/>
    <w:p>
      <w:pPr>
        <w:pStyle w:val="Heading3"/>
      </w:pPr>
      <w:r>
        <w:t xml:space="preserve">5.2.1 Data</w:t>
      </w:r>
    </w:p>
    <w:p>
      <w:pPr>
        <w:pStyle w:val="FirstParagraph"/>
      </w:pPr>
      <w:r>
        <w:rPr>
          <w:bCs/>
          <w:b/>
        </w:rPr>
        <w:t xml:space="preserve">Source.</w:t>
      </w:r>
      <w:r>
        <w:t xml:space="preserve"> </w:t>
      </w:r>
      <w:r>
        <w:t xml:space="preserve">The AgentDojo repository (Debenedetti et al., 2024) ships recorded traces of real LLM agents for its banking suite.</w:t>
      </w:r>
    </w:p>
    <w:p>
      <w:pPr>
        <w:numPr>
          <w:ilvl w:val="0"/>
          <w:numId w:val="1002"/>
        </w:numPr>
        <w:pStyle w:val="Compact"/>
      </w:pPr>
      <w:r>
        <w:t xml:space="preserve">The pilot uses the traces of</w:t>
      </w:r>
      <w:r>
        <w:t xml:space="preserve"> </w:t>
      </w:r>
      <w:r>
        <w:rPr>
          <w:bCs/>
          <w:b/>
        </w:rPr>
        <w:t xml:space="preserve">21 undefended backbones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important_instructions</w:t>
      </w:r>
      <w:r>
        <w:t xml:space="preserve"> </w:t>
      </w:r>
      <w:r>
        <w:t xml:space="preserve">attack: 16 user tasks × 9 injection tasks, plus 16 benign episodes per backbone.</w:t>
      </w:r>
    </w:p>
    <w:p>
      <w:pPr>
        <w:numPr>
          <w:ilvl w:val="0"/>
          <w:numId w:val="1002"/>
        </w:numPr>
        <w:pStyle w:val="Compact"/>
      </w:pPr>
      <w:r>
        <w:t xml:space="preserve">Episodes recorded with an error (5) and the label-ambiguous pair of AM-1 (21 episodes) are excluded.</w:t>
      </w:r>
    </w:p>
    <w:p>
      <w:pPr>
        <w:pStyle w:val="FirstParagraph"/>
      </w:pPr>
      <w:r>
        <w:rPr>
          <w:bCs/>
          <w:b/>
        </w:rPr>
        <w:t xml:space="preserve">Size.</w:t>
      </w:r>
      <w:r>
        <w:t xml:space="preserve"> </w:t>
      </w:r>
      <w:r>
        <w:t xml:space="preserve">The pilot dataset contains: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3,334 episodes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6,762 proposed tool calls</w:t>
      </w:r>
      <w:r>
        <w:t xml:space="preserve"> </w:t>
      </w:r>
      <w:r>
        <w:t xml:space="preserve">(steps);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921 positive steps</w:t>
      </w:r>
      <w:r>
        <w:t xml:space="preserve">, in 840 attacked episodes.</w:t>
      </w:r>
    </w:p>
    <w:p>
      <w:pPr>
        <w:pStyle w:val="FirstParagraph"/>
      </w:pPr>
      <w:r>
        <w:rPr>
          <w:bCs/>
          <w:b/>
        </w:rPr>
        <w:t xml:space="preserve">What the data are not.</w:t>
      </w:r>
      <w:r>
        <w:t xml:space="preserve"> </w:t>
      </w:r>
      <w:r>
        <w:t xml:space="preserve">No trace was generated or altered, and no live LLM was called. The episodes are not independent observations: they share 16 user-task templates, 9 injection tasks, a single attacker account and one environment. All intervals are therefore grouped (Section 5.2.3).</w:t>
      </w:r>
    </w:p>
    <w:p>
      <w:pPr>
        <w:pStyle w:val="BodyText"/>
      </w:pPr>
      <w:r>
        <w:rPr>
          <w:bCs/>
          <w:b/>
        </w:rPr>
        <w:t xml:space="preserve">Labels.</w:t>
      </w:r>
      <w:r>
        <w:t xml:space="preserve"> </w:t>
      </w:r>
      <w:r>
        <w:t xml:space="preserve">Labels follow the reference-match rule (Chapter 3 Section 3.11.3; Chapter 4 Section 4.10.1). A positive label marks an</w:t>
      </w:r>
      <w:r>
        <w:t xml:space="preserve"> </w:t>
      </w:r>
      <w:r>
        <w:rPr>
          <w:iCs/>
          <w:i/>
        </w:rPr>
        <w:t xml:space="preserve">attempt</w:t>
      </w:r>
      <w:r>
        <w:t xml:space="preserve">: the agent proposed the attacker’s reference action with the attacker’s argument. Of the 840 attacked episodes containing a positive step:</w:t>
      </w:r>
    </w:p>
    <w:p>
      <w:pPr>
        <w:numPr>
          <w:ilvl w:val="0"/>
          <w:numId w:val="1004"/>
        </w:numPr>
        <w:pStyle w:val="Compact"/>
      </w:pPr>
      <w:r>
        <w:t xml:space="preserve">682 also have recorded attack success;</w:t>
      </w:r>
    </w:p>
    <w:p>
      <w:pPr>
        <w:numPr>
          <w:ilvl w:val="0"/>
          <w:numId w:val="1004"/>
        </w:numPr>
        <w:pStyle w:val="Compact"/>
      </w:pPr>
      <w:r>
        <w:t xml:space="preserve">158 do not (the benchmark’s success predicate is stricter).</w:t>
      </w:r>
    </w:p>
    <w:p>
      <w:pPr>
        <w:pStyle w:val="FirstParagraph"/>
      </w:pPr>
      <w:r>
        <w:t xml:space="preserve">Two episodes record attack success without a positive step (Section 5.9).</w:t>
      </w:r>
    </w:p>
    <w:bookmarkEnd w:id="22"/>
    <w:bookmarkStart w:id="23" w:name="pre-registered-values"/>
    <w:p>
      <w:pPr>
        <w:pStyle w:val="Heading3"/>
      </w:pPr>
      <w:r>
        <w:t xml:space="preserve">5.2.2 Pre-registered values</w:t>
      </w:r>
    </w:p>
    <w:p>
      <w:pPr>
        <w:pStyle w:val="FirstParagraph"/>
      </w:pPr>
      <w:r>
        <w:t xml:space="preserve">All values come from Chapter 3 where Chapter 3 gives them. Otherwise they are exploratory declared values, varied over a declared grid where Chapter 3 says they are declared.</w:t>
      </w:r>
    </w:p>
    <w:p>
      <w:pPr>
        <w:pStyle w:val="BodyText"/>
      </w:pPr>
      <w:r>
        <w:rPr>
          <w:bCs/>
          <w:b/>
        </w:rPr>
        <w:t xml:space="preserve">Table 5.1. Principal pre-registered values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x^ctx₂, x^beh₁₋₄, x^act₁₋₃ (x^ctx₁ 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3.8–3.9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1; profile 2; transfer ≤ 1000: 3; transfer &gt; 1000, payment modification, credential change: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3.11 (illustrative)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C_FA = 1; C_miss = 1, 5, 10, 20 by tier; C_mod = 0.5; C_esc =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Declared; structure Table 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r_mod(k)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Measured; 1.0 where unmeasured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3.8 property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Π = ∅; k_D2 = 3; required evidence x^act₁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α_blk = 0.01, α_mod =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 grid; inner 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{0.01, 0.1, 1, 10, 100};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 bins; 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10; 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 decision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 positive steps; group ROC-AUC ≥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resamples, seed 20261027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</w:t>
            </w:r>
          </w:p>
        </w:tc>
      </w:tr>
    </w:tbl>
    <w:bookmarkEnd w:id="23"/>
    <w:bookmarkStart w:id="24" w:name="protocol"/>
    <w:p>
      <w:pPr>
        <w:pStyle w:val="Heading3"/>
      </w:pPr>
      <w:r>
        <w:t xml:space="preserve">5.2.3 Protocol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Cross-fitting.</w:t>
      </w:r>
      <w:r>
        <w:t xml:space="preserve"> </w:t>
      </w:r>
      <w:r>
        <w:t xml:space="preserve">Nested grouped cross-fitting (Procedure 3.1):</w:t>
      </w:r>
    </w:p>
    <w:p>
      <w:pPr>
        <w:numPr>
          <w:ilvl w:val="1"/>
          <w:numId w:val="1006"/>
        </w:numPr>
        <w:pStyle w:val="Compact"/>
      </w:pPr>
      <w:r>
        <w:t xml:space="preserve">nine outer folds, leave one injection task out;</w:t>
      </w:r>
    </w:p>
    <w:p>
      <w:pPr>
        <w:numPr>
          <w:ilvl w:val="1"/>
          <w:numId w:val="1006"/>
        </w:numPr>
        <w:pStyle w:val="Compact"/>
      </w:pPr>
      <w:r>
        <w:t xml:space="preserve">benign episodes assigned to folds by user task;</w:t>
      </w:r>
    </w:p>
    <w:p>
      <w:pPr>
        <w:numPr>
          <w:ilvl w:val="1"/>
          <w:numId w:val="1006"/>
        </w:numPr>
        <w:pStyle w:val="Compact"/>
      </w:pPr>
      <w:r>
        <w:t xml:space="preserve">grouped inner folds select λ and produce out-of-fold logits for calibration.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Reported predictions.</w:t>
      </w:r>
      <w:r>
        <w:t xml:space="preserve"> </w:t>
      </w:r>
      <w:r>
        <w:t xml:space="preserve">Every reported prediction is held out.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Intervals.</w:t>
      </w:r>
      <w:r>
        <w:t xml:space="preserve"> </w:t>
      </w:r>
      <w:r>
        <w:t xml:space="preserve">95% percentile intervals from a grouped bootstrap: attacked items are resampled by injection task, benign items by user task.</w:t>
      </w:r>
    </w:p>
    <w:p>
      <w:pPr>
        <w:pStyle w:val="FirstParagraph"/>
      </w:pPr>
      <w:r>
        <w:t xml:space="preserve">There are only nine injection-task groups, so intervals are wide and can be unstable.</w:t>
      </w:r>
    </w:p>
    <w:bookmarkEnd w:id="24"/>
    <w:bookmarkEnd w:id="25"/>
    <w:bookmarkStart w:id="26" w:name="X5640ee016442180a437c9aa854bc6d0841bf985"/>
    <w:p>
      <w:pPr>
        <w:pStyle w:val="Heading2"/>
      </w:pPr>
      <w:r>
        <w:t xml:space="preserve">5.3 Pilot E0: Feasibility and Feature Freezing</w:t>
      </w:r>
    </w:p>
    <w:p>
      <w:pPr>
        <w:pStyle w:val="FirstParagraph"/>
      </w:pPr>
      <w:r>
        <w:t xml:space="preserve">E0 used only the fitting portions of the outer folds.</w:t>
      </w:r>
    </w:p>
    <w:p>
      <w:pPr>
        <w:pStyle w:val="BodyText"/>
      </w:pPr>
      <w:r>
        <w:rPr>
          <w:bCs/>
          <w:b/>
        </w:rPr>
        <w:t xml:space="preserve">Table 5.2. Pilot E0 (mean over the 9 fitting portions)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 (mean; min over folds)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(≥ 0.55)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(x^ctx₂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0.582; 0.554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marginally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0.802; 0.787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0.929; 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0.938; 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Positive steps.</w:t>
      </w:r>
      <w:r>
        <w:t xml:space="preserve"> </w:t>
      </w:r>
      <w:r>
        <w:t xml:space="preserve">Pooled: 921, above the declared minimum of 50. Thirteen of 21 backbones have fewer than 50 positive steps each (range 2–116), so no per-backbone conclusion is drawn.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 set.</w:t>
      </w:r>
      <w:r>
        <w:t xml:space="preserve"> </w:t>
      </w:r>
      <w:r>
        <w:t xml:space="preserve">Under the pre-registered rule, all eight features were retained.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AS-7.</w:t>
      </w:r>
      <w:r>
        <w:t xml:space="preserve"> </w:t>
      </w:r>
      <w:r>
        <w:t xml:space="preserve">The pilot supports AS-7 for this benchmark: the observable evidence separates induced from benign steps.</w:t>
      </w:r>
    </w:p>
    <w:bookmarkEnd w:id="26"/>
    <w:bookmarkStart w:id="30" w:name="rq1-discrimination-and-calibration-e1"/>
    <w:p>
      <w:pPr>
        <w:pStyle w:val="Heading2"/>
      </w:pPr>
      <w:r>
        <w:t xml:space="preserve">5.4 RQ1 — Discrimination and Calibration (E1)</w:t>
      </w:r>
    </w:p>
    <w:p>
      <w:pPr>
        <w:pStyle w:val="FirstParagraph"/>
      </w:pPr>
      <w:r>
        <w:rPr>
          <w:bCs/>
          <w:b/>
        </w:rPr>
        <w:t xml:space="preserve">Table 5.3. Held-out discrimination and calibration, pooled over 9 outer folds (6,762 steps, 921 positive)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p, label-NLL fit (Eq. 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p, Platt smoothed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Uncalibrated p̃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 [0.908, 0.961]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 (PR-AUC 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 [0.559, 0.827]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 (M =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 [0.033, 0.084]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 [0.149, 0.294]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Brier, binary / two-class (SC-5)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 / 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 / 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 / 0.120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5.4. Per-fold results (calibrated, label-NLL)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Held-out injection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(credential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</w:tr>
    </w:tbl>
    <w:p>
      <w:pPr>
        <w:pStyle w:val="BodyText"/>
      </w:pPr>
      <w:r>
        <w:t xml:space="preserve">Findings: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Discrimination generalizes to unseen attacker objectives.</w:t>
      </w:r>
      <w:r>
        <w:t xml:space="preserve"> </w:t>
      </w:r>
      <w:r>
        <w:t xml:space="preserve">Held-out ROC-AUC is 0.86–0.98 per fold.</w:t>
      </w:r>
    </w:p>
    <w:p>
      <w:pPr>
        <w:numPr>
          <w:ilvl w:val="1"/>
          <w:numId w:val="1009"/>
        </w:numPr>
        <w:pStyle w:val="Compact"/>
      </w:pPr>
      <w:r>
        <w:t xml:space="preserve">The weakest folds are injection task 5 (23 positive steps) and injection task 7.</w:t>
      </w:r>
    </w:p>
    <w:p>
      <w:pPr>
        <w:numPr>
          <w:ilvl w:val="1"/>
          <w:numId w:val="1009"/>
        </w:numPr>
        <w:pStyle w:val="Compact"/>
      </w:pPr>
      <w:r>
        <w:t xml:space="preserve">Injection task 7 is the only credential-change attack, so when it is held out the model has never seen an attack of that category.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Calibration does not transfer to an unseen attack category.</w:t>
      </w:r>
      <w:r>
        <w:t xml:space="preserve"> </w:t>
      </w:r>
      <w:r>
        <w:t xml:space="preserve">The injection-task-7 fold has ECE 0.189 and log-loss 0.53, three to four times the other folds.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Platt calibration adds nothing here (negative result).</w:t>
      </w:r>
    </w:p>
    <w:p>
      <w:pPr>
        <w:numPr>
          <w:ilvl w:val="1"/>
          <w:numId w:val="1010"/>
        </w:numPr>
        <w:pStyle w:val="Compact"/>
      </w:pPr>
      <w:r>
        <w:t xml:space="preserve">The fitted maps are close to the identity (γ₁ = 0.945–0.981).</w:t>
      </w:r>
    </w:p>
    <w:p>
      <w:pPr>
        <w:numPr>
          <w:ilvl w:val="1"/>
          <w:numId w:val="1010"/>
        </w:numPr>
        <w:pStyle w:val="Compact"/>
      </w:pPr>
      <w:r>
        <w:t xml:space="preserve">Pooled ECE is 0.044 with calibration and 0.042 without.</w:t>
      </w:r>
    </w:p>
    <w:p>
      <w:pPr>
        <w:numPr>
          <w:ilvl w:val="1"/>
          <w:numId w:val="1010"/>
        </w:numPr>
        <w:pStyle w:val="Compact"/>
      </w:pPr>
      <w:r>
        <w:t xml:space="preserve">The two fitting targets (SC-4) give indistinguishable results.</w:t>
      </w:r>
    </w:p>
    <w:p>
      <w:pPr>
        <w:numPr>
          <w:ilvl w:val="1"/>
          <w:numId w:val="1010"/>
        </w:numPr>
        <w:pStyle w:val="Compact"/>
      </w:pPr>
      <w:r>
        <w:t xml:space="preserve">This is consistent with logistic regression already producing calibrated probabilities on in-distribution data. It does not show that calibration is unnecessary under shift: no fold had γ₁ ≤ 0, but fold 7 shows that miscalibration under shift is not repaired.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Other generalization checks.</w:t>
      </w:r>
    </w:p>
    <w:p>
      <w:pPr>
        <w:numPr>
          <w:ilvl w:val="1"/>
          <w:numId w:val="1011"/>
        </w:numPr>
      </w:pPr>
      <w:r>
        <w:rPr>
          <w:iCs/>
          <w:i/>
        </w:rPr>
        <w:t xml:space="preserve">Leave one backbone out</w:t>
      </w:r>
      <w:r>
        <w:t xml:space="preserve"> </w:t>
      </w:r>
      <w:r>
        <w:t xml:space="preserve">(21 folds): pooled ROC-AUC 0.949. Per held-out backbone the range is 0.736 (claude-3-haiku) to 1.000, with ECE 0.038–0.080.</w:t>
      </w:r>
    </w:p>
    <w:p>
      <w:pPr>
        <w:numPr>
          <w:ilvl w:val="1"/>
          <w:numId w:val="1011"/>
        </w:numPr>
      </w:pPr>
      <w:r>
        <w:rPr>
          <w:iCs/>
          <w:i/>
        </w:rPr>
        <w:t xml:space="preserve">Grouping by user task</w:t>
      </w:r>
      <w:r>
        <w:t xml:space="preserve"> </w:t>
      </w:r>
      <w:r>
        <w:t xml:space="preserve">(sensitivity, 16 folds): pooled ROC-AUC 0.943. One fold, user_task_15, scores 0.211; Section 5.9 explains this as a label problem.</w:t>
      </w:r>
    </w:p>
    <w:p>
      <w:pPr>
        <w:numPr>
          <w:ilvl w:val="1"/>
          <w:numId w:val="1011"/>
        </w:numPr>
      </w:pPr>
      <w:r>
        <w:rPr>
          <w:iCs/>
          <w:i/>
        </w:rPr>
        <w:t xml:space="preserve">Other attack templates, applied with no refitting</w:t>
      </w:r>
      <w:r>
        <w:t xml:space="preserve"> </w:t>
      </w:r>
      <w:r>
        <w:t xml:space="preserve">(gpt-4o, 135–138 valid episodes each):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144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ignore_previous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important_instructions_no_names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</w:tr>
    </w:tbl>
    <w:p>
      <w:pPr>
        <w:numPr>
          <w:ilvl w:val="1"/>
          <w:numId w:val="1000"/>
        </w:numPr>
      </w:pPr>
      <w:r>
        <w:t xml:space="preserve">ECE ranges from 0.028 to 0.086.</w:t>
      </w:r>
    </w:p>
    <w:p>
      <w:pPr>
        <w:pStyle w:val="FirstParagraph"/>
      </w:pPr>
      <w:r>
        <w:t xml:space="preserve">Figure 5.1 (</w:t>
      </w:r>
      <w:r>
        <w:rPr>
          <w:rStyle w:val="VerbatimChar"/>
        </w:rPr>
        <w:t xml:space="preserve">results/pilot/figures/fig_reliability.png</w:t>
      </w:r>
      <w:r>
        <w:t xml:space="preserve">) shows the held-out reliability diagram. Mid-range bins contain few steps, which explains the visible noise.</w:t>
      </w:r>
    </w:p>
    <w:p>
      <w:pPr>
        <w:pStyle w:val="CaptionedFigure"/>
      </w:pPr>
      <w:r>
        <w:drawing>
          <wp:inline>
            <wp:extent cx="2933700" cy="2793999"/>
            <wp:effectExtent b="0" l="0" r="0" t="0"/>
            <wp:docPr descr="Figure 5.1. Held-out reliability diagram (10 equal-width bins), calibrated and uncalibrated. EXPLORATORY." title="" id="28" name="Picture"/>
            <a:graphic>
              <a:graphicData uri="http://schemas.openxmlformats.org/drawingml/2006/picture">
                <pic:pic>
                  <pic:nvPicPr>
                    <pic:cNvPr descr="results/pilot/figures/fig_reliabili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9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5.1. Held-out reliability diagram (10 equal-width bins), calibrated and uncalibrated. EXPLORATORY.</w:t>
      </w:r>
    </w:p>
    <w:bookmarkEnd w:id="30"/>
    <w:bookmarkStart w:id="31" w:name="Xc97937e5a8531bf411522fbcc3d2abc0f4b51ca"/>
    <w:p>
      <w:pPr>
        <w:pStyle w:val="Heading2"/>
      </w:pPr>
      <w:r>
        <w:t xml:space="preserve">5.5 RQ2 — REM versus the Consequence-Independent Baseline, Observe-Only (E2)</w:t>
      </w:r>
    </w:p>
    <w:p>
      <w:pPr>
        <w:pStyle w:val="FirstParagraph"/>
      </w:pPr>
      <w:r>
        <w:t xml:space="preserve">Both policies use the same held-out calibrated probabilities. REM (A3) adds tiers and expected loss; B1 (A1) uses the Eq. 3.14 thresholds. Verdicts were computed on the recorded steps and not enforced.</w:t>
      </w:r>
    </w:p>
    <w:p>
      <w:pPr>
        <w:pStyle w:val="BodyText"/>
      </w:pPr>
      <w:r>
        <w:rPr>
          <w:bCs/>
          <w:b/>
        </w:rPr>
        <w:t xml:space="preserve">Table 5.5. Held-out verdict profile (observe-only)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 on y = 1 steps (any non-Allow)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 [0.957, 0.987]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0.740 [0.473, 0.922]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false-positive rate (any non-Allow on y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 [0.213, 0.239]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 [0.047, 0.066]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…Escalate share of all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= 0 steps withheld if an idealized reviewer resolves escalations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Ties (SC-2)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</w:tbl>
    <w:p>
      <w:pPr>
        <w:pStyle w:val="BodyText"/>
      </w:pPr>
      <w:r>
        <w:t xml:space="preserve">REM’s additional interventions are almost all escalations.</w:t>
      </w:r>
      <w:r>
        <w:t xml:space="preserve"> </w:t>
      </w:r>
      <w:r>
        <w:rPr>
          <w:bCs/>
          <w:b/>
        </w:rPr>
        <w:t xml:space="preserve">On benign episodes, REM releases 33 of 180 legitimate state-changing steps (tiers 2–4); B1 releases 132.</w:t>
      </w:r>
      <w:r>
        <w:t xml:space="preserve"> </w:t>
      </w:r>
      <w:r>
        <w:t xml:space="preserve">The mechanism follows directly from the pre-registered costs:</w:t>
      </w:r>
    </w:p>
    <w:p>
      <w:pPr>
        <w:numPr>
          <w:ilvl w:val="0"/>
          <w:numId w:val="1012"/>
        </w:numPr>
        <w:pStyle w:val="Compact"/>
      </w:pPr>
      <w:r>
        <w:t xml:space="preserve">the Allow–Block indifference points are p</w:t>
      </w:r>
      <w:r>
        <w:rPr>
          <w:iCs/>
          <w:i/>
        </w:rPr>
        <w:t xml:space="preserve">₃ = 1/11 and p</w:t>
      </w:r>
      <w:r>
        <w:t xml:space="preserve">₄ = 1/21 (Eq. 3.9);</w:t>
      </w:r>
    </w:p>
    <w:p>
      <w:pPr>
        <w:numPr>
          <w:ilvl w:val="0"/>
          <w:numId w:val="1012"/>
        </w:numPr>
        <w:pStyle w:val="Compact"/>
      </w:pPr>
      <w:r>
        <w:t xml:space="preserve">legitimate transfers often carry action evidence (for example, a recipient read from a tool output), which places them above those points;</w:t>
      </w:r>
    </w:p>
    <w:p>
      <w:pPr>
        <w:numPr>
          <w:ilvl w:val="0"/>
          <w:numId w:val="1012"/>
        </w:numPr>
        <w:pStyle w:val="Compact"/>
      </w:pPr>
      <w:r>
        <w:t xml:space="preserve">the dominance check (Eq. 3.10) shows that, under these costs, Block is never the unique minimizer at tier 3, so at that tier REM chooses among Allow, Modify and Escalate.</w:t>
      </w:r>
    </w:p>
    <w:p>
      <w:pPr>
        <w:pStyle w:val="FirstParagraph"/>
      </w:pPr>
      <w:r>
        <w:t xml:space="preserve">The realized loss under the decision costs is 0.114 for REM and 0.652 for B1.</w:t>
      </w:r>
      <w:r>
        <w:t xml:space="preserve"> </w:t>
      </w:r>
      <w:r>
        <w:rPr>
          <w:bCs/>
          <w:b/>
        </w:rPr>
        <w:t xml:space="preserve">This comparison favours REM by construction</w:t>
      </w:r>
      <w:r>
        <w:t xml:space="preserve">, because REM minimizes expected loss under these costs (Chapter 3 Section 3.12.3). It is not evidence of superiority.</w:t>
      </w:r>
    </w:p>
    <w:bookmarkEnd w:id="31"/>
    <w:bookmarkStart w:id="35" w:name="rq2-and-rq3-enforcement-replay-sc-7-e4"/>
    <w:p>
      <w:pPr>
        <w:pStyle w:val="Heading2"/>
      </w:pPr>
      <w:r>
        <w:t xml:space="preserve">5.6 RQ2 and RQ3 — Enforcement</w:t>
      </w:r>
      <w:r>
        <w:t xml:space="preserve"> </w:t>
      </w:r>
      <w:r>
        <w:rPr>
          <w:bCs/>
          <w:b/>
        </w:rPr>
        <w:t xml:space="preserve">[REPLAY — SC-7]</w:t>
      </w:r>
      <w:r>
        <w:t xml:space="preserve"> </w:t>
      </w:r>
      <w:r>
        <w:t xml:space="preserve">(E4)</w:t>
      </w:r>
    </w:p>
    <w:p>
      <w:pPr>
        <w:pStyle w:val="FirstParagraph"/>
      </w:pPr>
      <w:r>
        <w:t xml:space="preserve">Enforcement was estimated by replaying each recorded episode in the AgentDojo sandbox with REM at the tool boundary (Chapter 4 Section 4.10.3).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Assumption NO-ADAPT:</w:t>
      </w:r>
      <w:r>
        <w:t xml:space="preserve"> </w:t>
      </w:r>
      <w:r>
        <w:t xml:space="preserve">the agent does not react to a refusal.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Validity:</w:t>
      </w:r>
      <w:r>
        <w:t xml:space="preserve"> </w:t>
      </w:r>
      <w:r>
        <w:t xml:space="preserve">with every call allowed, the replay reproduced 3,313 of 3,334 recorded outcomes (99.4%). Only those 3,313 episodes are used (AM-4).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the method is out of scope in Chapter 3 (SC-7).</w:t>
      </w:r>
    </w:p>
    <w:p>
      <w:pPr>
        <w:pStyle w:val="FirstParagraph"/>
      </w:pPr>
      <w:r>
        <w:rPr>
          <w:bCs/>
          <w:b/>
        </w:rPr>
        <w:t xml:space="preserve">Table 5.6. Enforcement replay (3,313 episodes; 95% grouped-bootstrap intervals)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 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under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B0, no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[0.148, 0.295]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 [0.381, 0.676]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B1, step-level, no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 [0.011, 0.134]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 [0.334, 0.702]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B1, episode-level, no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 [0.004, 0.125]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 [0.334, 0.702]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REM, step-level, no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[0.001, 0.007]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 [0.110, 0.548]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REM, episode-level, no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[0.001, 0.007]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 [0.110, 0.548]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REM, step- or episode-level, idealized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[0.001, 0.007]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0.497 [0.333, 0.680]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0.481–0.496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5.7. Paired differences (grouped bootstrap)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ΔBenign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 − B1, no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−0.051 [−0.130, −0.007]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−0.195 [−0.341, −0.074]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 − B1, idealized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−0.051 [−0.130, −0.007]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 [−0.009, 0.018]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 − B0, no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−0.222 [−0.289, −0.146]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−0.210 [−0.379, −0.051]</w:t>
            </w:r>
          </w:p>
        </w:tc>
      </w:tr>
    </w:tbl>
    <w:p>
      <w:pPr>
        <w:pStyle w:val="BodyText"/>
      </w:pPr>
      <w:r>
        <w:t xml:space="preserve">Figure 5.2 (</w:t>
      </w:r>
      <w:r>
        <w:rPr>
          <w:rStyle w:val="VerbatimChar"/>
        </w:rPr>
        <w:t xml:space="preserve">results/pilot/figures/fig_enforcement_replay.png</w:t>
      </w:r>
      <w:r>
        <w:t xml:space="preserve">) displays Table 5.6.</w:t>
      </w:r>
    </w:p>
    <w:p>
      <w:pPr>
        <w:pStyle w:val="CaptionedFigure"/>
      </w:pPr>
      <w:r>
        <w:drawing>
          <wp:inline>
            <wp:extent cx="5067300" cy="2266950"/>
            <wp:effectExtent b="0" l="0" r="0" t="0"/>
            <wp:docPr descr="Figure 5.2. Enforcement replay [REPLAY — SC-7]: ASR and benign utility with 95% grouped-bootstrap intervals. EXPLORATORY." title="" id="33" name="Picture"/>
            <a:graphic>
              <a:graphicData uri="http://schemas.openxmlformats.org/drawingml/2006/picture">
                <pic:pic>
                  <pic:nvPicPr>
                    <pic:cNvPr descr="results/pilot/figures/fig_enforcement_repla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5.2. Enforcement replay [REPLAY — SC-7]: ASR and benign utility with 95% grouped-bootstrap intervals. EXPLORATORY.</w:t>
      </w:r>
    </w:p>
    <w:p>
      <w:pPr>
        <w:pStyle w:val="BodyText"/>
      </w:pPr>
      <w:r>
        <w:rPr>
          <w:bCs/>
          <w:b/>
        </w:rPr>
        <w:t xml:space="preserve">Interpretation, within the replay assumption:</w:t>
      </w:r>
    </w:p>
    <w:p>
      <w:pPr>
        <w:numPr>
          <w:ilvl w:val="0"/>
          <w:numId w:val="1014"/>
        </w:numPr>
        <w:pStyle w:val="Compact"/>
      </w:pPr>
      <w:r>
        <w:t xml:space="preserve">REM blocks more attempted attacks than B1. It does so at a large utility cost when no one resolves escalations, and at almost no cost when an oracle does.</w:t>
      </w:r>
    </w:p>
    <w:p>
      <w:pPr>
        <w:numPr>
          <w:ilvl w:val="0"/>
          <w:numId w:val="1014"/>
        </w:numPr>
        <w:pStyle w:val="Compact"/>
      </w:pPr>
      <w:r>
        <w:t xml:space="preserve">The idealized reviewer knows the label. It is an upper bound on reviewer quality, not a model of one.</w:t>
      </w:r>
    </w:p>
    <w:p>
      <w:pPr>
        <w:numPr>
          <w:ilvl w:val="0"/>
          <w:numId w:val="1014"/>
        </w:numPr>
        <w:pStyle w:val="Compact"/>
      </w:pPr>
      <w:r>
        <w:t xml:space="preserve">Without a reviewer, REM’s benign utility is 0.25–0.38 for every one of the 21 backbones. This is close to the share of user tasks that need no state change (4 of 16).</w:t>
      </w:r>
    </w:p>
    <w:p>
      <w:pPr>
        <w:pStyle w:val="FirstParagraph"/>
      </w:pPr>
      <w:r>
        <w:rPr>
          <w:bCs/>
          <w:b/>
        </w:rPr>
        <w:t xml:space="preserve">SC-1.</w:t>
      </w:r>
      <w:r>
        <w:t xml:space="preserve"> </w:t>
      </w:r>
      <w:r>
        <w:t xml:space="preserve">The step-level and episode-level variants give the same results, which is a consequence of NO-ADAPT: a non-adaptive agent does not retry a refused tool, so restrictions that persist through the episode have nothing to act on.</w:t>
      </w:r>
    </w:p>
    <w:p>
      <w:pPr>
        <w:pStyle w:val="BodyText"/>
      </w:pPr>
      <w:r>
        <w:rPr>
          <w:bCs/>
          <w:b/>
        </w:rPr>
        <w:t xml:space="preserve">RQ3 quantities: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r_mod(k).</w:t>
      </w:r>
      <w:r>
        <w:t xml:space="preserve"> </w:t>
      </w:r>
      <w:r>
        <w:t xml:space="preserve">Measured by oracle-Modify replays within the fitting folds: 0.000 at tier 3 (530 episodes) and 0.010 at tier 4 (298 episodes).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Residual ASR in replays where REM applied Modify to an adversarial step:</w:t>
      </w:r>
      <w:r>
        <w:t xml:space="preserve"> </w:t>
      </w:r>
      <w:r>
        <w:t xml:space="preserve">0.000 (610 episodes).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Caveat.</w:t>
      </w:r>
      <w:r>
        <w:t xml:space="preserve"> </w:t>
      </w:r>
      <w:r>
        <w:t xml:space="preserve">Both values are artefacts of NO-ADAPT as much as properties of tool restriction. Under replay, a withheld call simply does not happen.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Escalation rate:</w:t>
      </w:r>
      <w:r>
        <w:t xml:space="preserve"> </w:t>
      </w:r>
      <w:r>
        <w:t xml:space="preserve">0.196 of all steps (Table 5.5).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Latency.</w:t>
      </w:r>
      <w:r>
        <w:t xml:space="preserve"> </w:t>
      </w:r>
      <w:r>
        <w:t xml:space="preserve">REM’s per-step processing time, excluding LLM inference and tool execution, has a median of 0.17–0.20 ms and a p95 of 0.43–0.54 ms across configurations.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Memory.</w:t>
      </w:r>
      <w:r>
        <w:t xml:space="preserve"> </w:t>
      </w:r>
      <w:r>
        <w:t xml:space="preserve">The peak traced allocation per step has a median of 2.9 KB and a p95 of 12.4 KB (300 episodes).</w:t>
      </w:r>
    </w:p>
    <w:p>
      <w:pPr>
        <w:pStyle w:val="FirstParagraph"/>
      </w:pPr>
      <w:r>
        <w:rPr>
          <w:bCs/>
          <w:b/>
        </w:rPr>
        <w:t xml:space="preserve">Distributed defenses</w:t>
      </w:r>
      <w:r>
        <w:t xml:space="preserve"> </w:t>
      </w:r>
      <w:r>
        <w:t xml:space="preserve">(recorded outcomes for gpt-4o, not replayed, possibly from different benchmark versions; not a controlled comparison):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transformers_pi_detector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repeat_user_prompt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spotlighting_with_delimiting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</w:tbl>
    <w:bookmarkEnd w:id="35"/>
    <w:bookmarkStart w:id="36" w:name="rq4-ablations-e5"/>
    <w:p>
      <w:pPr>
        <w:pStyle w:val="Heading2"/>
      </w:pPr>
      <w:r>
        <w:t xml:space="preserve">5.7 RQ4 — Ablations (E5)</w:t>
      </w:r>
    </w:p>
    <w:p>
      <w:pPr>
        <w:pStyle w:val="FirstParagraph"/>
      </w:pPr>
      <w:r>
        <w:rPr>
          <w:bCs/>
          <w:b/>
        </w:rPr>
        <w:t xml:space="preserve">Table 5.8. Ablations (step-level; observe-only columns use held-out recorded steps; replay columns are [REPLAY — SC-7], no reviewer)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 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FPR (observe)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1 intervention (observe)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(replay)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 utility (replay)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context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behavioral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action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calibration (p̃ in Eq. 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tier for all actions: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tier for all actions: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tier for all actions: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tier for all actions: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predicates D1,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observe-only (no mitigation)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</w:tr>
    </w:tbl>
    <w:p>
      <w:pPr>
        <w:pStyle w:val="BodyText"/>
      </w:pPr>
      <w:r>
        <w:t xml:space="preserve">Chapter 3 does not specify which tier the</w:t>
      </w:r>
      <w:r>
        <w:t xml:space="preserve"> </w:t>
      </w:r>
      <w:r>
        <w:t xml:space="preserve">“</w:t>
      </w:r>
      <w:r>
        <w:t xml:space="preserve">tiers removed</w:t>
      </w:r>
      <w:r>
        <w:t xml:space="preserve">”</w:t>
      </w:r>
      <w:r>
        <w:t xml:space="preserve"> </w:t>
      </w:r>
      <w:r>
        <w:t xml:space="preserve">ablation should use, so all four were run.</w:t>
      </w:r>
    </w:p>
    <w:p>
      <w:pPr>
        <w:pStyle w:val="BodyText"/>
      </w:pPr>
      <w:r>
        <w:t xml:space="preserve">Findings: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Action evidence carries most of the discrimination.</w:t>
      </w:r>
      <w:r>
        <w:t xml:space="preserve"> </w:t>
      </w:r>
      <w:r>
        <w:t xml:space="preserve">Removing it lowers held-out ROC-AUC from 0.938 to 0.799 and AP from 0.719 to 0.367.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Context evidence makes no measurable difference</w:t>
      </w:r>
      <w:r>
        <w:t xml:space="preserve"> </w:t>
      </w:r>
      <w:r>
        <w:t xml:space="preserve">(negative result). This also bounds the risk that the instruction patterns were tailored to the benchmark (Section 5.9).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Behavioral evidence lowers benign utility</w:t>
      </w:r>
      <w:r>
        <w:t xml:space="preserve"> </w:t>
      </w:r>
      <w:r>
        <w:t xml:space="preserve">(negative result). Removing it keeps ASR unchanged and raises benign utility by 10.5 points in replay. In this pilot, the behavioral group costs utility without a measured security benefit.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Calibration and predicates change little.</w:t>
      </w:r>
      <w:r>
        <w:t xml:space="preserve"> </w:t>
      </w:r>
      <w:r>
        <w:t xml:space="preserve">With Π empty, D2 fires on 58 steps and changes no episode outcome in replay.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Tiers drive the trade-off.</w:t>
      </w:r>
      <w:r>
        <w:t xml:space="preserve"> </w:t>
      </w:r>
      <w:r>
        <w:t xml:space="preserve">A single low tier recovers utility and loses protection; a single high tier does the opposite. REM’s tier map sits between these extremes.</w:t>
      </w:r>
    </w:p>
    <w:bookmarkEnd w:id="36"/>
    <w:bookmarkStart w:id="37" w:name="X1b1cfd3db56795d5dc7a5ac48d03e37ea112fd4"/>
    <w:p>
      <w:pPr>
        <w:pStyle w:val="Heading2"/>
      </w:pPr>
      <w:r>
        <w:t xml:space="preserve">5.8 Optional Sequential Analysis (E3, A2, observe-only)</w:t>
      </w:r>
    </w:p>
    <w:p>
      <w:pPr>
        <w:pStyle w:val="FirstParagraph"/>
      </w:pPr>
      <w:r>
        <w:t xml:space="preserve">The Bernoulli CUSUM was fitted per outer fold on benign fitting episodes.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q₁ = 0.3:</w:t>
      </w:r>
      <w:r>
        <w:t xml:space="preserve"> </w:t>
      </w:r>
      <w:r>
        <w:t xml:space="preserve">the CUSUM is undefined in all nine folds, because the estimated pre-change rate q₀ ≈ 0.34 exceeds q₁.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q₁ = 0.5 and q₁ = 0.7</w:t>
      </w:r>
      <w:r>
        <w:t xml:space="preserve"> </w:t>
      </w:r>
      <w:r>
        <w:t xml:space="preserve">(similar results):</w:t>
      </w:r>
    </w:p>
    <w:p>
      <w:pPr>
        <w:numPr>
          <w:ilvl w:val="1"/>
          <w:numId w:val="1018"/>
        </w:numPr>
        <w:pStyle w:val="Compact"/>
      </w:pPr>
      <w:r>
        <w:t xml:space="preserve">an alarm occurred after the injected content entered the context in 74.8% of attacked episodes with a positive step;</w:t>
      </w:r>
    </w:p>
    <w:p>
      <w:pPr>
        <w:numPr>
          <w:ilvl w:val="1"/>
          <w:numId w:val="1018"/>
        </w:numPr>
        <w:pStyle w:val="Compact"/>
      </w:pPr>
      <w:r>
        <w:t xml:space="preserve">the alarm came at or before the first positive step in 42.5–43.8% of them;</w:t>
      </w:r>
    </w:p>
    <w:p>
      <w:pPr>
        <w:numPr>
          <w:ilvl w:val="1"/>
          <w:numId w:val="1018"/>
        </w:numPr>
        <w:pStyle w:val="Compact"/>
      </w:pPr>
      <w:r>
        <w:t xml:space="preserve">the median delay was 1 step.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False alarms:</w:t>
      </w:r>
      <w:r>
        <w:t xml:space="preserve"> </w:t>
      </w:r>
      <w:r>
        <w:t xml:space="preserve">the held-out benign false-alarm rate was 0.106, against the in-fold target of 0.05, so the threshold did not generalize.</w:t>
      </w:r>
    </w:p>
    <w:p>
      <w:pPr>
        <w:pStyle w:val="FirstParagraph"/>
      </w:pPr>
      <w:r>
        <w:t xml:space="preserve">A2 issued no verdicts. In this pilot, the CUSUM adds nothing that the per-step estimator does not already provide.</w:t>
      </w:r>
    </w:p>
    <w:bookmarkEnd w:id="37"/>
    <w:bookmarkStart w:id="38" w:name="Xcbb5f113b2b054ac6dd107c19a41221831c5265"/>
    <w:p>
      <w:pPr>
        <w:pStyle w:val="Heading2"/>
      </w:pPr>
      <w:r>
        <w:t xml:space="preserve">5.9 Validity Findings That Qualify the Results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attacker’s account is also a legitimate payee.</w:t>
      </w:r>
    </w:p>
    <w:p>
      <w:pPr>
        <w:numPr>
          <w:ilvl w:val="1"/>
          <w:numId w:val="1020"/>
        </w:numPr>
        <w:pStyle w:val="Compact"/>
      </w:pPr>
      <w:r>
        <w:t xml:space="preserve">In AgentDojo banking suite versions v1 and v1.1, user_task_15 asks the agent to pay a new landlord whose IBAN is the attacker IBAN used by every injection task. The benchmark changed this from v1.1.1; 16 of the 21 recorded backbones used the colliding prompt.</w:t>
      </w:r>
    </w:p>
    <w:p>
      <w:pPr>
        <w:numPr>
          <w:ilvl w:val="1"/>
          <w:numId w:val="1020"/>
        </w:numPr>
        <w:pStyle w:val="Compact"/>
      </w:pPr>
      <w:r>
        <w:t xml:space="preserve">The label-relevant definitions of the injection tasks are identical in all suite versions, so labels are consistent across the mixed recordings.</w:t>
      </w:r>
    </w:p>
    <w:p>
      <w:pPr>
        <w:numPr>
          <w:ilvl w:val="1"/>
          <w:numId w:val="1020"/>
        </w:numPr>
        <w:pStyle w:val="Compact"/>
      </w:pPr>
      <w:r>
        <w:t xml:space="preserve">The pre-registered amendment AM-1 excluded only the pair whose reference solutions collide.</w:t>
      </w:r>
    </w:p>
    <w:p>
      <w:pPr>
        <w:numPr>
          <w:ilvl w:val="1"/>
          <w:numId w:val="1020"/>
        </w:numPr>
        <w:pStyle w:val="Compact"/>
      </w:pPr>
      <w:r>
        <w:t xml:space="preserve">After results were computed, 29 positive steps in other user_task_15 episodes were found to be ambiguous, 19 of them with no injected content in the context.</w:t>
      </w:r>
    </w:p>
    <w:p>
      <w:pPr>
        <w:numPr>
          <w:ilvl w:val="1"/>
          <w:numId w:val="1020"/>
        </w:numPr>
        <w:pStyle w:val="Compact"/>
      </w:pPr>
      <w:r>
        <w:t xml:space="preserve">All of REM’s residual replay ASR (0.4%) comes from these episodes.</w:t>
      </w:r>
    </w:p>
    <w:p>
      <w:pPr>
        <w:numPr>
          <w:ilvl w:val="1"/>
          <w:numId w:val="1020"/>
        </w:numPr>
        <w:pStyle w:val="Compact"/>
      </w:pPr>
      <w:r>
        <w:t xml:space="preserve">A disclosed post-hoc sensitivity analysis excluding user_task_15 gives REM ASR 0.000 in every configuration and held-out ROC-AUC 0.952. The primary analysis above keeps the pre-registered rule.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Reference matching misses alternative routes.</w:t>
      </w:r>
    </w:p>
    <w:p>
      <w:pPr>
        <w:numPr>
          <w:ilvl w:val="1"/>
          <w:numId w:val="1021"/>
        </w:numPr>
        <w:pStyle w:val="Compact"/>
      </w:pPr>
      <w:r>
        <w:t xml:space="preserve">Two episodes have recorded attack success but no positive step. One reaches the attacker through a different tool; one appears to be a recording inconsistency.</w:t>
      </w:r>
    </w:p>
    <w:p>
      <w:pPr>
        <w:numPr>
          <w:ilvl w:val="1"/>
          <w:numId w:val="1021"/>
        </w:numPr>
        <w:pStyle w:val="Compact"/>
      </w:pPr>
      <w:r>
        <w:t xml:space="preserve">105 steps carry an attacker value but are labelled 0.</w:t>
      </w:r>
    </w:p>
    <w:p>
      <w:pPr>
        <w:numPr>
          <w:ilvl w:val="1"/>
          <w:numId w:val="1021"/>
        </w:numPr>
        <w:pStyle w:val="Compact"/>
      </w:pPr>
      <w:r>
        <w:t xml:space="preserve">In a sample of 30 attacked episodes, 29 labels agreed with the trace and one was a likely false negative of this kind.</w:t>
      </w:r>
    </w:p>
    <w:p>
      <w:pPr>
        <w:numPr>
          <w:ilvl w:val="1"/>
          <w:numId w:val="1021"/>
        </w:numPr>
        <w:pStyle w:val="Compact"/>
      </w:pPr>
      <w:r>
        <w:t xml:space="preserve">That inspection was performed by an AI assistant, not by a human annotator, and must be repeated.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Single attacker identity.</w:t>
      </w:r>
      <w:r>
        <w:t xml:space="preserve"> </w:t>
      </w:r>
      <w:r>
        <w:t xml:space="preserve">x^act₂ (</w:t>
      </w:r>
      <w:r>
        <w:t xml:space="preserve">“</w:t>
      </w:r>
      <w:r>
        <w:t xml:space="preserve">recipient not in the objective</w:t>
      </w:r>
      <w:r>
        <w:t xml:space="preserve">”</w:t>
      </w:r>
      <w:r>
        <w:t xml:space="preserve">) fires on essentially every attack, because the attacker IBAN never appears in an objective (except in user_task_15). Real fraud may use recipients that do appear in the user’s context.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NO-ADAPT and SC-7</w:t>
      </w:r>
      <w:r>
        <w:t xml:space="preserve"> </w:t>
      </w:r>
      <w:r>
        <w:t xml:space="preserve">qualify every enforcement number (Section 5.6).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One run per configuration.</w:t>
      </w:r>
      <w:r>
        <w:t xml:space="preserve"> </w:t>
      </w:r>
      <w:r>
        <w:t xml:space="preserve">The recorded traces contain one run per (backbone, task pair), against the</w:t>
      </w:r>
      <w:r>
        <w:t xml:space="preserve"> </w:t>
      </w:r>
      <w:r>
        <w:t xml:space="preserve">“</w:t>
      </w:r>
      <w:r>
        <w:t xml:space="preserve">at least three</w:t>
      </w:r>
      <w:r>
        <w:t xml:space="preserve">”</w:t>
      </w:r>
      <w:r>
        <w:t xml:space="preserve"> </w:t>
      </w:r>
      <w:r>
        <w:t xml:space="preserve">of Chapter 3 Section 3.11.9.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Historical backbones and a single benchmark.</w:t>
      </w:r>
      <w:r>
        <w:t xml:space="preserve"> </w:t>
      </w:r>
      <w:r>
        <w:t xml:space="preserve">The models are 2024–2025 snapshots; results are not pooled across benchmarks, and none other was evaluated.</w:t>
      </w:r>
    </w:p>
    <w:p>
      <w:pPr>
        <w:pStyle w:val="FirstParagraph"/>
      </w:pPr>
      <w:r>
        <w:t xml:space="preserve">The complete threat analysis is in</w:t>
      </w:r>
      <w:r>
        <w:t xml:space="preserve"> </w:t>
      </w:r>
      <w:r>
        <w:rPr>
          <w:rStyle w:val="VerbatimChar"/>
        </w:rPr>
        <w:t xml:space="preserve">EXPERIMENT_VALIDITY_REPORT.md</w:t>
      </w:r>
      <w:r>
        <w:t xml:space="preserve">.</w:t>
      </w:r>
    </w:p>
    <w:bookmarkEnd w:id="38"/>
    <w:bookmarkStart w:id="39" w:name="X20b794e679f864805634a211c4dde2c5c29a412"/>
    <w:p>
      <w:pPr>
        <w:pStyle w:val="Heading2"/>
      </w:pPr>
      <w:r>
        <w:t xml:space="preserve">5.10 Realized Loss across the Declared Grid (E6)</w:t>
      </w:r>
    </w:p>
    <w:p>
      <w:pPr>
        <w:pStyle w:val="FirstParagraph"/>
      </w:pPr>
      <w:r>
        <w:t xml:space="preserve">Realized loss (Eq. 3.22) on held-out steps was computed over the declared grid:</w:t>
      </w:r>
    </w:p>
    <w:p>
      <w:pPr>
        <w:numPr>
          <w:ilvl w:val="0"/>
          <w:numId w:val="1022"/>
        </w:numPr>
        <w:pStyle w:val="Compact"/>
      </w:pPr>
      <w:r>
        <w:t xml:space="preserve">C_miss multipliers {0.5, 1, 2, 5};</w:t>
      </w:r>
    </w:p>
    <w:p>
      <w:pPr>
        <w:numPr>
          <w:ilvl w:val="0"/>
          <w:numId w:val="1022"/>
        </w:numPr>
        <w:pStyle w:val="Compact"/>
      </w:pPr>
      <w:r>
        <w:t xml:space="preserve">C_esc {0.1, 0.3, 0.6};</w:t>
      </w:r>
    </w:p>
    <w:p>
      <w:pPr>
        <w:numPr>
          <w:ilvl w:val="0"/>
          <w:numId w:val="1022"/>
        </w:numPr>
        <w:pStyle w:val="Compact"/>
      </w:pPr>
      <w:r>
        <w:t xml:space="preserve">amount limits {100, 1000, 10000}.</w:t>
      </w:r>
    </w:p>
    <w:p>
      <w:pPr>
        <w:pStyle w:val="FirstParagraph"/>
      </w:pPr>
      <w:r>
        <w:rPr>
          <w:bCs/>
          <w:b/>
        </w:rPr>
        <w:t xml:space="preserve">Results across all 36 cells:</w:t>
      </w:r>
    </w:p>
    <w:p>
      <w:pPr>
        <w:numPr>
          <w:ilvl w:val="0"/>
          <w:numId w:val="1023"/>
        </w:numPr>
        <w:pStyle w:val="Compact"/>
      </w:pPr>
      <w:r>
        <w:t xml:space="preserve">REM with matched costs: 0.039–0.298;</w:t>
      </w:r>
    </w:p>
    <w:p>
      <w:pPr>
        <w:numPr>
          <w:ilvl w:val="0"/>
          <w:numId w:val="1023"/>
        </w:numPr>
        <w:pStyle w:val="Compact"/>
      </w:pPr>
      <w:r>
        <w:t xml:space="preserve">REM with the base costs evaluated under different costs (misspecified): 0.057–0.324;</w:t>
      </w:r>
    </w:p>
    <w:p>
      <w:pPr>
        <w:numPr>
          <w:ilvl w:val="0"/>
          <w:numId w:val="1023"/>
        </w:numPr>
        <w:pStyle w:val="Compact"/>
      </w:pPr>
      <w:r>
        <w:t xml:space="preserve">B1: 0.303–3.261.</w:t>
      </w:r>
    </w:p>
    <w:p>
      <w:pPr>
        <w:pStyle w:val="FirstParagraph"/>
      </w:pPr>
      <w:r>
        <w:t xml:space="preserve">REM’s matched loss is lower than B1’s in all 36 cells. Two caveats apply:</w:t>
      </w:r>
    </w:p>
    <w:p>
      <w:pPr>
        <w:numPr>
          <w:ilvl w:val="0"/>
          <w:numId w:val="1024"/>
        </w:numPr>
        <w:pStyle w:val="Compact"/>
      </w:pPr>
      <w:r>
        <w:t xml:space="preserve">the comparison is favoured by construction (Section 5.5);</w:t>
      </w:r>
    </w:p>
    <w:p>
      <w:pPr>
        <w:numPr>
          <w:ilvl w:val="0"/>
          <w:numId w:val="1024"/>
        </w:numPr>
        <w:pStyle w:val="Compact"/>
      </w:pPr>
      <w:r>
        <w:t xml:space="preserve">the misspecified-cost column is the more informative one: REM remains below B1 in all 36 cells even when its decision costs differ from the evaluation costs within this range.</w:t>
      </w:r>
    </w:p>
    <w:p>
      <w:pPr>
        <w:pStyle w:val="FirstParagraph"/>
      </w:pPr>
      <w:r>
        <w:t xml:space="preserve">Matched costs gave a lower realized loss than misspecified costs in 34 of the 36 cells, not all 36. Minimizing</w:t>
      </w:r>
      <w:r>
        <w:t xml:space="preserve"> </w:t>
      </w:r>
      <w:r>
        <w:rPr>
          <w:iCs/>
          <w:i/>
        </w:rPr>
        <w:t xml:space="preserve">expected</w:t>
      </w:r>
      <w:r>
        <w:t xml:space="preserve"> </w:t>
      </w:r>
      <w:r>
        <w:t xml:space="preserve">loss under estimated probabilities does not guarantee the lowest</w:t>
      </w:r>
      <w:r>
        <w:t xml:space="preserve"> </w:t>
      </w:r>
      <w:r>
        <w:rPr>
          <w:iCs/>
          <w:i/>
        </w:rPr>
        <w:t xml:space="preserve">realized</w:t>
      </w:r>
      <w:r>
        <w:t xml:space="preserve"> </w:t>
      </w:r>
      <w:r>
        <w:t xml:space="preserve">loss on a finite held-out set.</w:t>
      </w:r>
    </w:p>
    <w:p>
      <w:pPr>
        <w:pStyle w:val="BodyText"/>
      </w:pPr>
      <w:r>
        <w:t xml:space="preserve">The grid cell α_blk = 0.05 is not evaluable, because the pre-registered α_mod = 0.05 must exceed α_blk; this inconsistency in the pre-registered grid is reported, not repaired.</w:t>
      </w:r>
    </w:p>
    <w:bookmarkEnd w:id="39"/>
    <w:bookmarkStart w:id="40" w:name="X40b20b61ff9b4cf15dad88b7c6da7197fdcacb4"/>
    <w:p>
      <w:pPr>
        <w:pStyle w:val="Heading2"/>
      </w:pPr>
      <w:r>
        <w:t xml:space="preserve">5.11 Summary of Evidence by Research Question ([PD])</w:t>
      </w:r>
    </w:p>
    <w:p>
      <w:pPr>
        <w:pStyle w:val="FirstParagraph"/>
      </w:pPr>
      <w:r>
        <w:rPr>
          <w:bCs/>
          <w:b/>
        </w:rPr>
        <w:t xml:space="preserve">Table 5.9. Evidence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pilot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 ROC-AUC 0.94 (0.86–0.98 per fold; 0.92–0.96 on other templates; 0.74–1.00 per held-out backbone). ECE 0.044, but it degrades on an unseen attack category. Calibration adds nothing measurable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Exploratory; one benchmark; grouped intervals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Observe-only: REM intervenes on more attacked steps than B1 but escalates far more benign ones. Replay: lower ASR than B1; utility cost from −19.5 points (no reviewer) to ≈0 (oracle reviewer)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Exploratory; replay is out of scope (SC-7)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r_mod ≈ 0 and residual ASR 0 under NO-ADAPT (assumption-driven); escalation 19.6% of steps; latency &lt; 1 ms per step at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Exploratory; replay (SC-7)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evidence dominates. Context evidence makes no difference. Behavioral evidence costs utility. Tiers drive the protection–utility 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</w:t>
            </w:r>
          </w:p>
        </w:tc>
      </w:tr>
    </w:tbl>
    <w:bookmarkEnd w:id="40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Debenedetti, E., Zhang, J., Balunović, M., Beurer-Kellner, L., Fischer, M., &amp; Tramèr, F. (2024). AgentDojo: A dynamic environment to evaluate prompt injection attacks and defenses for LLM agents. In</w:t>
      </w:r>
      <w:r>
        <w:t xml:space="preserve"> </w:t>
      </w:r>
      <w:r>
        <w:rPr>
          <w:iCs/>
          <w:i/>
        </w:rPr>
        <w:t xml:space="preserve">Advances in Neural Information Processing Systems 37</w:t>
      </w:r>
      <w:r>
        <w:t xml:space="preserve">. https://doi.org/10.52202/079017-2636</w:t>
      </w:r>
    </w:p>
    <w:p>
      <w:pPr>
        <w:pStyle w:val="BodyText"/>
      </w:pPr>
      <w:r>
        <w:t xml:space="preserve">Efron, B. (1979). Bootstrap methods: Another look at the jackknife.</w:t>
      </w:r>
      <w:r>
        <w:t xml:space="preserve"> </w:t>
      </w:r>
      <w:r>
        <w:rPr>
          <w:iCs/>
          <w:i/>
        </w:rPr>
        <w:t xml:space="preserve">The Annals of Statistics, 7</w:t>
      </w:r>
      <w:r>
        <w:t xml:space="preserve">(1), 1–26. https://doi.org/10.1214/aos/1176344552</w:t>
      </w:r>
    </w:p>
    <w:p>
      <w:pPr>
        <w:pStyle w:val="BodyText"/>
      </w:pPr>
      <w:r>
        <w:t xml:space="preserve">Guo, C., Pleiss, G., Sun, Y., &amp; Weinberger, K. Q. (2017). On calibration of modern neural networks. In</w:t>
      </w:r>
      <w:r>
        <w:t xml:space="preserve"> </w:t>
      </w:r>
      <w:r>
        <w:rPr>
          <w:iCs/>
          <w:i/>
        </w:rPr>
        <w:t xml:space="preserve">Proceedings of the 34th International Conference on Machine Learning</w:t>
      </w:r>
      <w:r>
        <w:t xml:space="preserve"> </w:t>
      </w:r>
      <w:r>
        <w:t xml:space="preserve">(Vol. 70, pp. 1321–1330). PMLR.</w:t>
      </w:r>
    </w:p>
    <w:p>
      <w:pPr>
        <w:pStyle w:val="BodyText"/>
      </w:pPr>
      <w:r>
        <w:t xml:space="preserve">Naeini, M. P., Cooper, G., &amp; Hauskrecht, M. (2015). Obtaining well calibrated probabilities using Bayesian binning.</w:t>
      </w:r>
      <w:r>
        <w:t xml:space="preserve"> </w:t>
      </w:r>
      <w:r>
        <w:rPr>
          <w:iCs/>
          <w:i/>
        </w:rPr>
        <w:t xml:space="preserve">Proceedings of the AAAI Conference on Artificial Intelligence, 29</w:t>
      </w:r>
      <w:r>
        <w:t xml:space="preserve">(1). https://doi.org/10.1609/aaai.v29i1.9602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2026-10-27T17:45:13Z</dcterms:created>
  <dcterms:modified xsi:type="dcterms:W3CDTF">2026-10-27T17:45:13Z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