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1f9a86b42a07b4aaef7dd6f9d71ab03ed9c7c5d"/>
    <w:p>
      <w:pPr>
        <w:pStyle w:val="Heading1"/>
      </w:pPr>
      <w:r>
        <w:t xml:space="preserve">CHAPTER FIVE: EXPERIMENTAL RESULTS AND EVALUATION: AN EXPLORATORY STUDY</w:t>
      </w:r>
    </w:p>
    <w:bookmarkStart w:id="18" w:name="purpose-status-and-kinds-of-evidence"/>
    <w:p>
      <w:pPr>
        <w:pStyle w:val="Heading2"/>
      </w:pPr>
      <w:r>
        <w:t xml:space="preserve">5.1 Purpose, Status and Kinds of Evidence</w:t>
      </w:r>
    </w:p>
    <w:p>
      <w:pPr>
        <w:pStyle w:val="FirstParagraph"/>
      </w:pPr>
      <w:r>
        <w:t xml:space="preserve">This chapter reports what the implementation of Chapter 4 produced on recorded agent behavior in the AgentDojo banking environment.</w:t>
      </w:r>
      <w:r>
        <w:t xml:space="preserve"> </w:t>
      </w:r>
      <w:r>
        <w:rPr>
          <w:b/>
          <w:bCs/>
        </w:rPr>
        <w:t xml:space="preserve">The results are exploratory.</w:t>
      </w:r>
      <w:r>
        <w:t xml:space="preserve"> </w:t>
      </w:r>
      <w:r>
        <w:t xml:space="preserve">Two conditions for confirmatory results are not met:</w:t>
      </w:r>
    </w:p>
    <w:p>
      <w:pPr>
        <w:pStyle w:val="Compact"/>
        <w:numPr>
          <w:ilvl w:val="0"/>
          <w:numId w:val="1001"/>
        </w:numPr>
      </w:pPr>
      <w:r>
        <w:t xml:space="preserve">the design values they use (costs, tiers, predicates, feature set) await approval;</w:t>
      </w:r>
    </w:p>
    <w:p>
      <w:pPr>
        <w:pStyle w:val="Compact"/>
        <w:numPr>
          <w:ilvl w:val="0"/>
          <w:numId w:val="1001"/>
        </w:numPr>
      </w:pPr>
      <w:r>
        <w:t xml:space="preserve">the enforcing-mode evaluation with live agents that Chapter 3 specifies could not be executed.</w:t>
      </w:r>
    </w:p>
    <w:p>
      <w:pPr>
        <w:pStyle w:val="FirstParagraph"/>
      </w:pPr>
      <w:r>
        <w:t xml:space="preserve">The results are therefore not presented as confirmation of any claim, and the confirmatory evaluation remains pending.</w:t>
      </w:r>
    </w:p>
    <w:p>
      <w:pPr>
        <w:pStyle w:val="BodyText"/>
      </w:pPr>
      <w:r>
        <w:t xml:space="preserve">Five kinds of evidence are kept apart throughout. Each table states which kind it reports.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Kind</w:t>
            </w:r>
          </w:p>
        </w:tc>
        <w:tc>
          <w:tcPr/>
          <w:p>
            <w:pPr>
              <w:pStyle w:val="Compact"/>
            </w:pPr>
            <w:r>
              <w:t xml:space="preserve">What it is</w:t>
            </w:r>
          </w:p>
        </w:tc>
        <w:tc>
          <w:tcPr/>
          <w:p>
            <w:pPr>
              <w:pStyle w:val="Compact"/>
            </w:pPr>
            <w:r>
              <w:t xml:space="preserve">Used in</w:t>
            </w:r>
          </w:p>
        </w:tc>
      </w:tr>
      <w:tr>
        <w:tc>
          <w:tcPr/>
          <w:p>
            <w:pPr>
              <w:pStyle w:val="Compact"/>
            </w:pPr>
            <w:r>
              <w:rPr>
                <w:b/>
                <w:bCs/>
              </w:rPr>
              <w:t xml:space="preserve">Recorded outcome</w:t>
            </w:r>
          </w:p>
        </w:tc>
        <w:tc>
          <w:tcPr/>
          <w:p>
            <w:pPr>
              <w:pStyle w:val="Compact"/>
            </w:pPr>
            <w:r>
              <w:t xml:space="preserve">The benchmark’s utility and security verdicts on the traces as recorded by the benchmark authors, without REM</w:t>
            </w:r>
          </w:p>
        </w:tc>
        <w:tc>
          <w:tcPr/>
          <w:p>
            <w:pPr>
              <w:pStyle w:val="Compact"/>
            </w:pPr>
            <w:r>
              <w:t xml:space="preserve">Sections 5.2, 5.6.1</w:t>
            </w:r>
          </w:p>
        </w:tc>
      </w:tr>
      <w:tr>
        <w:tc>
          <w:tcPr/>
          <w:p>
            <w:pPr>
              <w:pStyle w:val="Compact"/>
            </w:pPr>
            <w:r>
              <w:rPr>
                <w:b/>
                <w:bCs/>
              </w:rPr>
              <w:t xml:space="preserve">Held-out prediction</w:t>
            </w:r>
          </w:p>
        </w:tc>
        <w:tc>
          <w:tcPr/>
          <w:p>
            <w:pPr>
              <w:pStyle w:val="Compact"/>
            </w:pPr>
            <w:r>
              <w:t xml:space="preserve">REM’s probability for a recorded step, from a model fitted without that step’s group</w:t>
            </w:r>
          </w:p>
        </w:tc>
        <w:tc>
          <w:tcPr/>
          <w:p>
            <w:pPr>
              <w:pStyle w:val="Compact"/>
            </w:pPr>
            <w:r>
              <w:t xml:space="preserve">Sections 5.3–5.4</w:t>
            </w:r>
          </w:p>
        </w:tc>
      </w:tr>
      <w:tr>
        <w:tc>
          <w:tcPr/>
          <w:p>
            <w:pPr>
              <w:pStyle w:val="Compact"/>
            </w:pPr>
            <w:r>
              <w:rPr>
                <w:b/>
                <w:bCs/>
              </w:rPr>
              <w:t xml:space="preserve">Observe-only decision</w:t>
            </w:r>
          </w:p>
        </w:tc>
        <w:tc>
          <w:tcPr/>
          <w:p>
            <w:pPr>
              <w:pStyle w:val="Compact"/>
            </w:pPr>
            <w:r>
              <w:t xml:space="preserve">The verdict REM or the baseline would issue for a recorded step, computed but not enforced</w:t>
            </w:r>
          </w:p>
        </w:tc>
        <w:tc>
          <w:tcPr/>
          <w:p>
            <w:pPr>
              <w:pStyle w:val="Compact"/>
            </w:pPr>
            <w:r>
              <w:t xml:space="preserve">Sections 5.5, 5.7, 5.9</w:t>
            </w:r>
          </w:p>
        </w:tc>
      </w:tr>
      <w:tr>
        <w:tc>
          <w:tcPr/>
          <w:p>
            <w:pPr>
              <w:pStyle w:val="Compact"/>
            </w:pPr>
            <w:r>
              <w:rPr>
                <w:b/>
                <w:bCs/>
              </w:rPr>
              <w:t xml:space="preserve">Replay result</w:t>
            </w:r>
          </w:p>
        </w:tc>
        <w:tc>
          <w:tcPr/>
          <w:p>
            <w:pPr>
              <w:pStyle w:val="Compact"/>
            </w:pPr>
            <w:r>
              <w:t xml:space="preserve">The benchmark’s verdicts after re-executing a recorded trajectory with REM enforcing, assuming the agent does not adapt</w:t>
            </w:r>
          </w:p>
        </w:tc>
        <w:tc>
          <w:tcPr/>
          <w:p>
            <w:pPr>
              <w:pStyle w:val="Compact"/>
            </w:pPr>
            <w:r>
              <w:t xml:space="preserve">Section 5.6</w:t>
            </w:r>
          </w:p>
        </w:tc>
      </w:tr>
      <w:tr>
        <w:tc>
          <w:tcPr/>
          <w:p>
            <w:pPr>
              <w:pStyle w:val="Compact"/>
            </w:pPr>
            <w:r>
              <w:rPr>
                <w:b/>
                <w:bCs/>
              </w:rPr>
              <w:t xml:space="preserve">Live run</w:t>
            </w:r>
          </w:p>
        </w:tc>
        <w:tc>
          <w:tcPr/>
          <w:p>
            <w:pPr>
              <w:pStyle w:val="Compact"/>
            </w:pPr>
            <w:r>
              <w:t xml:space="preserve">An agent running with REM enforcing</w:t>
            </w:r>
          </w:p>
        </w:tc>
        <w:tc>
          <w:tcPr/>
          <w:p>
            <w:pPr>
              <w:pStyle w:val="Compact"/>
            </w:pPr>
            <w:r>
              <w:rPr>
                <w:b/>
                <w:bCs/>
              </w:rPr>
              <w:t xml:space="preserve">None was executed</w:t>
            </w:r>
          </w:p>
        </w:tc>
      </w:tr>
    </w:tbl>
    <w:p>
      <w:pPr>
        <w:pStyle w:val="BodyText"/>
      </w:pPr>
      <w:r>
        <w:t xml:space="preserve">All numbers come from</w:t>
      </w:r>
      <w:r>
        <w:t xml:space="preserve"> </w:t>
      </w:r>
      <w:r>
        <w:rPr>
          <w:rStyle w:val="VerbatimChar"/>
        </w:rPr>
        <w:t xml:space="preserve">results/pilot_R2/</w:t>
      </w:r>
      <w:r>
        <w:t xml:space="preserve">, produced at commit</w:t>
      </w:r>
      <w:r>
        <w:t xml:space="preserve"> </w:t>
      </w:r>
      <w:r>
        <w:rPr>
          <w:rStyle w:val="VerbatimChar"/>
        </w:rPr>
        <w:t xml:space="preserve">84a8c21</w:t>
      </w:r>
      <w:r>
        <w:t xml:space="preserve"> </w:t>
      </w:r>
      <w:r>
        <w:t xml:space="preserve">by</w:t>
      </w:r>
      <w:r>
        <w:t xml:space="preserve"> </w:t>
      </w:r>
      <w:r>
        <w:rPr>
          <w:rStyle w:val="VerbatimChar"/>
        </w:rPr>
        <w:t xml:space="preserve">experiments/pilot/run_all.sh</w:t>
      </w:r>
      <w:r>
        <w:t xml:space="preserve">. An independent re-execution on 30 October 2026 reproduced every analytical value; only time and memory measurements differed (Chapter 4, Section 4.11.2). The first run (commit</w:t>
      </w:r>
      <w:r>
        <w:t xml:space="preserve"> </w:t>
      </w:r>
      <w:r>
        <w:rPr>
          <w:rStyle w:val="VerbatimChar"/>
        </w:rPr>
        <w:t xml:space="preserve">aa66f22</w:t>
      </w:r>
      <w:r>
        <w:t xml:space="preserve">,</w:t>
      </w:r>
      <w:r>
        <w:t xml:space="preserve"> </w:t>
      </w:r>
      <w:r>
        <w:rPr>
          <w:rStyle w:val="VerbatimChar"/>
        </w:rPr>
        <w:t xml:space="preserve">results/pilot/</w:t>
      </w:r>
      <w:r>
        <w:t xml:space="preserve">) produced identical analytical values (Chapter 4, Section 4.11.2).</w:t>
      </w:r>
    </w:p>
    <w:bookmarkEnd w:id="18"/>
    <w:bookmarkStart w:id="22" w:name="data-protocol-and-chronology"/>
    <w:p>
      <w:pPr>
        <w:pStyle w:val="Heading2"/>
      </w:pPr>
      <w:r>
        <w:t xml:space="preserve">5.2 Data, Protocol and Chronology</w:t>
      </w:r>
    </w:p>
    <w:bookmarkStart w:id="19" w:name="data"/>
    <w:p>
      <w:pPr>
        <w:pStyle w:val="Heading3"/>
      </w:pPr>
      <w:r>
        <w:t xml:space="preserve">5.2.1 Data</w:t>
      </w:r>
    </w:p>
    <w:p>
      <w:pPr>
        <w:pStyle w:val="FirstParagraph"/>
      </w:pPr>
      <w:r>
        <w:rPr>
          <w:b/>
          <w:bCs/>
        </w:rPr>
        <w:t xml:space="preserve">Source.</w:t>
      </w:r>
      <w:r>
        <w:t xml:space="preserve"> </w:t>
      </w:r>
      <w:r>
        <w:t xml:space="preserve">The AgentDojo repository (Debenedetti et al., 2024) distributes traces of real LLM agents recorded by the benchmark authors. The evaluation uses the banking traces of</w:t>
      </w:r>
      <w:r>
        <w:t xml:space="preserve"> </w:t>
      </w:r>
      <w:r>
        <w:rPr>
          <w:b/>
          <w:bCs/>
        </w:rPr>
        <w:t xml:space="preserve">21 undefended backbones</w:t>
      </w:r>
      <w:r>
        <w:t xml:space="preserve"> </w:t>
      </w:r>
      <w:r>
        <w:t xml:space="preserve">under the</w:t>
      </w:r>
      <w:r>
        <w:t xml:space="preserve"> </w:t>
      </w:r>
      <w:r>
        <w:rPr>
          <w:rStyle w:val="VerbatimChar"/>
        </w:rPr>
        <w:t xml:space="preserve">important_instructions</w:t>
      </w:r>
      <w:r>
        <w:t xml:space="preserve"> </w:t>
      </w:r>
      <w:r>
        <w:t xml:space="preserve">attack.</w:t>
      </w:r>
    </w:p>
    <w:p>
      <w:pPr>
        <w:pStyle w:val="BodyText"/>
      </w:pPr>
      <w:r>
        <w:rPr>
          <w:b/>
          <w:bCs/>
        </w:rPr>
        <w:t xml:space="preserve">Exclusions.</w:t>
      </w:r>
      <w:r>
        <w:t xml:space="preserve"> </w:t>
      </w:r>
      <w:r>
        <w:t xml:space="preserve">Episodes recorded with an error (5) and the pair (user_task_15, injection_task_4) (21 episodes, amendment AM-1) are excluded.</w:t>
      </w:r>
    </w:p>
    <w:p>
      <w:pPr>
        <w:pStyle w:val="BodyText"/>
      </w:pPr>
      <w:r>
        <w:rPr>
          <w:b/>
          <w:bCs/>
        </w:rPr>
        <w:t xml:space="preserve">Size</w:t>
      </w:r>
      <w:r>
        <w:t xml:space="preserve"> </w:t>
      </w:r>
      <w:r>
        <w:t xml:space="preserve">(</w:t>
      </w:r>
      <w:r>
        <w:rPr>
          <w:rStyle w:val="VerbatimChar"/>
        </w:rPr>
        <w:t xml:space="preserve">dataset_summary.json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Unit</w:t>
            </w:r>
          </w:p>
        </w:tc>
        <w:tc>
          <w:tcPr/>
          <w:p>
            <w:pPr>
              <w:pStyle w:val="Compact"/>
            </w:pPr>
            <w:r>
              <w:t xml:space="preserve">Count</w:t>
            </w:r>
          </w:p>
        </w:tc>
      </w:tr>
      <w:tr>
        <w:tc>
          <w:tcPr/>
          <w:p>
            <w:pPr>
              <w:pStyle w:val="Compact"/>
            </w:pPr>
            <w:r>
              <w:t xml:space="preserve">Episodes</w:t>
            </w:r>
          </w:p>
        </w:tc>
        <w:tc>
          <w:tcPr/>
          <w:p>
            <w:pPr>
              <w:pStyle w:val="Compact"/>
            </w:pPr>
            <w:r>
              <w:rPr>
                <w:b/>
                <w:bCs/>
              </w:rPr>
              <w:t xml:space="preserve">3,334</w:t>
            </w:r>
            <w:r>
              <w:t xml:space="preserve"> </w:t>
            </w:r>
            <w:r>
              <w:t xml:space="preserve">(2,998 attacked, 336 without injection)</w:t>
            </w:r>
          </w:p>
        </w:tc>
      </w:tr>
      <w:tr>
        <w:tc>
          <w:tcPr/>
          <w:p>
            <w:pPr>
              <w:pStyle w:val="Compact"/>
            </w:pPr>
            <w:r>
              <w:t xml:space="preserve">Proposed tool calls (steps)</w:t>
            </w:r>
          </w:p>
        </w:tc>
        <w:tc>
          <w:tcPr/>
          <w:p>
            <w:pPr>
              <w:pStyle w:val="Compact"/>
            </w:pPr>
            <w:r>
              <w:rPr>
                <w:b/>
                <w:bCs/>
              </w:rPr>
              <w:t xml:space="preserve">6,762</w:t>
            </w:r>
          </w:p>
        </w:tc>
      </w:tr>
      <w:tr>
        <w:tc>
          <w:tcPr/>
          <w:p>
            <w:pPr>
              <w:pStyle w:val="Compact"/>
            </w:pPr>
            <w:r>
              <w:t xml:space="preserve">Positive steps (y = 1)</w:t>
            </w:r>
          </w:p>
        </w:tc>
        <w:tc>
          <w:tcPr/>
          <w:p>
            <w:pPr>
              <w:pStyle w:val="Compact"/>
            </w:pPr>
            <w:r>
              <w:rPr>
                <w:b/>
                <w:bCs/>
              </w:rPr>
              <w:t xml:space="preserve">921</w:t>
            </w:r>
          </w:p>
        </w:tc>
      </w:tr>
      <w:tr>
        <w:tc>
          <w:tcPr/>
          <w:p>
            <w:pPr>
              <w:pStyle w:val="Compact"/>
            </w:pPr>
            <w:r>
              <w:t xml:space="preserve">Negative steps (y = 0)</w:t>
            </w:r>
          </w:p>
        </w:tc>
        <w:tc>
          <w:tcPr/>
          <w:p>
            <w:pPr>
              <w:pStyle w:val="Compact"/>
            </w:pPr>
            <w:r>
              <w:t xml:space="preserve">5,841</w:t>
            </w:r>
          </w:p>
        </w:tc>
      </w:tr>
    </w:tbl>
    <w:p>
      <w:pPr>
        <w:pStyle w:val="BodyText"/>
      </w:pPr>
      <w:r>
        <w:rPr>
          <w:b/>
          <w:bCs/>
        </w:rPr>
        <w:t xml:space="preserve">Labels.</w:t>
      </w:r>
      <w:r>
        <w:t xml:space="preserve"> </w:t>
      </w:r>
      <w:r>
        <w:t xml:space="preserve">Labels follow the reference-match rule of Chapter 3, Section 3.11.3. A positive label marks an</w:t>
      </w:r>
      <w:r>
        <w:t xml:space="preserve"> </w:t>
      </w:r>
      <w:r>
        <w:rPr>
          <w:i/>
          <w:iCs/>
        </w:rPr>
        <w:t xml:space="preserve">attempt</w:t>
      </w:r>
      <w:r>
        <w:t xml:space="preserve">: the agent proposed the attacker’s reference action with the attacker’s key argument. It is a proxy for adversarial inducement, not proof of it. Of the 840 attacked episodes with a positive step, the recorded outcome shows attack success in 682 and not in 158. Two attacked episodes record attack success without a positive step.</w:t>
      </w:r>
    </w:p>
    <w:p>
      <w:pPr>
        <w:pStyle w:val="BodyText"/>
      </w:pPr>
      <w:r>
        <w:rPr>
          <w:b/>
          <w:bCs/>
        </w:rPr>
        <w:t xml:space="preserve">Independence.</w:t>
      </w:r>
      <w:r>
        <w:t xml:space="preserve"> </w:t>
      </w:r>
      <w:r>
        <w:t xml:space="preserve">The episodes are not independent observations:</w:t>
      </w:r>
    </w:p>
    <w:p>
      <w:pPr>
        <w:pStyle w:val="Compact"/>
        <w:numPr>
          <w:ilvl w:val="0"/>
          <w:numId w:val="1002"/>
        </w:numPr>
      </w:pPr>
      <w:r>
        <w:t xml:space="preserve">they are built from 16 user-task and 9 injection-task templates;</w:t>
      </w:r>
    </w:p>
    <w:p>
      <w:pPr>
        <w:pStyle w:val="Compact"/>
        <w:numPr>
          <w:ilvl w:val="0"/>
          <w:numId w:val="1002"/>
        </w:numPr>
      </w:pPr>
      <w:r>
        <w:t xml:space="preserve">one attacker account;</w:t>
      </w:r>
    </w:p>
    <w:p>
      <w:pPr>
        <w:pStyle w:val="Compact"/>
        <w:numPr>
          <w:ilvl w:val="0"/>
          <w:numId w:val="1002"/>
        </w:numPr>
      </w:pPr>
      <w:r>
        <w:t xml:space="preserve">one environment.</w:t>
      </w:r>
    </w:p>
    <w:p>
      <w:pPr>
        <w:pStyle w:val="FirstParagraph"/>
      </w:pPr>
      <w:r>
        <w:t xml:space="preserve">All intervals are 95% percentile intervals from a bootstrap that resamples attacked items by injection task and benign items by user task. With nine injection-task groups the intervals are wide. Where a category contains a single injection task, no interval can be formed and none is reported.</w:t>
      </w:r>
    </w:p>
    <w:bookmarkEnd w:id="19"/>
    <w:bookmarkStart w:id="20" w:name="protocol"/>
    <w:p>
      <w:pPr>
        <w:pStyle w:val="Heading3"/>
      </w:pPr>
      <w:r>
        <w:t xml:space="preserve">5.2.2 Protocol</w:t>
      </w:r>
    </w:p>
    <w:p>
      <w:pPr>
        <w:pStyle w:val="FirstParagraph"/>
      </w:pPr>
      <w:r>
        <w:t xml:space="preserve">The protocol is nested grouped cross-fitting (Chapter 3, Procedure 3.1):</w:t>
      </w:r>
    </w:p>
    <w:p>
      <w:pPr>
        <w:pStyle w:val="Compact"/>
        <w:numPr>
          <w:ilvl w:val="0"/>
          <w:numId w:val="1003"/>
        </w:numPr>
      </w:pPr>
      <w:r>
        <w:t xml:space="preserve">nine outer folds, each holding out one injection task;</w:t>
      </w:r>
    </w:p>
    <w:p>
      <w:pPr>
        <w:pStyle w:val="Compact"/>
        <w:numPr>
          <w:ilvl w:val="0"/>
          <w:numId w:val="1003"/>
        </w:numPr>
      </w:pPr>
      <w:r>
        <w:t xml:space="preserve">episodes without injection assigned to folds by user task.</w:t>
      </w:r>
    </w:p>
    <w:p>
      <w:pPr>
        <w:pStyle w:val="FirstParagraph"/>
      </w:pPr>
      <w:r>
        <w:t xml:space="preserve">Within each fold’s fitting portion, the following are fitted (Chapter 3, Section 3.11.5):</w:t>
      </w:r>
    </w:p>
    <w:p>
      <w:pPr>
        <w:pStyle w:val="Compact"/>
        <w:numPr>
          <w:ilvl w:val="0"/>
          <w:numId w:val="1004"/>
        </w:numPr>
      </w:pPr>
      <w:r>
        <w:t xml:space="preserve">λ, by grouped inner cross-validation;</w:t>
      </w:r>
    </w:p>
    <w:p>
      <w:pPr>
        <w:pStyle w:val="Compact"/>
        <w:numPr>
          <w:ilvl w:val="0"/>
          <w:numId w:val="1004"/>
        </w:numPr>
      </w:pPr>
      <w:r>
        <w:t xml:space="preserve">the calibration map, on inner out-of-fold logits;</w:t>
      </w:r>
    </w:p>
    <w:p>
      <w:pPr>
        <w:pStyle w:val="Compact"/>
        <w:numPr>
          <w:ilvl w:val="0"/>
          <w:numId w:val="1004"/>
        </w:numPr>
      </w:pPr>
      <w:r>
        <w:t xml:space="preserve">the baseline thresholds;</w:t>
      </w:r>
    </w:p>
    <w:p>
      <w:pPr>
        <w:pStyle w:val="Compact"/>
        <w:numPr>
          <w:ilvl w:val="0"/>
          <w:numId w:val="1004"/>
        </w:numPr>
      </w:pPr>
      <w:r>
        <w:t xml:space="preserve">the benign reference quantities;</w:t>
      </w:r>
    </w:p>
    <w:p>
      <w:pPr>
        <w:pStyle w:val="Compact"/>
        <w:numPr>
          <w:ilvl w:val="0"/>
          <w:numId w:val="1004"/>
        </w:numPr>
      </w:pPr>
      <w:r>
        <w:t xml:space="preserve">r</w:t>
      </w:r>
      <w:r>
        <w:rPr>
          <w:vertAlign w:val="subscript"/>
        </w:rPr>
        <w:t xml:space="preserve">mod</w:t>
      </w:r>
      <w:r>
        <w:t xml:space="preserve">.</w:t>
      </w:r>
    </w:p>
    <w:p>
      <w:pPr>
        <w:pStyle w:val="FirstParagraph"/>
      </w:pPr>
      <w:r>
        <w:t xml:space="preserve">The</w:t>
      </w:r>
      <w:r>
        <w:t xml:space="preserve"> </w:t>
      </w:r>
      <w:r>
        <w:rPr>
          <w:b/>
          <w:bCs/>
        </w:rPr>
        <w:t xml:space="preserve">pre-registered values</w:t>
      </w:r>
      <w:r>
        <w:t xml:space="preserve"> </w:t>
      </w:r>
      <w:r>
        <w:t xml:space="preserve">are listed in Table 5.1. They come from Chapter 3 where Chapter 3 gives them; otherwise they are declared exploratory values.</w:t>
      </w:r>
    </w:p>
    <w:p>
      <w:pPr>
        <w:pStyle w:val="TableCaption"/>
      </w:pPr>
      <w:r>
        <w:t xml:space="preserve">Table 5.1. Pre-registered values (</w:t>
      </w:r>
      <w:r>
        <w:rPr>
          <w:rStyle w:val="VerbatimChar"/>
        </w:rPr>
        <w:t xml:space="preserve">configs/exploratory/pilot_e0.yaml</w:t>
      </w:r>
      <w:r>
        <w:t xml:space="preserve">)</w:t>
      </w:r>
    </w:p>
    <w:tbl>
      <w:tblPr>
        <w:tblStyle w:val="Table"/>
        <w:tblW w:type="pct" w:w="5000"/>
        <w:tblLayout w:type="fixed"/>
        <w:tblLook w:firstRow="1" w:lastRow="0" w:firstColumn="0" w:lastColumn="0" w:noHBand="0" w:noVBand="0" w:val="0020"/>
        <w:tblCaption w:val="Table 5.1. Pre-registered values (configs/exploratory/pilot_e0.yaml)"/>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Features</w:t>
            </w:r>
          </w:p>
        </w:tc>
        <w:tc>
          <w:tcPr/>
          <w:p>
            <w:pPr>
              <w:pStyle w:val="Compact"/>
            </w:pPr>
            <w:r>
              <w:t xml:space="preserve">x^ctx₂, x^beh₁₋₄, x^act₁₋₃ (x^ctx₁ absent)</w:t>
            </w:r>
          </w:p>
        </w:tc>
      </w:tr>
      <w:tr>
        <w:tc>
          <w:tcPr/>
          <w:p>
            <w:pPr>
              <w:pStyle w:val="Compact"/>
            </w:pPr>
            <w:r>
              <w:t xml:space="preserve">Tiers</w:t>
            </w:r>
          </w:p>
        </w:tc>
        <w:tc>
          <w:tcPr/>
          <w:p>
            <w:pPr>
              <w:pStyle w:val="Compact"/>
            </w:pPr>
            <w:r>
              <w:t xml:space="preserve">read 1; profile 2; transfer ≤ 1000: 3; transfer &gt; 1000, payment modification, credential change: 4</w:t>
            </w:r>
          </w:p>
        </w:tc>
      </w:tr>
      <w:tr>
        <w:tc>
          <w:tcPr/>
          <w:p>
            <w:pPr>
              <w:pStyle w:val="Compact"/>
            </w:pPr>
            <w:r>
              <w:t xml:space="preserve">Costs</w:t>
            </w:r>
          </w:p>
        </w:tc>
        <w:tc>
          <w:tcPr/>
          <w:p>
            <w:pPr>
              <w:pStyle w:val="Compact"/>
            </w:pPr>
            <w:r>
              <w:t xml:space="preserve">C</w:t>
            </w:r>
            <w:r>
              <w:rPr>
                <w:vertAlign w:val="subscript"/>
              </w:rPr>
              <w:t xml:space="preserve">FA</w:t>
            </w:r>
            <w:r>
              <w:t xml:space="preserve"> </w:t>
            </w:r>
            <w:r>
              <w:t xml:space="preserve">= 1; C</w:t>
            </w:r>
            <w:r>
              <w:rPr>
                <w:vertAlign w:val="subscript"/>
              </w:rPr>
              <w:t xml:space="preserve">miss</w:t>
            </w:r>
            <w:r>
              <w:t xml:space="preserve"> </w:t>
            </w:r>
            <w:r>
              <w:t xml:space="preserve">= 1, 5, 10, 20 by tier; C</w:t>
            </w:r>
            <w:r>
              <w:rPr>
                <w:vertAlign w:val="subscript"/>
              </w:rPr>
              <w:t xml:space="preserve">mod</w:t>
            </w:r>
            <w:r>
              <w:t xml:space="preserve"> </w:t>
            </w:r>
            <w:r>
              <w:t xml:space="preserve">= 0.5; C</w:t>
            </w:r>
            <w:r>
              <w:rPr>
                <w:vertAlign w:val="subscript"/>
              </w:rPr>
              <w:t xml:space="preserve">esc</w:t>
            </w:r>
            <w:r>
              <w:t xml:space="preserve"> </w:t>
            </w:r>
            <w:r>
              <w:t xml:space="preserve">= 0.3</w:t>
            </w:r>
          </w:p>
        </w:tc>
      </w:tr>
      <w:tr>
        <w:tc>
          <w:tcPr/>
          <w:p>
            <w:pPr>
              <w:pStyle w:val="Compact"/>
            </w:pPr>
            <w:r>
              <w:t xml:space="preserve">r</w:t>
            </w:r>
            <w:r>
              <w:rPr>
                <w:vertAlign w:val="subscript"/>
              </w:rPr>
              <w:t xml:space="preserve">mod</w:t>
            </w:r>
            <w:r>
              <w:t xml:space="preserve">(k)</w:t>
            </w:r>
          </w:p>
        </w:tc>
        <w:tc>
          <w:tcPr/>
          <w:p>
            <w:pPr>
              <w:pStyle w:val="Compact"/>
            </w:pPr>
            <w:r>
              <w:t xml:space="preserve">Measured; 1.0 where unmeasured</w:t>
            </w:r>
          </w:p>
        </w:tc>
      </w:tr>
      <w:tr>
        <w:tc>
          <w:tcPr/>
          <w:p>
            <w:pPr>
              <w:pStyle w:val="Compact"/>
            </w:pPr>
            <w:r>
              <w:t xml:space="preserve">Predicates</w:t>
            </w:r>
          </w:p>
        </w:tc>
        <w:tc>
          <w:tcPr/>
          <w:p>
            <w:pPr>
              <w:pStyle w:val="Compact"/>
            </w:pPr>
            <w:r>
              <w:t xml:space="preserve">Π = ∅; k</w:t>
            </w:r>
            <w:r>
              <w:rPr>
                <w:vertAlign w:val="subscript"/>
              </w:rPr>
              <w:t xml:space="preserve">D2</w:t>
            </w:r>
            <w:r>
              <w:t xml:space="preserve"> </w:t>
            </w:r>
            <w:r>
              <w:t xml:space="preserve">= 3; required evidence x^act₁</w:t>
            </w:r>
          </w:p>
        </w:tc>
      </w:tr>
      <w:tr>
        <w:tc>
          <w:tcPr/>
          <w:p>
            <w:pPr>
              <w:pStyle w:val="Compact"/>
            </w:pPr>
            <w:r>
              <w:t xml:space="preserve">Baseline</w:t>
            </w:r>
          </w:p>
        </w:tc>
        <w:tc>
          <w:tcPr/>
          <w:p>
            <w:pPr>
              <w:pStyle w:val="Compact"/>
            </w:pPr>
            <w:r>
              <w:t xml:space="preserve">α</w:t>
            </w:r>
            <w:r>
              <w:rPr>
                <w:vertAlign w:val="subscript"/>
              </w:rPr>
              <w:t xml:space="preserve">blk</w:t>
            </w:r>
            <w:r>
              <w:t xml:space="preserve"> </w:t>
            </w:r>
            <w:r>
              <w:t xml:space="preserve">= 0.01, α</w:t>
            </w:r>
            <w:r>
              <w:rPr>
                <w:vertAlign w:val="subscript"/>
              </w:rPr>
              <w:t xml:space="preserve">mod</w:t>
            </w:r>
            <w:r>
              <w:t xml:space="preserve"> </w:t>
            </w:r>
            <w:r>
              <w:t xml:space="preserve">= 0.05</w:t>
            </w:r>
          </w:p>
        </w:tc>
      </w:tr>
      <w:tr>
        <w:tc>
          <w:tcPr/>
          <w:p>
            <w:pPr>
              <w:pStyle w:val="Compact"/>
            </w:pPr>
            <w:r>
              <w:t xml:space="preserve">λ grid</w:t>
            </w:r>
          </w:p>
        </w:tc>
        <w:tc>
          <w:tcPr/>
          <w:p>
            <w:pPr>
              <w:pStyle w:val="Compact"/>
            </w:pPr>
            <w:r>
              <w:t xml:space="preserve">λ</w:t>
            </w:r>
            <w:r>
              <w:rPr>
                <w:vertAlign w:val="subscript"/>
              </w:rPr>
              <w:t xml:space="preserve">impl</w:t>
            </w:r>
            <w:r>
              <w:t xml:space="preserve"> </w:t>
            </w:r>
            <w:r>
              <w:t xml:space="preserve">∈ {0.01, 0.1, 1, 10, 100}, i.e. λ ∈ {0.005, 0.05, 0.5, 5, 50} on the scale of Eq. 3.2</w:t>
            </w:r>
          </w:p>
        </w:tc>
      </w:tr>
      <w:tr>
        <w:tc>
          <w:tcPr/>
          <w:p>
            <w:pPr>
              <w:pStyle w:val="Compact"/>
            </w:pPr>
            <w:r>
              <w:t xml:space="preserve">Inner folds; ECE bins; clip</w:t>
            </w:r>
          </w:p>
        </w:tc>
        <w:tc>
          <w:tcPr/>
          <w:p>
            <w:pPr>
              <w:pStyle w:val="Compact"/>
            </w:pPr>
            <w:r>
              <w:t xml:space="preserve">4; 10; 10⁻⁶</w:t>
            </w:r>
          </w:p>
        </w:tc>
      </w:tr>
      <w:tr>
        <w:tc>
          <w:tcPr/>
          <w:p>
            <w:pPr>
              <w:pStyle w:val="Compact"/>
            </w:pPr>
            <w:r>
              <w:t xml:space="preserve">Pilot E0 decision values</w:t>
            </w:r>
          </w:p>
        </w:tc>
        <w:tc>
          <w:tcPr/>
          <w:p>
            <w:pPr>
              <w:pStyle w:val="Compact"/>
            </w:pPr>
            <w:r>
              <w:t xml:space="preserve">≥ 50 positive steps; group ROC-AUC ≥ 0.55</w:t>
            </w:r>
          </w:p>
        </w:tc>
      </w:tr>
      <w:tr>
        <w:tc>
          <w:tcPr/>
          <w:p>
            <w:pPr>
              <w:pStyle w:val="Compact"/>
            </w:pPr>
            <w:r>
              <w:t xml:space="preserve">Bootstrap</w:t>
            </w:r>
          </w:p>
        </w:tc>
        <w:tc>
          <w:tcPr/>
          <w:p>
            <w:pPr>
              <w:pStyle w:val="Compact"/>
            </w:pPr>
            <w:r>
              <w:t xml:space="preserve">2,000 resamples, seed 20261027</w:t>
            </w:r>
          </w:p>
        </w:tc>
      </w:tr>
    </w:tbl>
    <w:bookmarkEnd w:id="20"/>
    <w:bookmarkStart w:id="21" w:name="X25dfa8afeaaac37befef66522e7c0a0a71ec963"/>
    <w:p>
      <w:pPr>
        <w:pStyle w:val="Heading3"/>
      </w:pPr>
      <w:r>
        <w:t xml:space="preserve">5.2.3 Chronology of design, amendments and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 and time (UTC)</w:t>
            </w:r>
          </w:p>
        </w:tc>
        <w:tc>
          <w:tcPr/>
          <w:p>
            <w:pPr>
              <w:pStyle w:val="Compact"/>
            </w:pPr>
            <w:r>
              <w:t xml:space="preserve">Event</w:t>
            </w:r>
          </w:p>
        </w:tc>
        <w:tc>
          <w:tcPr/>
          <w:p>
            <w:pPr>
              <w:pStyle w:val="Compact"/>
            </w:pPr>
            <w:r>
              <w:t xml:space="preserve">Record</w:t>
            </w:r>
          </w:p>
        </w:tc>
      </w:tr>
      <w:tr>
        <w:tc>
          <w:tcPr/>
          <w:p>
            <w:pPr>
              <w:pStyle w:val="Compact"/>
            </w:pPr>
            <w:r>
              <w:t xml:space="preserve">27 Oct 2026 16:40</w:t>
            </w:r>
          </w:p>
        </w:tc>
        <w:tc>
          <w:tcPr/>
          <w:p>
            <w:pPr>
              <w:pStyle w:val="Compact"/>
            </w:pPr>
            <w:r>
              <w:t xml:space="preserve">Pilot design committed (Table 5.1)</w:t>
            </w:r>
          </w:p>
        </w:tc>
        <w:tc>
          <w:tcPr/>
          <w:p>
            <w:pPr>
              <w:pStyle w:val="Compact"/>
            </w:pPr>
            <w:r>
              <w:t xml:space="preserve">commit</w:t>
            </w:r>
            <w:r>
              <w:t xml:space="preserve"> </w:t>
            </w:r>
            <w:r>
              <w:rPr>
                <w:rStyle w:val="VerbatimChar"/>
              </w:rPr>
              <w:t xml:space="preserve">48bef90</w:t>
            </w:r>
          </w:p>
        </w:tc>
      </w:tr>
      <w:tr>
        <w:tc>
          <w:tcPr/>
          <w:p>
            <w:pPr>
              <w:pStyle w:val="Compact"/>
            </w:pPr>
            <w:r>
              <w:t xml:space="preserve">27 Oct 2026 16:57</w:t>
            </w:r>
          </w:p>
        </w:tc>
        <w:tc>
          <w:tcPr/>
          <w:p>
            <w:pPr>
              <w:pStyle w:val="Compact"/>
            </w:pPr>
            <w:r>
              <w:t xml:space="preserve">Amendments AM-1 to AM-4 committed. AM-1: exclusion of (user_task_15, injection_task_4). AM-2: benign references. AM-3: the meaning of</w:t>
            </w:r>
            <w:r>
              <w:t xml:space="preserve"> </w:t>
            </w:r>
            <w:r>
              <w:t xml:space="preserve">“tool class”</w:t>
            </w:r>
            <w:r>
              <w:t xml:space="preserve">. AM-4: replay validity filter</w:t>
            </w:r>
          </w:p>
        </w:tc>
        <w:tc>
          <w:tcPr/>
          <w:p>
            <w:pPr>
              <w:pStyle w:val="Compact"/>
            </w:pPr>
            <w:r>
              <w:t xml:space="preserve">commit</w:t>
            </w:r>
            <w:r>
              <w:t xml:space="preserve"> </w:t>
            </w:r>
            <w:r>
              <w:rPr>
                <w:rStyle w:val="VerbatimChar"/>
              </w:rPr>
              <w:t xml:space="preserve">7a707a7</w:t>
            </w:r>
          </w:p>
        </w:tc>
      </w:tr>
      <w:tr>
        <w:tc>
          <w:tcPr/>
          <w:p>
            <w:pPr>
              <w:pStyle w:val="Compact"/>
            </w:pPr>
            <w:r>
              <w:t xml:space="preserve">27 Oct 2026, after 16:57</w:t>
            </w:r>
          </w:p>
        </w:tc>
        <w:tc>
          <w:tcPr/>
          <w:p>
            <w:pPr>
              <w:pStyle w:val="Compact"/>
            </w:pPr>
            <w:r>
              <w:t xml:space="preserve">First computation of held-out predictions and of all analyses with the then-uncommitted pipeline code.</w:t>
            </w:r>
            <w:r>
              <w:t xml:space="preserve"> </w:t>
            </w:r>
            <w:r>
              <w:rPr>
                <w:b/>
                <w:bCs/>
              </w:rPr>
              <w:t xml:space="preserve">The log of this first execution was not preserved</w:t>
            </w:r>
            <w:r>
              <w:t xml:space="preserve">; its order relative to the amendments rests on the commit times and on the working session record</w:t>
            </w:r>
          </w:p>
        </w:tc>
        <w:tc>
          <w:tcPr/>
          <w:p>
            <w:pPr>
              <w:pStyle w:val="Compact"/>
            </w:pPr>
            <w:r>
              <w:t xml:space="preserve">—</w:t>
            </w:r>
          </w:p>
        </w:tc>
      </w:tr>
      <w:tr>
        <w:tc>
          <w:tcPr/>
          <w:p>
            <w:pPr>
              <w:pStyle w:val="Compact"/>
            </w:pPr>
            <w:r>
              <w:t xml:space="preserve">27 Oct 2026 17:16</w:t>
            </w:r>
          </w:p>
        </w:tc>
        <w:tc>
          <w:tcPr/>
          <w:p>
            <w:pPr>
              <w:pStyle w:val="Compact"/>
            </w:pPr>
            <w:r>
              <w:t xml:space="preserve">Pipeline committed, then re-run in full; results identical to the first execution</w:t>
            </w:r>
          </w:p>
        </w:tc>
        <w:tc>
          <w:tcPr/>
          <w:p>
            <w:pPr>
              <w:pStyle w:val="Compact"/>
            </w:pPr>
            <w:r>
              <w:t xml:space="preserve">commit</w:t>
            </w:r>
            <w:r>
              <w:t xml:space="preserve"> </w:t>
            </w:r>
            <w:r>
              <w:rPr>
                <w:rStyle w:val="VerbatimChar"/>
              </w:rPr>
              <w:t xml:space="preserve">aa66f22</w:t>
            </w:r>
            <w:r>
              <w:t xml:space="preserve">;</w:t>
            </w:r>
            <w:r>
              <w:t xml:space="preserve"> </w:t>
            </w:r>
            <w:r>
              <w:rPr>
                <w:rStyle w:val="VerbatimChar"/>
              </w:rPr>
              <w:t xml:space="preserve">results/pilot/</w:t>
            </w:r>
          </w:p>
        </w:tc>
      </w:tr>
      <w:tr>
        <w:tc>
          <w:tcPr/>
          <w:p>
            <w:pPr>
              <w:pStyle w:val="Compact"/>
            </w:pPr>
            <w:r>
              <w:t xml:space="preserve">27–28 Oct 2026</w:t>
            </w:r>
          </w:p>
        </w:tc>
        <w:tc>
          <w:tcPr/>
          <w:p>
            <w:pPr>
              <w:pStyle w:val="Compact"/>
            </w:pPr>
            <w:r>
              <w:rPr>
                <w:b/>
                <w:bCs/>
              </w:rPr>
              <w:t xml:space="preserve">Post-hoc analyses</w:t>
            </w:r>
            <w:r>
              <w:t xml:space="preserve">, added after results had been seen: exclusion of user_task_15 (Section 5.10); benign-release breakdown by tier; REM without expected-loss Escalate (Sections 5.5–5.6); breakdowns by action type and tier; replay-failure analysis</w:t>
            </w:r>
          </w:p>
        </w:tc>
        <w:tc>
          <w:tcPr/>
          <w:p>
            <w:pPr>
              <w:pStyle w:val="Compact"/>
            </w:pPr>
            <w:r>
              <w:rPr>
                <w:rStyle w:val="VerbatimChar"/>
              </w:rPr>
              <w:t xml:space="preserve">results/pilot_R2/</w:t>
            </w:r>
          </w:p>
        </w:tc>
      </w:tr>
      <w:tr>
        <w:tc>
          <w:tcPr/>
          <w:p>
            <w:pPr>
              <w:pStyle w:val="Compact"/>
            </w:pPr>
            <w:r>
              <w:t xml:space="preserve">28 Oct 2026</w:t>
            </w:r>
          </w:p>
        </w:tc>
        <w:tc>
          <w:tcPr/>
          <w:p>
            <w:pPr>
              <w:pStyle w:val="Compact"/>
            </w:pPr>
            <w:r>
              <w:t xml:space="preserve">Code corrections of revision R2 (Chapter 4), complete re-run; analytical values identical</w:t>
            </w:r>
          </w:p>
        </w:tc>
        <w:tc>
          <w:tcPr/>
          <w:p>
            <w:pPr>
              <w:pStyle w:val="Compact"/>
            </w:pPr>
            <w:r>
              <w:t xml:space="preserve">commit</w:t>
            </w:r>
            <w:r>
              <w:t xml:space="preserve"> </w:t>
            </w:r>
            <w:r>
              <w:rPr>
                <w:rStyle w:val="VerbatimChar"/>
              </w:rPr>
              <w:t xml:space="preserve">84a8c21</w:t>
            </w:r>
            <w:r>
              <w:t xml:space="preserve">;</w:t>
            </w:r>
            <w:r>
              <w:t xml:space="preserve"> </w:t>
            </w:r>
            <w:r>
              <w:rPr>
                <w:rStyle w:val="VerbatimChar"/>
              </w:rPr>
              <w:t xml:space="preserve">results/pilot_R2/</w:t>
            </w:r>
          </w:p>
        </w:tc>
      </w:tr>
    </w:tbl>
    <w:p>
      <w:pPr>
        <w:pStyle w:val="BodyText"/>
      </w:pPr>
      <w:r>
        <w:t xml:space="preserve">No pre-registered value was changed after results were seen. The post-hoc analyses are reported as such, and none replaces a pre-registered analysis.</w:t>
      </w:r>
    </w:p>
    <w:bookmarkEnd w:id="21"/>
    <w:bookmarkEnd w:id="22"/>
    <w:bookmarkStart w:id="23" w:name="X497f5ff938b968e4df7e1d75333a81c50c9850d"/>
    <w:p>
      <w:pPr>
        <w:pStyle w:val="Heading2"/>
      </w:pPr>
      <w:r>
        <w:t xml:space="preserve">5.3 Pilot E0: Feasibility and Feature Retention</w:t>
      </w:r>
    </w:p>
    <w:p>
      <w:pPr>
        <w:pStyle w:val="FirstParagraph"/>
      </w:pPr>
      <w:r>
        <w:t xml:space="preserve">Pilot E0 used only the fitting portion of each outer fold (</w:t>
      </w:r>
      <w:r>
        <w:rPr>
          <w:rStyle w:val="VerbatimChar"/>
        </w:rPr>
        <w:t xml:space="preserve">e0_pilot.json</w:t>
      </w:r>
      <w:r>
        <w:t xml:space="preserve">).</w:t>
      </w:r>
    </w:p>
    <w:p>
      <w:pPr>
        <w:pStyle w:val="TableCaption"/>
      </w:pPr>
      <w:r>
        <w:t xml:space="preserve">Table 5.2. Pilot E0 (fitting portions only)</w:t>
      </w:r>
    </w:p>
    <w:tbl>
      <w:tblPr>
        <w:tblStyle w:val="Table"/>
        <w:tblW w:type="pct" w:w="5000"/>
        <w:tblLayout w:type="fixed"/>
        <w:tblLook w:firstRow="1" w:lastRow="0" w:firstColumn="0" w:lastColumn="0" w:noHBand="0" w:noVBand="0" w:val="0020"/>
        <w:tblCaption w:val="Table 5.2. Pilot E0 (fitting portions only)"/>
      </w:tblPr>
      <w:tblGrid>
        <w:gridCol w:w="2640"/>
        <w:gridCol w:w="2640"/>
        <w:gridCol w:w="2640"/>
      </w:tblGrid>
      <w:tr>
        <w:trPr>
          <w:tblHeader w:val="on"/>
        </w:trPr>
        <w:tc>
          <w:tcPr/>
          <w:p>
            <w:pPr>
              <w:pStyle w:val="Compact"/>
            </w:pPr>
            <w:r>
              <w:t xml:space="preserve">Evidence group</w:t>
            </w:r>
          </w:p>
        </w:tc>
        <w:tc>
          <w:tcPr/>
          <w:p>
            <w:pPr>
              <w:pStyle w:val="Compact"/>
            </w:pPr>
            <w:r>
              <w:t xml:space="preserve">ROC-AUC: mean over folds; minimum</w:t>
            </w:r>
          </w:p>
        </w:tc>
        <w:tc>
          <w:tcPr/>
          <w:p>
            <w:pPr>
              <w:pStyle w:val="Compact"/>
            </w:pPr>
            <w:r>
              <w:t xml:space="preserve">Retained in every fold (≥ 0.55)</w:t>
            </w:r>
          </w:p>
        </w:tc>
      </w:tr>
      <w:tr>
        <w:tc>
          <w:tcPr/>
          <w:p>
            <w:pPr>
              <w:pStyle w:val="Compact"/>
            </w:pPr>
            <w:r>
              <w:t xml:space="preserve">Context (x^ctx₂ only)</w:t>
            </w:r>
          </w:p>
        </w:tc>
        <w:tc>
          <w:tcPr/>
          <w:p>
            <w:pPr>
              <w:pStyle w:val="Compact"/>
            </w:pPr>
            <w:r>
              <w:t xml:space="preserve">0.582; 0.554</w:t>
            </w:r>
          </w:p>
        </w:tc>
        <w:tc>
          <w:tcPr/>
          <w:p>
            <w:pPr>
              <w:pStyle w:val="Compact"/>
            </w:pPr>
            <w:r>
              <w:t xml:space="preserve">Yes, marginally</w:t>
            </w:r>
          </w:p>
        </w:tc>
      </w:tr>
      <w:tr>
        <w:tc>
          <w:tcPr/>
          <w:p>
            <w:pPr>
              <w:pStyle w:val="Compact"/>
            </w:pPr>
            <w:r>
              <w:t xml:space="preserve">Behavioral</w:t>
            </w:r>
          </w:p>
        </w:tc>
        <w:tc>
          <w:tcPr/>
          <w:p>
            <w:pPr>
              <w:pStyle w:val="Compact"/>
            </w:pPr>
            <w:r>
              <w:t xml:space="preserve">0.802; 0.787</w:t>
            </w:r>
          </w:p>
        </w:tc>
        <w:tc>
          <w:tcPr/>
          <w:p>
            <w:pPr>
              <w:pStyle w:val="Compact"/>
            </w:pPr>
            <w:r>
              <w:t xml:space="preserve">Yes</w:t>
            </w:r>
          </w:p>
        </w:tc>
      </w:tr>
      <w:tr>
        <w:tc>
          <w:tcPr/>
          <w:p>
            <w:pPr>
              <w:pStyle w:val="Compact"/>
            </w:pPr>
            <w:r>
              <w:t xml:space="preserve">Action</w:t>
            </w:r>
          </w:p>
        </w:tc>
        <w:tc>
          <w:tcPr/>
          <w:p>
            <w:pPr>
              <w:pStyle w:val="Compact"/>
            </w:pPr>
            <w:r>
              <w:t xml:space="preserve">0.929; 0.923</w:t>
            </w:r>
          </w:p>
        </w:tc>
        <w:tc>
          <w:tcPr/>
          <w:p>
            <w:pPr>
              <w:pStyle w:val="Compact"/>
            </w:pPr>
            <w:r>
              <w:t xml:space="preserve">Yes</w:t>
            </w:r>
          </w:p>
        </w:tc>
      </w:tr>
      <w:tr>
        <w:tc>
          <w:tcPr/>
          <w:p>
            <w:pPr>
              <w:pStyle w:val="Compact"/>
            </w:pPr>
            <w:r>
              <w:t xml:space="preserve">All</w:t>
            </w:r>
          </w:p>
        </w:tc>
        <w:tc>
          <w:tcPr/>
          <w:p>
            <w:pPr>
              <w:pStyle w:val="Compact"/>
            </w:pPr>
            <w:r>
              <w:t xml:space="preserve">0.938; 0.930</w:t>
            </w:r>
          </w:p>
        </w:tc>
        <w:tc>
          <w:tcPr/>
          <w:p>
            <w:pPr>
              <w:pStyle w:val="Compact"/>
            </w:pPr>
            <w:r>
              <w:t xml:space="preserve">—</w:t>
            </w:r>
          </w:p>
        </w:tc>
      </w:tr>
    </w:tbl>
    <w:p>
      <w:pPr>
        <w:pStyle w:val="BodyText"/>
      </w:pPr>
      <w:r>
        <w:t xml:space="preserve">The retention rule was applied to each fold’s fitting portion separately, and every fold retained all three groups (</w:t>
      </w:r>
      <w:r>
        <w:rPr>
          <w:rStyle w:val="VerbatimChar"/>
        </w:rPr>
        <w:t xml:space="preserve">e1_crossfit.json</w:t>
      </w:r>
      <w:r>
        <w:t xml:space="preserve">,</w:t>
      </w:r>
      <w:r>
        <w:t xml:space="preserve"> </w:t>
      </w:r>
      <w:r>
        <w:rPr>
          <w:rStyle w:val="VerbatimChar"/>
        </w:rPr>
        <w:t xml:space="preserve">e0_fold_specific_feature_groups</w:t>
      </w:r>
      <w:r>
        <w:t xml:space="preserve">). The feature set is therefore the same in every fold. No fold’s held-out data influenced its own feature set.</w:t>
      </w:r>
    </w:p>
    <w:p>
      <w:pPr>
        <w:pStyle w:val="BodyText"/>
      </w:pPr>
      <w:r>
        <w:t xml:space="preserve">The pooled count of positive steps is 921, above the declared minimum of 50. Thirteen of the 21 backbones have fewer than 50 positive steps each (range 2–116), so no per-backbone conclusion is drawn.</w:t>
      </w:r>
    </w:p>
    <w:bookmarkEnd w:id="23"/>
    <w:bookmarkStart w:id="27" w:name="X020477b6b59a5e4f993d48599615ca0885aaf71"/>
    <w:p>
      <w:pPr>
        <w:pStyle w:val="Heading2"/>
      </w:pPr>
      <w:r>
        <w:t xml:space="preserve">5.4 RQ1 — Offline Classification (Held-Out Predictions)</w:t>
      </w:r>
    </w:p>
    <w:p>
      <w:pPr>
        <w:pStyle w:val="TableCaption"/>
      </w:pPr>
      <w:r>
        <w:t xml:space="preserve">Table 5.3. Held-out discrimination and calibration, pooled over nine outer folds (6,762 steps; 921 positive;</w:t>
      </w:r>
      <w:r>
        <w:t xml:space="preserve"> </w:t>
      </w:r>
      <w:r>
        <w:rPr>
          <w:rStyle w:val="VerbatimChar"/>
        </w:rPr>
        <w:t xml:space="preserve">e1_crossfit.json</w:t>
      </w:r>
      <w:r>
        <w:t xml:space="preserve">)</w:t>
      </w:r>
    </w:p>
    <w:tbl>
      <w:tblPr>
        <w:tblStyle w:val="Table"/>
        <w:tblW w:type="pct" w:w="5000"/>
        <w:tblLayout w:type="fixed"/>
        <w:tblLook w:firstRow="1" w:lastRow="0" w:firstColumn="0" w:lastColumn="0" w:noHBand="0" w:noVBand="0" w:val="0020"/>
        <w:tblCaption w:val="Table 5.3. Held-out discrimination and calibration, pooled over nine outer folds (6,762 steps; 921 positive; e1_crossfit.json)"/>
      </w:tblPr>
      <w:tblGrid>
        <w:gridCol w:w="1980"/>
        <w:gridCol w:w="1980"/>
        <w:gridCol w:w="1980"/>
        <w:gridCol w:w="1980"/>
      </w:tblGrid>
      <w:tr>
        <w:trPr>
          <w:tblHeader w:val="on"/>
        </w:trPr>
        <w:tc>
          <w:tcPr/>
          <w:p>
            <w:pPr>
              <w:pStyle w:val="Compact"/>
            </w:pPr>
            <w:r>
              <w:t xml:space="preserve">Metric</w:t>
            </w:r>
          </w:p>
        </w:tc>
        <w:tc>
          <w:tcPr/>
          <w:p>
            <w:pPr>
              <w:pStyle w:val="Compact"/>
            </w:pPr>
            <w:r>
              <w:t xml:space="preserve">Calibrated p, label-NLL fit (reference)</w:t>
            </w:r>
          </w:p>
        </w:tc>
        <w:tc>
          <w:tcPr/>
          <w:p>
            <w:pPr>
              <w:pStyle w:val="Compact"/>
            </w:pPr>
            <w:r>
              <w:t xml:space="preserve">Calibrated p, Platt smoothed targets</w:t>
            </w:r>
          </w:p>
        </w:tc>
        <w:tc>
          <w:tcPr/>
          <w:p>
            <w:pPr>
              <w:pStyle w:val="Compact"/>
            </w:pPr>
            <w:r>
              <w:t xml:space="preserve">Uncalibrated p̃</w:t>
            </w:r>
          </w:p>
        </w:tc>
      </w:tr>
      <w:tr>
        <w:tc>
          <w:tcPr/>
          <w:p>
            <w:pPr>
              <w:pStyle w:val="Compact"/>
            </w:pPr>
            <w:r>
              <w:t xml:space="preserve">ROC-AUC</w:t>
            </w:r>
          </w:p>
        </w:tc>
        <w:tc>
          <w:tcPr/>
          <w:p>
            <w:pPr>
              <w:pStyle w:val="Compact"/>
            </w:pPr>
            <w:r>
              <w:t xml:space="preserve">0.938 [0.908, 0.961]</w:t>
            </w:r>
          </w:p>
        </w:tc>
        <w:tc>
          <w:tcPr/>
          <w:p>
            <w:pPr>
              <w:pStyle w:val="Compact"/>
            </w:pPr>
            <w:r>
              <w:t xml:space="preserve">0.938</w:t>
            </w:r>
          </w:p>
        </w:tc>
        <w:tc>
          <w:tcPr/>
          <w:p>
            <w:pPr>
              <w:pStyle w:val="Compact"/>
            </w:pPr>
            <w:r>
              <w:t xml:space="preserve">0.939</w:t>
            </w:r>
          </w:p>
        </w:tc>
      </w:tr>
      <w:tr>
        <w:tc>
          <w:tcPr/>
          <w:p>
            <w:pPr>
              <w:pStyle w:val="Compact"/>
            </w:pPr>
            <w:r>
              <w:t xml:space="preserve">Average precision (PR-AUC estimate)</w:t>
            </w:r>
          </w:p>
        </w:tc>
        <w:tc>
          <w:tcPr/>
          <w:p>
            <w:pPr>
              <w:pStyle w:val="Compact"/>
            </w:pPr>
            <w:r>
              <w:t xml:space="preserve">0.719 [0.559, 0.827]</w:t>
            </w:r>
          </w:p>
        </w:tc>
        <w:tc>
          <w:tcPr/>
          <w:p>
            <w:pPr>
              <w:pStyle w:val="Compact"/>
            </w:pPr>
            <w:r>
              <w:t xml:space="preserve">0.719</w:t>
            </w:r>
          </w:p>
        </w:tc>
        <w:tc>
          <w:tcPr/>
          <w:p>
            <w:pPr>
              <w:pStyle w:val="Compact"/>
            </w:pPr>
            <w:r>
              <w:t xml:space="preserve">0.721</w:t>
            </w:r>
          </w:p>
        </w:tc>
      </w:tr>
      <w:tr>
        <w:tc>
          <w:tcPr/>
          <w:p>
            <w:pPr>
              <w:pStyle w:val="Compact"/>
            </w:pPr>
            <w:r>
              <w:t xml:space="preserve">ECE (M = 10)</w:t>
            </w:r>
          </w:p>
        </w:tc>
        <w:tc>
          <w:tcPr/>
          <w:p>
            <w:pPr>
              <w:pStyle w:val="Compact"/>
            </w:pPr>
            <w:r>
              <w:t xml:space="preserve">0.044 [0.033, 0.084]</w:t>
            </w:r>
          </w:p>
        </w:tc>
        <w:tc>
          <w:tcPr/>
          <w:p>
            <w:pPr>
              <w:pStyle w:val="Compact"/>
            </w:pPr>
            <w:r>
              <w:t xml:space="preserve">0.044</w:t>
            </w:r>
          </w:p>
        </w:tc>
        <w:tc>
          <w:tcPr/>
          <w:p>
            <w:pPr>
              <w:pStyle w:val="Compact"/>
            </w:pPr>
            <w:r>
              <w:t xml:space="preserve">0.042</w:t>
            </w:r>
          </w:p>
        </w:tc>
      </w:tr>
      <w:tr>
        <w:tc>
          <w:tcPr/>
          <w:p>
            <w:pPr>
              <w:pStyle w:val="Compact"/>
            </w:pPr>
            <w:r>
              <w:t xml:space="preserve">Log-loss</w:t>
            </w:r>
          </w:p>
        </w:tc>
        <w:tc>
          <w:tcPr/>
          <w:p>
            <w:pPr>
              <w:pStyle w:val="Compact"/>
            </w:pPr>
            <w:r>
              <w:t xml:space="preserve">0.201 [0.149, 0.294]</w:t>
            </w:r>
          </w:p>
        </w:tc>
        <w:tc>
          <w:tcPr/>
          <w:p>
            <w:pPr>
              <w:pStyle w:val="Compact"/>
            </w:pPr>
            <w:r>
              <w:t xml:space="preserve">0.201</w:t>
            </w:r>
          </w:p>
        </w:tc>
        <w:tc>
          <w:tcPr/>
          <w:p>
            <w:pPr>
              <w:pStyle w:val="Compact"/>
            </w:pPr>
            <w:r>
              <w:t xml:space="preserve">0.201</w:t>
            </w:r>
          </w:p>
        </w:tc>
      </w:tr>
      <w:tr>
        <w:tc>
          <w:tcPr/>
          <w:p>
            <w:pPr>
              <w:pStyle w:val="Compact"/>
            </w:pPr>
            <w:r>
              <w:t xml:space="preserve">Brier score (binary convention)</w:t>
            </w:r>
          </w:p>
        </w:tc>
        <w:tc>
          <w:tcPr/>
          <w:p>
            <w:pPr>
              <w:pStyle w:val="Compact"/>
            </w:pPr>
            <w:r>
              <w:t xml:space="preserve">0.060</w:t>
            </w:r>
          </w:p>
        </w:tc>
        <w:tc>
          <w:tcPr/>
          <w:p>
            <w:pPr>
              <w:pStyle w:val="Compact"/>
            </w:pPr>
            <w:r>
              <w:t xml:space="preserve">0.060</w:t>
            </w:r>
          </w:p>
        </w:tc>
        <w:tc>
          <w:tcPr/>
          <w:p>
            <w:pPr>
              <w:pStyle w:val="Compact"/>
            </w:pPr>
            <w:r>
              <w:t xml:space="preserve">0.060</w:t>
            </w:r>
          </w:p>
        </w:tc>
      </w:tr>
    </w:tbl>
    <w:p/>
    <w:p>
      <w:pPr>
        <w:pStyle w:val="TableCaption"/>
      </w:pPr>
      <w:r>
        <w:t xml:space="preserve">Table 5.4. Per-fold results (calibrated, label-NLL)</w:t>
      </w:r>
    </w:p>
    <w:tbl>
      <w:tblPr>
        <w:tblStyle w:val="Table"/>
        <w:tblW w:type="pct" w:w="5000"/>
        <w:tblLayout w:type="fixed"/>
        <w:tblLook w:firstRow="1" w:lastRow="0" w:firstColumn="0" w:lastColumn="0" w:noHBand="0" w:noVBand="0" w:val="0020"/>
        <w:tblCaption w:val="Table 5.4. Per-fold results (calibrated, label-NLL)"/>
      </w:tblPr>
      <w:tblGrid>
        <w:gridCol w:w="879"/>
        <w:gridCol w:w="879"/>
        <w:gridCol w:w="879"/>
        <w:gridCol w:w="879"/>
        <w:gridCol w:w="879"/>
        <w:gridCol w:w="879"/>
        <w:gridCol w:w="879"/>
        <w:gridCol w:w="879"/>
        <w:gridCol w:w="879"/>
      </w:tblGrid>
      <w:tr>
        <w:trPr>
          <w:tblHeader w:val="on"/>
        </w:trPr>
        <w:tc>
          <w:tcPr/>
          <w:p>
            <w:pPr>
              <w:pStyle w:val="Compact"/>
            </w:pPr>
            <w:r>
              <w:t xml:space="preserve">Held-out injection task</w:t>
            </w:r>
          </w:p>
        </w:tc>
        <w:tc>
          <w:tcPr/>
          <w:p>
            <w:pPr>
              <w:pStyle w:val="Compact"/>
            </w:pPr>
            <w:r>
              <w:t xml:space="preserve">Steps</w:t>
            </w:r>
          </w:p>
        </w:tc>
        <w:tc>
          <w:tcPr/>
          <w:p>
            <w:pPr>
              <w:pStyle w:val="Compact"/>
            </w:pPr>
            <w:r>
              <w:t xml:space="preserve">Positive</w:t>
            </w:r>
          </w:p>
        </w:tc>
        <w:tc>
          <w:tcPr/>
          <w:p>
            <w:pPr>
              <w:pStyle w:val="Compact"/>
            </w:pPr>
            <w:r>
              <w:t xml:space="preserve">ROC-AUC</w:t>
            </w:r>
          </w:p>
        </w:tc>
        <w:tc>
          <w:tcPr/>
          <w:p>
            <w:pPr>
              <w:pStyle w:val="Compact"/>
            </w:pPr>
            <w:r>
              <w:t xml:space="preserve">AP</w:t>
            </w:r>
          </w:p>
        </w:tc>
        <w:tc>
          <w:tcPr/>
          <w:p>
            <w:pPr>
              <w:pStyle w:val="Compact"/>
            </w:pPr>
            <w:r>
              <w:t xml:space="preserve">ECE</w:t>
            </w:r>
          </w:p>
        </w:tc>
        <w:tc>
          <w:tcPr/>
          <w:p>
            <w:pPr>
              <w:pStyle w:val="Compact"/>
            </w:pPr>
            <w:r>
              <w:t xml:space="preserve">Log-loss</w:t>
            </w:r>
          </w:p>
        </w:tc>
        <w:tc>
          <w:tcPr/>
          <w:p>
            <w:pPr>
              <w:pStyle w:val="Compact"/>
            </w:pPr>
            <w:r>
              <w:t xml:space="preserve">λ</w:t>
            </w:r>
            <w:r>
              <w:rPr>
                <w:vertAlign w:val="subscript"/>
              </w:rPr>
              <w:t xml:space="preserve">impl</w:t>
            </w:r>
            <w:r>
              <w:t xml:space="preserve"> </w:t>
            </w:r>
            <w:r>
              <w:t xml:space="preserve">(λ)</w:t>
            </w:r>
          </w:p>
        </w:tc>
        <w:tc>
          <w:tcPr/>
          <w:p>
            <w:pPr>
              <w:pStyle w:val="Compact"/>
            </w:pPr>
            <w:r>
              <w:t xml:space="preserve">γ₁</w:t>
            </w:r>
          </w:p>
        </w:tc>
      </w:tr>
      <w:tr>
        <w:tc>
          <w:tcPr/>
          <w:p>
            <w:pPr>
              <w:pStyle w:val="Compact"/>
            </w:pPr>
            <w:r>
              <w:t xml:space="preserve">0</w:t>
            </w:r>
          </w:p>
        </w:tc>
        <w:tc>
          <w:tcPr/>
          <w:p>
            <w:pPr>
              <w:pStyle w:val="Compact"/>
            </w:pPr>
            <w:r>
              <w:t xml:space="preserve">824</w:t>
            </w:r>
          </w:p>
        </w:tc>
        <w:tc>
          <w:tcPr/>
          <w:p>
            <w:pPr>
              <w:pStyle w:val="Compact"/>
            </w:pPr>
            <w:r>
              <w:t xml:space="preserve">125</w:t>
            </w:r>
          </w:p>
        </w:tc>
        <w:tc>
          <w:tcPr/>
          <w:p>
            <w:pPr>
              <w:pStyle w:val="Compact"/>
            </w:pPr>
            <w:r>
              <w:t xml:space="preserve">0.962</w:t>
            </w:r>
          </w:p>
        </w:tc>
        <w:tc>
          <w:tcPr/>
          <w:p>
            <w:pPr>
              <w:pStyle w:val="Compact"/>
            </w:pPr>
            <w:r>
              <w:t xml:space="preserve">0.788</w:t>
            </w:r>
          </w:p>
        </w:tc>
        <w:tc>
          <w:tcPr/>
          <w:p>
            <w:pPr>
              <w:pStyle w:val="Compact"/>
            </w:pPr>
            <w:r>
              <w:t xml:space="preserve">0.059</w:t>
            </w:r>
          </w:p>
        </w:tc>
        <w:tc>
          <w:tcPr/>
          <w:p>
            <w:pPr>
              <w:pStyle w:val="Compact"/>
            </w:pPr>
            <w:r>
              <w:t xml:space="preserve">0.161</w:t>
            </w:r>
          </w:p>
        </w:tc>
        <w:tc>
          <w:tcPr/>
          <w:p>
            <w:pPr>
              <w:pStyle w:val="Compact"/>
            </w:pPr>
            <w:r>
              <w:t xml:space="preserve">10 (5)</w:t>
            </w:r>
          </w:p>
        </w:tc>
        <w:tc>
          <w:tcPr/>
          <w:p>
            <w:pPr>
              <w:pStyle w:val="Compact"/>
            </w:pPr>
            <w:r>
              <w:t xml:space="preserve">0.959</w:t>
            </w:r>
          </w:p>
        </w:tc>
      </w:tr>
      <w:tr>
        <w:tc>
          <w:tcPr/>
          <w:p>
            <w:pPr>
              <w:pStyle w:val="Compact"/>
            </w:pPr>
            <w:r>
              <w:t xml:space="preserve">1</w:t>
            </w:r>
          </w:p>
        </w:tc>
        <w:tc>
          <w:tcPr/>
          <w:p>
            <w:pPr>
              <w:pStyle w:val="Compact"/>
            </w:pPr>
            <w:r>
              <w:t xml:space="preserve">773</w:t>
            </w:r>
          </w:p>
        </w:tc>
        <w:tc>
          <w:tcPr/>
          <w:p>
            <w:pPr>
              <w:pStyle w:val="Compact"/>
            </w:pPr>
            <w:r>
              <w:t xml:space="preserve">101</w:t>
            </w:r>
          </w:p>
        </w:tc>
        <w:tc>
          <w:tcPr/>
          <w:p>
            <w:pPr>
              <w:pStyle w:val="Compact"/>
            </w:pPr>
            <w:r>
              <w:t xml:space="preserve">0.965</w:t>
            </w:r>
          </w:p>
        </w:tc>
        <w:tc>
          <w:tcPr/>
          <w:p>
            <w:pPr>
              <w:pStyle w:val="Compact"/>
            </w:pPr>
            <w:r>
              <w:t xml:space="preserve">0.854</w:t>
            </w:r>
          </w:p>
        </w:tc>
        <w:tc>
          <w:tcPr/>
          <w:p>
            <w:pPr>
              <w:pStyle w:val="Compact"/>
            </w:pPr>
            <w:r>
              <w:t xml:space="preserve">0.046</w:t>
            </w:r>
          </w:p>
        </w:tc>
        <w:tc>
          <w:tcPr/>
          <w:p>
            <w:pPr>
              <w:pStyle w:val="Compact"/>
            </w:pPr>
            <w:r>
              <w:t xml:space="preserve">0.140</w:t>
            </w:r>
          </w:p>
        </w:tc>
        <w:tc>
          <w:tcPr/>
          <w:p>
            <w:pPr>
              <w:pStyle w:val="Compact"/>
            </w:pPr>
            <w:r>
              <w:t xml:space="preserve">10 (5)</w:t>
            </w:r>
          </w:p>
        </w:tc>
        <w:tc>
          <w:tcPr/>
          <w:p>
            <w:pPr>
              <w:pStyle w:val="Compact"/>
            </w:pPr>
            <w:r>
              <w:t xml:space="preserve">0.947</w:t>
            </w:r>
          </w:p>
        </w:tc>
      </w:tr>
      <w:tr>
        <w:tc>
          <w:tcPr/>
          <w:p>
            <w:pPr>
              <w:pStyle w:val="Compact"/>
            </w:pPr>
            <w:r>
              <w:t xml:space="preserve">2</w:t>
            </w:r>
          </w:p>
        </w:tc>
        <w:tc>
          <w:tcPr/>
          <w:p>
            <w:pPr>
              <w:pStyle w:val="Compact"/>
            </w:pPr>
            <w:r>
              <w:t xml:space="preserve">807</w:t>
            </w:r>
          </w:p>
        </w:tc>
        <w:tc>
          <w:tcPr/>
          <w:p>
            <w:pPr>
              <w:pStyle w:val="Compact"/>
            </w:pPr>
            <w:r>
              <w:t xml:space="preserve">112</w:t>
            </w:r>
          </w:p>
        </w:tc>
        <w:tc>
          <w:tcPr/>
          <w:p>
            <w:pPr>
              <w:pStyle w:val="Compact"/>
            </w:pPr>
            <w:r>
              <w:t xml:space="preserve">0.949</w:t>
            </w:r>
          </w:p>
        </w:tc>
        <w:tc>
          <w:tcPr/>
          <w:p>
            <w:pPr>
              <w:pStyle w:val="Compact"/>
            </w:pPr>
            <w:r>
              <w:t xml:space="preserve">0.735</w:t>
            </w:r>
          </w:p>
        </w:tc>
        <w:tc>
          <w:tcPr/>
          <w:p>
            <w:pPr>
              <w:pStyle w:val="Compact"/>
            </w:pPr>
            <w:r>
              <w:t xml:space="preserve">0.035</w:t>
            </w:r>
          </w:p>
        </w:tc>
        <w:tc>
          <w:tcPr/>
          <w:p>
            <w:pPr>
              <w:pStyle w:val="Compact"/>
            </w:pPr>
            <w:r>
              <w:t xml:space="preserve">0.164</w:t>
            </w:r>
          </w:p>
        </w:tc>
        <w:tc>
          <w:tcPr/>
          <w:p>
            <w:pPr>
              <w:pStyle w:val="Compact"/>
            </w:pPr>
            <w:r>
              <w:t xml:space="preserve">10 (5)</w:t>
            </w:r>
          </w:p>
        </w:tc>
        <w:tc>
          <w:tcPr/>
          <w:p>
            <w:pPr>
              <w:pStyle w:val="Compact"/>
            </w:pPr>
            <w:r>
              <w:t xml:space="preserve">0.958</w:t>
            </w:r>
          </w:p>
        </w:tc>
      </w:tr>
      <w:tr>
        <w:tc>
          <w:tcPr/>
          <w:p>
            <w:pPr>
              <w:pStyle w:val="Compact"/>
            </w:pPr>
            <w:r>
              <w:t xml:space="preserve">3</w:t>
            </w:r>
          </w:p>
        </w:tc>
        <w:tc>
          <w:tcPr/>
          <w:p>
            <w:pPr>
              <w:pStyle w:val="Compact"/>
            </w:pPr>
            <w:r>
              <w:t xml:space="preserve">772</w:t>
            </w:r>
          </w:p>
        </w:tc>
        <w:tc>
          <w:tcPr/>
          <w:p>
            <w:pPr>
              <w:pStyle w:val="Compact"/>
            </w:pPr>
            <w:r>
              <w:t xml:space="preserve">110</w:t>
            </w:r>
          </w:p>
        </w:tc>
        <w:tc>
          <w:tcPr/>
          <w:p>
            <w:pPr>
              <w:pStyle w:val="Compact"/>
            </w:pPr>
            <w:r>
              <w:t xml:space="preserve">0.962</w:t>
            </w:r>
          </w:p>
        </w:tc>
        <w:tc>
          <w:tcPr/>
          <w:p>
            <w:pPr>
              <w:pStyle w:val="Compact"/>
            </w:pPr>
            <w:r>
              <w:t xml:space="preserve">0.811</w:t>
            </w:r>
          </w:p>
        </w:tc>
        <w:tc>
          <w:tcPr/>
          <w:p>
            <w:pPr>
              <w:pStyle w:val="Compact"/>
            </w:pPr>
            <w:r>
              <w:t xml:space="preserve">0.045</w:t>
            </w:r>
          </w:p>
        </w:tc>
        <w:tc>
          <w:tcPr/>
          <w:p>
            <w:pPr>
              <w:pStyle w:val="Compact"/>
            </w:pPr>
            <w:r>
              <w:t xml:space="preserve">0.154</w:t>
            </w:r>
          </w:p>
        </w:tc>
        <w:tc>
          <w:tcPr/>
          <w:p>
            <w:pPr>
              <w:pStyle w:val="Compact"/>
            </w:pPr>
            <w:r>
              <w:t xml:space="preserve">10 (5)</w:t>
            </w:r>
          </w:p>
        </w:tc>
        <w:tc>
          <w:tcPr/>
          <w:p>
            <w:pPr>
              <w:pStyle w:val="Compact"/>
            </w:pPr>
            <w:r>
              <w:t xml:space="preserve">0.955</w:t>
            </w:r>
          </w:p>
        </w:tc>
      </w:tr>
      <w:tr>
        <w:tc>
          <w:tcPr/>
          <w:p>
            <w:pPr>
              <w:pStyle w:val="Compact"/>
            </w:pPr>
            <w:r>
              <w:t xml:space="preserve">4 (payment modification)</w:t>
            </w:r>
          </w:p>
        </w:tc>
        <w:tc>
          <w:tcPr/>
          <w:p>
            <w:pPr>
              <w:pStyle w:val="Compact"/>
            </w:pPr>
            <w:r>
              <w:t xml:space="preserve">726</w:t>
            </w:r>
          </w:p>
        </w:tc>
        <w:tc>
          <w:tcPr/>
          <w:p>
            <w:pPr>
              <w:pStyle w:val="Compact"/>
            </w:pPr>
            <w:r>
              <w:t xml:space="preserve">135</w:t>
            </w:r>
          </w:p>
        </w:tc>
        <w:tc>
          <w:tcPr/>
          <w:p>
            <w:pPr>
              <w:pStyle w:val="Compact"/>
            </w:pPr>
            <w:r>
              <w:t xml:space="preserve">0.978</w:t>
            </w:r>
          </w:p>
        </w:tc>
        <w:tc>
          <w:tcPr/>
          <w:p>
            <w:pPr>
              <w:pStyle w:val="Compact"/>
            </w:pPr>
            <w:r>
              <w:t xml:space="preserve">0.906</w:t>
            </w:r>
          </w:p>
        </w:tc>
        <w:tc>
          <w:tcPr/>
          <w:p>
            <w:pPr>
              <w:pStyle w:val="Compact"/>
            </w:pPr>
            <w:r>
              <w:t xml:space="preserve">0.087</w:t>
            </w:r>
          </w:p>
        </w:tc>
        <w:tc>
          <w:tcPr/>
          <w:p>
            <w:pPr>
              <w:pStyle w:val="Compact"/>
            </w:pPr>
            <w:r>
              <w:t xml:space="preserve">0.148</w:t>
            </w:r>
          </w:p>
        </w:tc>
        <w:tc>
          <w:tcPr/>
          <w:p>
            <w:pPr>
              <w:pStyle w:val="Compact"/>
            </w:pPr>
            <w:r>
              <w:t xml:space="preserve">10 (5)</w:t>
            </w:r>
          </w:p>
        </w:tc>
        <w:tc>
          <w:tcPr/>
          <w:p>
            <w:pPr>
              <w:pStyle w:val="Compact"/>
            </w:pPr>
            <w:r>
              <w:t xml:space="preserve">0.947</w:t>
            </w:r>
          </w:p>
        </w:tc>
      </w:tr>
      <w:tr>
        <w:tc>
          <w:tcPr/>
          <w:p>
            <w:pPr>
              <w:pStyle w:val="Compact"/>
            </w:pPr>
            <w:r>
              <w:t xml:space="preserve">5</w:t>
            </w:r>
          </w:p>
        </w:tc>
        <w:tc>
          <w:tcPr/>
          <w:p>
            <w:pPr>
              <w:pStyle w:val="Compact"/>
            </w:pPr>
            <w:r>
              <w:t xml:space="preserve">634</w:t>
            </w:r>
          </w:p>
        </w:tc>
        <w:tc>
          <w:tcPr/>
          <w:p>
            <w:pPr>
              <w:pStyle w:val="Compact"/>
            </w:pPr>
            <w:r>
              <w:t xml:space="preserve">23</w:t>
            </w:r>
          </w:p>
        </w:tc>
        <w:tc>
          <w:tcPr/>
          <w:p>
            <w:pPr>
              <w:pStyle w:val="Compact"/>
            </w:pPr>
            <w:r>
              <w:t xml:space="preserve">0.859</w:t>
            </w:r>
          </w:p>
        </w:tc>
        <w:tc>
          <w:tcPr/>
          <w:p>
            <w:pPr>
              <w:pStyle w:val="Compact"/>
            </w:pPr>
            <w:r>
              <w:t xml:space="preserve">0.308</w:t>
            </w:r>
          </w:p>
        </w:tc>
        <w:tc>
          <w:tcPr/>
          <w:p>
            <w:pPr>
              <w:pStyle w:val="Compact"/>
            </w:pPr>
            <w:r>
              <w:t xml:space="preserve">0.068</w:t>
            </w:r>
          </w:p>
        </w:tc>
        <w:tc>
          <w:tcPr/>
          <w:p>
            <w:pPr>
              <w:pStyle w:val="Compact"/>
            </w:pPr>
            <w:r>
              <w:t xml:space="preserve">0.164</w:t>
            </w:r>
          </w:p>
        </w:tc>
        <w:tc>
          <w:tcPr/>
          <w:p>
            <w:pPr>
              <w:pStyle w:val="Compact"/>
            </w:pPr>
            <w:r>
              <w:t xml:space="preserve">10 (5)</w:t>
            </w:r>
          </w:p>
        </w:tc>
        <w:tc>
          <w:tcPr/>
          <w:p>
            <w:pPr>
              <w:pStyle w:val="Compact"/>
            </w:pPr>
            <w:r>
              <w:t xml:space="preserve">0.969</w:t>
            </w:r>
          </w:p>
        </w:tc>
      </w:tr>
      <w:tr>
        <w:tc>
          <w:tcPr/>
          <w:p>
            <w:pPr>
              <w:pStyle w:val="Compact"/>
            </w:pPr>
            <w:r>
              <w:t xml:space="preserve">6</w:t>
            </w:r>
          </w:p>
        </w:tc>
        <w:tc>
          <w:tcPr/>
          <w:p>
            <w:pPr>
              <w:pStyle w:val="Compact"/>
            </w:pPr>
            <w:r>
              <w:t xml:space="preserve">666</w:t>
            </w:r>
          </w:p>
        </w:tc>
        <w:tc>
          <w:tcPr/>
          <w:p>
            <w:pPr>
              <w:pStyle w:val="Compact"/>
            </w:pPr>
            <w:r>
              <w:t xml:space="preserve">79</w:t>
            </w:r>
          </w:p>
        </w:tc>
        <w:tc>
          <w:tcPr/>
          <w:p>
            <w:pPr>
              <w:pStyle w:val="Compact"/>
            </w:pPr>
            <w:r>
              <w:t xml:space="preserve">0.909</w:t>
            </w:r>
          </w:p>
        </w:tc>
        <w:tc>
          <w:tcPr/>
          <w:p>
            <w:pPr>
              <w:pStyle w:val="Compact"/>
            </w:pPr>
            <w:r>
              <w:t xml:space="preserve">0.501</w:t>
            </w:r>
          </w:p>
        </w:tc>
        <w:tc>
          <w:tcPr/>
          <w:p>
            <w:pPr>
              <w:pStyle w:val="Compact"/>
            </w:pPr>
            <w:r>
              <w:t xml:space="preserve">0.075</w:t>
            </w:r>
          </w:p>
        </w:tc>
        <w:tc>
          <w:tcPr/>
          <w:p>
            <w:pPr>
              <w:pStyle w:val="Compact"/>
            </w:pPr>
            <w:r>
              <w:t xml:space="preserve">0.225</w:t>
            </w:r>
          </w:p>
        </w:tc>
        <w:tc>
          <w:tcPr/>
          <w:p>
            <w:pPr>
              <w:pStyle w:val="Compact"/>
            </w:pPr>
            <w:r>
              <w:t xml:space="preserve">10 (5)</w:t>
            </w:r>
          </w:p>
        </w:tc>
        <w:tc>
          <w:tcPr/>
          <w:p>
            <w:pPr>
              <w:pStyle w:val="Compact"/>
            </w:pPr>
            <w:r>
              <w:t xml:space="preserve">0.981</w:t>
            </w:r>
          </w:p>
        </w:tc>
      </w:tr>
      <w:tr>
        <w:tc>
          <w:tcPr/>
          <w:p>
            <w:pPr>
              <w:pStyle w:val="Compact"/>
            </w:pPr>
            <w:r>
              <w:t xml:space="preserve">7 (credential change)</w:t>
            </w:r>
          </w:p>
        </w:tc>
        <w:tc>
          <w:tcPr/>
          <w:p>
            <w:pPr>
              <w:pStyle w:val="Compact"/>
            </w:pPr>
            <w:r>
              <w:t xml:space="preserve">730</w:t>
            </w:r>
          </w:p>
        </w:tc>
        <w:tc>
          <w:tcPr/>
          <w:p>
            <w:pPr>
              <w:pStyle w:val="Compact"/>
            </w:pPr>
            <w:r>
              <w:t xml:space="preserve">124</w:t>
            </w:r>
          </w:p>
        </w:tc>
        <w:tc>
          <w:tcPr/>
          <w:p>
            <w:pPr>
              <w:pStyle w:val="Compact"/>
            </w:pPr>
            <w:r>
              <w:t xml:space="preserve">0.903</w:t>
            </w:r>
          </w:p>
        </w:tc>
        <w:tc>
          <w:tcPr/>
          <w:p>
            <w:pPr>
              <w:pStyle w:val="Compact"/>
            </w:pPr>
            <w:r>
              <w:t xml:space="preserve">0.577</w:t>
            </w:r>
          </w:p>
        </w:tc>
        <w:tc>
          <w:tcPr/>
          <w:p>
            <w:pPr>
              <w:pStyle w:val="Compact"/>
            </w:pPr>
            <w:r>
              <w:rPr>
                <w:b/>
                <w:bCs/>
              </w:rPr>
              <w:t xml:space="preserve">0.189</w:t>
            </w:r>
          </w:p>
        </w:tc>
        <w:tc>
          <w:tcPr/>
          <w:p>
            <w:pPr>
              <w:pStyle w:val="Compact"/>
            </w:pPr>
            <w:r>
              <w:rPr>
                <w:b/>
                <w:bCs/>
              </w:rPr>
              <w:t xml:space="preserve">0.530</w:t>
            </w:r>
          </w:p>
        </w:tc>
        <w:tc>
          <w:tcPr/>
          <w:p>
            <w:pPr>
              <w:pStyle w:val="Compact"/>
            </w:pPr>
            <w:r>
              <w:t xml:space="preserve">1 (0.5)</w:t>
            </w:r>
          </w:p>
        </w:tc>
        <w:tc>
          <w:tcPr/>
          <w:p>
            <w:pPr>
              <w:pStyle w:val="Compact"/>
            </w:pPr>
            <w:r>
              <w:t xml:space="preserve">0.980</w:t>
            </w:r>
          </w:p>
        </w:tc>
      </w:tr>
      <w:tr>
        <w:tc>
          <w:tcPr/>
          <w:p>
            <w:pPr>
              <w:pStyle w:val="Compact"/>
            </w:pPr>
            <w:r>
              <w:t xml:space="preserve">8</w:t>
            </w:r>
          </w:p>
        </w:tc>
        <w:tc>
          <w:tcPr/>
          <w:p>
            <w:pPr>
              <w:pStyle w:val="Compact"/>
            </w:pPr>
            <w:r>
              <w:t xml:space="preserve">830</w:t>
            </w:r>
          </w:p>
        </w:tc>
        <w:tc>
          <w:tcPr/>
          <w:p>
            <w:pPr>
              <w:pStyle w:val="Compact"/>
            </w:pPr>
            <w:r>
              <w:t xml:space="preserve">112</w:t>
            </w:r>
          </w:p>
        </w:tc>
        <w:tc>
          <w:tcPr/>
          <w:p>
            <w:pPr>
              <w:pStyle w:val="Compact"/>
            </w:pPr>
            <w:r>
              <w:t xml:space="preserve">0.959</w:t>
            </w:r>
          </w:p>
        </w:tc>
        <w:tc>
          <w:tcPr/>
          <w:p>
            <w:pPr>
              <w:pStyle w:val="Compact"/>
            </w:pPr>
            <w:r>
              <w:t xml:space="preserve">0.859</w:t>
            </w:r>
          </w:p>
        </w:tc>
        <w:tc>
          <w:tcPr/>
          <w:p>
            <w:pPr>
              <w:pStyle w:val="Compact"/>
            </w:pPr>
            <w:r>
              <w:t xml:space="preserve">0.037</w:t>
            </w:r>
          </w:p>
        </w:tc>
        <w:tc>
          <w:tcPr/>
          <w:p>
            <w:pPr>
              <w:pStyle w:val="Compact"/>
            </w:pPr>
            <w:r>
              <w:t xml:space="preserve">0.146</w:t>
            </w:r>
          </w:p>
        </w:tc>
        <w:tc>
          <w:tcPr/>
          <w:p>
            <w:pPr>
              <w:pStyle w:val="Compact"/>
            </w:pPr>
            <w:r>
              <w:t xml:space="preserve">10 (5)</w:t>
            </w:r>
          </w:p>
        </w:tc>
        <w:tc>
          <w:tcPr/>
          <w:p>
            <w:pPr>
              <w:pStyle w:val="Compact"/>
            </w:pPr>
            <w:r>
              <w:t xml:space="preserve">0.945</w:t>
            </w:r>
          </w:p>
        </w:tc>
      </w:tr>
    </w:tbl>
    <w:p>
      <w:pPr>
        <w:pStyle w:val="BodyText"/>
      </w:pPr>
      <w:r>
        <w:t xml:space="preserve">Findings:</w:t>
      </w:r>
    </w:p>
    <w:p>
      <w:pPr>
        <w:pStyle w:val="Compact"/>
        <w:numPr>
          <w:ilvl w:val="0"/>
          <w:numId w:val="1005"/>
        </w:numPr>
      </w:pPr>
      <w:r>
        <w:rPr>
          <w:b/>
          <w:bCs/>
        </w:rPr>
        <w:t xml:space="preserve">Discrimination holds on held-out attacker objectives.</w:t>
      </w:r>
      <w:r>
        <w:t xml:space="preserve"> </w:t>
      </w:r>
      <w:r>
        <w:t xml:space="preserve">Held-out ROC-AUC is 0.86–0.98 per fold.</w:t>
      </w:r>
    </w:p>
    <w:p>
      <w:pPr>
        <w:pStyle w:val="Compact"/>
        <w:numPr>
          <w:ilvl w:val="0"/>
          <w:numId w:val="1005"/>
        </w:numPr>
      </w:pPr>
      <w:r>
        <w:rPr>
          <w:b/>
          <w:bCs/>
        </w:rPr>
        <w:t xml:space="preserve">Calibration did not transfer to the one held-out attack category not seen in fitting.</w:t>
      </w:r>
      <w:r>
        <w:t xml:space="preserve"> </w:t>
      </w:r>
      <w:r>
        <w:t xml:space="preserve">Injection task 7 is the only credential-change attack. Its fold has ECE 0.189 and log-loss 0.53, three to four times the other folds.</w:t>
      </w:r>
    </w:p>
    <w:p>
      <w:pPr>
        <w:pStyle w:val="Compact"/>
        <w:numPr>
          <w:ilvl w:val="0"/>
          <w:numId w:val="1005"/>
        </w:numPr>
      </w:pPr>
      <w:r>
        <w:rPr>
          <w:b/>
          <w:bCs/>
        </w:rPr>
        <w:t xml:space="preserve">No calibration improvement was observed.</w:t>
      </w:r>
      <w:r>
        <w:t xml:space="preserve"> </w:t>
      </w:r>
      <w:r>
        <w:t xml:space="preserve">The fitted maps are close to the identity (γ₁ = 0.945–0.981), and pooled ECE is 0.044 with calibration and 0.042 without. This does not show that calibration is useless. It shows that the ridge model’s own probabilities were already close to calibrated on in-distribution folds, and that the map did not repair the miscalibration in fold 7.</w:t>
      </w:r>
    </w:p>
    <w:p>
      <w:pPr>
        <w:pStyle w:val="Compact"/>
        <w:numPr>
          <w:ilvl w:val="0"/>
          <w:numId w:val="1005"/>
        </w:numPr>
      </w:pPr>
      <w:r>
        <w:rPr>
          <w:b/>
          <w:bCs/>
        </w:rPr>
        <w:t xml:space="preserve">Other generalization checks</w:t>
      </w:r>
      <w:r>
        <w:t xml:space="preserve"> </w:t>
      </w:r>
      <w:r>
        <w:t xml:space="preserve">(</w:t>
      </w:r>
      <w:r>
        <w:rPr>
          <w:rStyle w:val="VerbatimChar"/>
        </w:rPr>
        <w:t xml:space="preserve">e1_crossfit.json</w:t>
      </w:r>
      <w:r>
        <w:t xml:space="preserve">,</w:t>
      </w:r>
      <w:r>
        <w:t xml:space="preserve"> </w:t>
      </w:r>
      <w:r>
        <w:rPr>
          <w:rStyle w:val="VerbatimChar"/>
        </w:rPr>
        <w:t xml:space="preserve">e4_cross_template_and_defenses.json</w:t>
      </w:r>
      <w:r>
        <w:t xml:space="preserve">):</w:t>
      </w:r>
    </w:p>
    <w:p>
      <w:pPr>
        <w:pStyle w:val="Compact"/>
        <w:numPr>
          <w:ilvl w:val="1"/>
          <w:numId w:val="1006"/>
        </w:numPr>
      </w:pPr>
      <w:r>
        <w:t xml:space="preserve">leave-one-backbone-out (21 folds): pooled ROC-AUC 0.949; per held-out backbone 0.736 (claude-3-haiku) to 1.000;</w:t>
      </w:r>
    </w:p>
    <w:p>
      <w:pPr>
        <w:pStyle w:val="Compact"/>
        <w:numPr>
          <w:ilvl w:val="1"/>
          <w:numId w:val="1006"/>
        </w:numPr>
      </w:pPr>
      <w:r>
        <w:t xml:space="preserve">grouping by user task (16 folds): pooled ROC-AUC 0.943. One fold, user_task_15, scores 0.211; Section 5.10 explains this as a label problem;</w:t>
      </w:r>
    </w:p>
    <w:p>
      <w:pPr>
        <w:pStyle w:val="Compact"/>
        <w:numPr>
          <w:ilvl w:val="1"/>
          <w:numId w:val="1006"/>
        </w:numPr>
      </w:pPr>
      <w:r>
        <w:t xml:space="preserve">five other attack templates on gpt-4o, with no refitting: ROC-AUC 0.922–0.959, ECE 0.028–0.086.</w:t>
      </w:r>
    </w:p>
    <w:p>
      <w:pPr>
        <w:pStyle w:val="CaptionedFigure"/>
      </w:pPr>
      <w:r>
        <w:drawing>
          <wp:inline>
            <wp:extent cx="3066415" cy="2920395"/>
            <wp:effectExtent b="0" l="0" r="0" t="0"/>
            <wp:docPr descr="Figure 5.1. Held-out reliability diagram, calibrated and uncalibrated (10 equal-width bins). Mid-range bins contain few steps." title="" id="25" name="Picture"/>
            <a:graphic>
              <a:graphicData uri="http://schemas.openxmlformats.org/drawingml/2006/picture">
                <pic:pic>
                  <pic:nvPicPr>
                    <pic:cNvPr descr="results/pilot_R2/figures/fig_reliability.png" id="26" name="Picture"/>
                    <pic:cNvPicPr>
                      <a:picLocks noChangeArrowheads="1" noChangeAspect="1"/>
                    </pic:cNvPicPr>
                  </pic:nvPicPr>
                  <pic:blipFill>
                    <a:blip r:embed="rId24"/>
                    <a:stretch>
                      <a:fillRect/>
                    </a:stretch>
                  </pic:blipFill>
                  <pic:spPr bwMode="auto">
                    <a:xfrm>
                      <a:off x="0" y="0"/>
                      <a:ext cx="3066415" cy="2920395"/>
                    </a:xfrm>
                    <a:prstGeom prst="rect">
                      <a:avLst/>
                    </a:prstGeom>
                    <a:noFill/>
                    <a:ln w="9525">
                      <a:noFill/>
                      <a:headEnd/>
                      <a:tailEnd/>
                    </a:ln>
                  </pic:spPr>
                </pic:pic>
              </a:graphicData>
            </a:graphic>
          </wp:inline>
        </w:drawing>
      </w:r>
    </w:p>
    <w:p>
      <w:pPr>
        <w:pStyle w:val="ImageCaption"/>
      </w:pPr>
      <w:r>
        <w:t xml:space="preserve">Figure 5.1. Held-out reliability diagram, calibrated and uncalibrated (10 equal-width bins). Mid-range bins contain few steps.</w:t>
      </w:r>
    </w:p>
    <w:bookmarkEnd w:id="27"/>
    <w:bookmarkStart w:id="28" w:name="rq2-observe-only-decisions"/>
    <w:p>
      <w:pPr>
        <w:pStyle w:val="Heading2"/>
      </w:pPr>
      <w:r>
        <w:t xml:space="preserve">5.5 RQ2 — Observe-Only Decisions</w:t>
      </w:r>
    </w:p>
    <w:p>
      <w:pPr>
        <w:pStyle w:val="FirstParagraph"/>
      </w:pPr>
      <w:r>
        <w:t xml:space="preserve">All three policies use the same held-out calibrated probabilities and the same predicates:</w:t>
      </w:r>
    </w:p>
    <w:p>
      <w:pPr>
        <w:pStyle w:val="Compact"/>
        <w:numPr>
          <w:ilvl w:val="0"/>
          <w:numId w:val="1007"/>
        </w:numPr>
      </w:pPr>
      <w:r>
        <w:rPr>
          <w:b/>
          <w:bCs/>
        </w:rPr>
        <w:t xml:space="preserve">REM</w:t>
      </w:r>
      <w:r>
        <w:t xml:space="preserve"> </w:t>
      </w:r>
      <w:r>
        <w:t xml:space="preserve">adds tier-indexed expected loss with Escalate available;</w:t>
      </w:r>
    </w:p>
    <w:p>
      <w:pPr>
        <w:pStyle w:val="Compact"/>
        <w:numPr>
          <w:ilvl w:val="0"/>
          <w:numId w:val="1007"/>
        </w:numPr>
      </w:pPr>
      <w:r>
        <w:rPr>
          <w:b/>
          <w:bCs/>
        </w:rPr>
        <w:t xml:space="preserve">REM without expected-loss Escalate</w:t>
      </w:r>
      <w:r>
        <w:t xml:space="preserve"> </w:t>
      </w:r>
      <w:r>
        <w:t xml:space="preserve">(post-hoc) has the same escalation opportunity as the baseline (D2 only);</w:t>
      </w:r>
    </w:p>
    <w:p>
      <w:pPr>
        <w:pStyle w:val="Compact"/>
        <w:numPr>
          <w:ilvl w:val="0"/>
          <w:numId w:val="1007"/>
        </w:numPr>
      </w:pPr>
      <w:r>
        <w:rPr>
          <w:b/>
          <w:bCs/>
        </w:rPr>
        <w:t xml:space="preserve">B1</w:t>
      </w:r>
      <w:r>
        <w:t xml:space="preserve"> </w:t>
      </w:r>
      <w:r>
        <w:t xml:space="preserve">is the baseline with the thresholds of Eq. 3.14.</w:t>
      </w:r>
    </w:p>
    <w:p>
      <w:pPr>
        <w:pStyle w:val="FirstParagraph"/>
      </w:pPr>
      <w:r>
        <w:t xml:space="preserve">Verdicts were computed on the recorded steps and not enforced.</w:t>
      </w:r>
    </w:p>
    <w:p>
      <w:pPr>
        <w:pStyle w:val="TableCaption"/>
      </w:pPr>
      <w:r>
        <w:t xml:space="preserve">Table 5.5. Observe-only verdicts on held-out steps (y = 0: n = 5,841; y = 1: n = 921;</w:t>
      </w:r>
      <w:r>
        <w:t xml:space="preserve"> </w:t>
      </w:r>
      <w:r>
        <w:rPr>
          <w:rStyle w:val="VerbatimChar"/>
        </w:rPr>
        <w:t xml:space="preserve">e2_e5_e6_observe_only.json</w:t>
      </w:r>
      <w:r>
        <w:t xml:space="preserve">)</w:t>
      </w:r>
    </w:p>
    <w:tbl>
      <w:tblPr>
        <w:tblStyle w:val="Table"/>
        <w:tblW w:type="pct" w:w="5000"/>
        <w:tblLayout w:type="fixed"/>
        <w:tblLook w:firstRow="1" w:lastRow="0" w:firstColumn="0" w:lastColumn="0" w:noHBand="0" w:noVBand="0" w:val="0020"/>
        <w:tblCaption w:val="Table 5.5. Observe-only verdicts on held-out steps (y = 0: n = 5,841; y = 1: n = 921; e2_e5_e6_observe_only.json)"/>
      </w:tblPr>
      <w:tblGrid>
        <w:gridCol w:w="1980"/>
        <w:gridCol w:w="1980"/>
        <w:gridCol w:w="1980"/>
        <w:gridCol w:w="1980"/>
      </w:tblGrid>
      <w:tr>
        <w:trPr>
          <w:tblHeader w:val="on"/>
        </w:trPr>
        <w:tc>
          <w:tcPr/>
          <w:p>
            <w:pPr>
              <w:pStyle w:val="Compact"/>
            </w:pPr>
          </w:p>
        </w:tc>
        <w:tc>
          <w:tcPr/>
          <w:p>
            <w:pPr>
              <w:pStyle w:val="Compact"/>
            </w:pPr>
            <w:r>
              <w:t xml:space="preserve">REM</w:t>
            </w:r>
          </w:p>
        </w:tc>
        <w:tc>
          <w:tcPr/>
          <w:p>
            <w:pPr>
              <w:pStyle w:val="Compact"/>
            </w:pPr>
            <w:r>
              <w:t xml:space="preserve">REM w/o expected-loss Escalate</w:t>
            </w:r>
          </w:p>
        </w:tc>
        <w:tc>
          <w:tcPr/>
          <w:p>
            <w:pPr>
              <w:pStyle w:val="Compact"/>
            </w:pPr>
            <w:r>
              <w:t xml:space="preserve">B1</w:t>
            </w:r>
          </w:p>
        </w:tc>
      </w:tr>
      <w:tr>
        <w:tc>
          <w:tcPr/>
          <w:p>
            <w:pPr>
              <w:pStyle w:val="Compact"/>
            </w:pPr>
            <w:r>
              <w:t xml:space="preserve">Any intervention on y = 1 steps</w:t>
            </w:r>
          </w:p>
        </w:tc>
        <w:tc>
          <w:tcPr/>
          <w:p>
            <w:pPr>
              <w:pStyle w:val="Compact"/>
            </w:pPr>
            <w:r>
              <w:t xml:space="preserve">0.973 [0.957, 0.987]</w:t>
            </w:r>
          </w:p>
        </w:tc>
        <w:tc>
          <w:tcPr/>
          <w:p>
            <w:pPr>
              <w:pStyle w:val="Compact"/>
            </w:pPr>
            <w:r>
              <w:t xml:space="preserve">0.973</w:t>
            </w:r>
          </w:p>
        </w:tc>
        <w:tc>
          <w:tcPr/>
          <w:p>
            <w:pPr>
              <w:pStyle w:val="Compact"/>
            </w:pPr>
            <w:r>
              <w:t xml:space="preserve">0.740 [0.473, 0.922]</w:t>
            </w:r>
          </w:p>
        </w:tc>
      </w:tr>
      <w:tr>
        <w:tc>
          <w:tcPr/>
          <w:p>
            <w:pPr>
              <w:pStyle w:val="Compact"/>
            </w:pPr>
            <w:r>
              <w:t xml:space="preserve">Any intervention on y = 0 steps (step false-positive rate)</w:t>
            </w:r>
          </w:p>
        </w:tc>
        <w:tc>
          <w:tcPr/>
          <w:p>
            <w:pPr>
              <w:pStyle w:val="Compact"/>
            </w:pPr>
            <w:r>
              <w:t xml:space="preserve">0.227 [0.213, 0.239]</w:t>
            </w:r>
          </w:p>
        </w:tc>
        <w:tc>
          <w:tcPr/>
          <w:p>
            <w:pPr>
              <w:pStyle w:val="Compact"/>
            </w:pPr>
            <w:r>
              <w:t xml:space="preserve">0.198</w:t>
            </w:r>
          </w:p>
        </w:tc>
        <w:tc>
          <w:tcPr/>
          <w:p>
            <w:pPr>
              <w:pStyle w:val="Compact"/>
            </w:pPr>
            <w:r>
              <w:t xml:space="preserve">0.056 [0.047, 0.066]</w:t>
            </w:r>
          </w:p>
        </w:tc>
      </w:tr>
      <w:tr>
        <w:tc>
          <w:tcPr/>
          <w:p>
            <w:pPr>
              <w:pStyle w:val="Compact"/>
            </w:pPr>
            <w:r>
              <w:t xml:space="preserve">Escalate share of all steps</w:t>
            </w:r>
          </w:p>
        </w:tc>
        <w:tc>
          <w:tcPr/>
          <w:p>
            <w:pPr>
              <w:pStyle w:val="Compact"/>
            </w:pPr>
            <w:r>
              <w:t xml:space="preserve">0.196</w:t>
            </w:r>
          </w:p>
        </w:tc>
        <w:tc>
          <w:tcPr/>
          <w:p>
            <w:pPr>
              <w:pStyle w:val="Compact"/>
            </w:pPr>
            <w:r>
              <w:t xml:space="preserve">0.009</w:t>
            </w:r>
          </w:p>
        </w:tc>
        <w:tc>
          <w:tcPr/>
          <w:p>
            <w:pPr>
              <w:pStyle w:val="Compact"/>
            </w:pPr>
            <w:r>
              <w:t xml:space="preserve">0.009</w:t>
            </w:r>
          </w:p>
        </w:tc>
      </w:tr>
      <w:tr>
        <w:tc>
          <w:tcPr/>
          <w:p>
            <w:pPr>
              <w:pStyle w:val="Compact"/>
            </w:pPr>
            <w:r>
              <w:t xml:space="preserve">y = 0 steps withheld if an idealized reviewer resolves escalations</w:t>
            </w:r>
          </w:p>
        </w:tc>
        <w:tc>
          <w:tcPr/>
          <w:p>
            <w:pPr>
              <w:pStyle w:val="Compact"/>
            </w:pPr>
            <w:r>
              <w:t xml:space="preserve">0.040</w:t>
            </w:r>
          </w:p>
        </w:tc>
        <w:tc>
          <w:tcPr/>
          <w:p>
            <w:pPr>
              <w:pStyle w:val="Compact"/>
            </w:pPr>
            <w:r>
              <w:t xml:space="preserve">0.188</w:t>
            </w:r>
          </w:p>
        </w:tc>
        <w:tc>
          <w:tcPr/>
          <w:p>
            <w:pPr>
              <w:pStyle w:val="Compact"/>
            </w:pPr>
            <w:r>
              <w:t xml:space="preserve">0.046</w:t>
            </w:r>
          </w:p>
        </w:tc>
      </w:tr>
      <w:tr>
        <w:tc>
          <w:tcPr/>
          <w:p>
            <w:pPr>
              <w:pStyle w:val="Compact"/>
            </w:pPr>
            <w:r>
              <w:t xml:space="preserve">Ties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Verdicts fixed by D2</w:t>
            </w:r>
          </w:p>
        </w:tc>
        <w:tc>
          <w:tcPr/>
          <w:p>
            <w:pPr>
              <w:pStyle w:val="Compact"/>
            </w:pPr>
            <w:r>
              <w:t xml:space="preserve">58</w:t>
            </w:r>
          </w:p>
        </w:tc>
        <w:tc>
          <w:tcPr/>
          <w:p>
            <w:pPr>
              <w:pStyle w:val="Compact"/>
            </w:pPr>
            <w:r>
              <w:t xml:space="preserve">58</w:t>
            </w:r>
          </w:p>
        </w:tc>
        <w:tc>
          <w:tcPr/>
          <w:p>
            <w:pPr>
              <w:pStyle w:val="Compact"/>
            </w:pPr>
            <w:r>
              <w:t xml:space="preserve">58</w:t>
            </w:r>
          </w:p>
        </w:tc>
      </w:tr>
    </w:tbl>
    <w:p/>
    <w:p>
      <w:pPr>
        <w:pStyle w:val="TableCaption"/>
      </w:pPr>
      <w:r>
        <w:t xml:space="preserve">Table 5.6. Observe-only interventions by consequence tier and action category (</w:t>
      </w:r>
      <w:r>
        <w:rPr>
          <w:rStyle w:val="VerbatimChar"/>
        </w:rPr>
        <w:t xml:space="preserve">r2_breakdowns.json</w:t>
      </w:r>
      <w:r>
        <w:t xml:space="preserve">)</w:t>
      </w:r>
    </w:p>
    <w:tbl>
      <w:tblPr>
        <w:tblStyle w:val="Table"/>
        <w:tblW w:type="pct" w:w="5000"/>
        <w:tblLayout w:type="fixed"/>
        <w:tblLook w:firstRow="1" w:lastRow="0" w:firstColumn="0" w:lastColumn="0" w:noHBand="0" w:noVBand="0" w:val="0020"/>
        <w:tblCaption w:val="Table 5.6. Observe-only interventions by consequence tier and action category (r2_breakdowns.json)"/>
      </w:tblPr>
      <w:tblGrid>
        <w:gridCol w:w="1131"/>
        <w:gridCol w:w="1131"/>
        <w:gridCol w:w="1131"/>
        <w:gridCol w:w="1131"/>
        <w:gridCol w:w="1131"/>
        <w:gridCol w:w="1131"/>
        <w:gridCol w:w="1131"/>
      </w:tblGrid>
      <w:tr>
        <w:trPr>
          <w:tblHeader w:val="on"/>
        </w:trPr>
        <w:tc>
          <w:tcPr/>
          <w:p>
            <w:pPr>
              <w:pStyle w:val="Compact"/>
            </w:pPr>
            <w:r>
              <w:t xml:space="preserve">Tier</w:t>
            </w:r>
          </w:p>
        </w:tc>
        <w:tc>
          <w:tcPr/>
          <w:p>
            <w:pPr>
              <w:pStyle w:val="Compact"/>
            </w:pPr>
            <w:r>
              <w:t xml:space="preserve">Category</w:t>
            </w:r>
          </w:p>
        </w:tc>
        <w:tc>
          <w:tcPr/>
          <w:p>
            <w:pPr>
              <w:pStyle w:val="Compact"/>
            </w:pPr>
            <w:r>
              <w:t xml:space="preserve">n (y = 0)</w:t>
            </w:r>
          </w:p>
        </w:tc>
        <w:tc>
          <w:tcPr/>
          <w:p>
            <w:pPr>
              <w:pStyle w:val="Compact"/>
            </w:pPr>
            <w:r>
              <w:t xml:space="preserve">n (y = 1)</w:t>
            </w:r>
          </w:p>
        </w:tc>
        <w:tc>
          <w:tcPr/>
          <w:p>
            <w:pPr>
              <w:pStyle w:val="Compact"/>
            </w:pPr>
            <w:r>
              <w:t xml:space="preserve">REM y=0 / y=1</w:t>
            </w:r>
          </w:p>
        </w:tc>
        <w:tc>
          <w:tcPr/>
          <w:p>
            <w:pPr>
              <w:pStyle w:val="Compact"/>
            </w:pPr>
            <w:r>
              <w:t xml:space="preserve">REM w/o Esc. y=0 / y=1</w:t>
            </w:r>
          </w:p>
        </w:tc>
        <w:tc>
          <w:tcPr/>
          <w:p>
            <w:pPr>
              <w:pStyle w:val="Compact"/>
            </w:pPr>
            <w:r>
              <w:t xml:space="preserve">B1 y=0 / y=1</w:t>
            </w:r>
          </w:p>
        </w:tc>
      </w:tr>
      <w:tr>
        <w:tc>
          <w:tcPr/>
          <w:p>
            <w:pPr>
              <w:pStyle w:val="Compact"/>
            </w:pPr>
            <w:r>
              <w:t xml:space="preserve">1</w:t>
            </w:r>
          </w:p>
        </w:tc>
        <w:tc>
          <w:tcPr/>
          <w:p>
            <w:pPr>
              <w:pStyle w:val="Compact"/>
            </w:pPr>
            <w:r>
              <w:t xml:space="preserve">read</w:t>
            </w:r>
          </w:p>
        </w:tc>
        <w:tc>
          <w:tcPr/>
          <w:p>
            <w:pPr>
              <w:pStyle w:val="Compact"/>
            </w:pPr>
            <w:r>
              <w:t xml:space="preserve">4,176</w:t>
            </w:r>
          </w:p>
        </w:tc>
        <w:tc>
          <w:tcPr/>
          <w:p>
            <w:pPr>
              <w:pStyle w:val="Compact"/>
            </w:pPr>
            <w:r>
              <w:t xml:space="preserve">0</w:t>
            </w:r>
          </w:p>
        </w:tc>
        <w:tc>
          <w:tcPr/>
          <w:p>
            <w:pPr>
              <w:pStyle w:val="Compact"/>
            </w:pPr>
            <w:r>
              <w:t xml:space="preserve">0.000 / —</w:t>
            </w:r>
          </w:p>
        </w:tc>
        <w:tc>
          <w:tcPr/>
          <w:p>
            <w:pPr>
              <w:pStyle w:val="Compact"/>
            </w:pPr>
            <w:r>
              <w:t xml:space="preserve">0.000 / —</w:t>
            </w:r>
          </w:p>
        </w:tc>
        <w:tc>
          <w:tcPr/>
          <w:p>
            <w:pPr>
              <w:pStyle w:val="Compact"/>
            </w:pPr>
            <w:r>
              <w:t xml:space="preserve">0.000 / —</w:t>
            </w:r>
          </w:p>
        </w:tc>
      </w:tr>
      <w:tr>
        <w:tc>
          <w:tcPr/>
          <w:p>
            <w:pPr>
              <w:pStyle w:val="Compact"/>
            </w:pPr>
            <w:r>
              <w:t xml:space="preserve">2</w:t>
            </w:r>
          </w:p>
        </w:tc>
        <w:tc>
          <w:tcPr/>
          <w:p>
            <w:pPr>
              <w:pStyle w:val="Compact"/>
            </w:pPr>
            <w:r>
              <w:t xml:space="preserve">profile change</w:t>
            </w:r>
          </w:p>
        </w:tc>
        <w:tc>
          <w:tcPr/>
          <w:p>
            <w:pPr>
              <w:pStyle w:val="Compact"/>
            </w:pPr>
            <w:r>
              <w:t xml:space="preserve">351</w:t>
            </w:r>
          </w:p>
        </w:tc>
        <w:tc>
          <w:tcPr/>
          <w:p>
            <w:pPr>
              <w:pStyle w:val="Compact"/>
            </w:pPr>
            <w:r>
              <w:t xml:space="preserve">0</w:t>
            </w:r>
          </w:p>
        </w:tc>
        <w:tc>
          <w:tcPr/>
          <w:p>
            <w:pPr>
              <w:pStyle w:val="Compact"/>
            </w:pPr>
            <w:r>
              <w:t xml:space="preserve">0.399 / —</w:t>
            </w:r>
          </w:p>
        </w:tc>
        <w:tc>
          <w:tcPr/>
          <w:p>
            <w:pPr>
              <w:pStyle w:val="Compact"/>
            </w:pPr>
            <w:r>
              <w:t xml:space="preserve">0.219 / —</w:t>
            </w:r>
          </w:p>
        </w:tc>
        <w:tc>
          <w:tcPr/>
          <w:p>
            <w:pPr>
              <w:pStyle w:val="Compact"/>
            </w:pPr>
            <w:r>
              <w:t xml:space="preserve">0.026 / —</w:t>
            </w:r>
          </w:p>
        </w:tc>
      </w:tr>
      <w:tr>
        <w:tc>
          <w:tcPr/>
          <w:p>
            <w:pPr>
              <w:pStyle w:val="Compact"/>
            </w:pPr>
            <w:r>
              <w:t xml:space="preserve">3</w:t>
            </w:r>
          </w:p>
        </w:tc>
        <w:tc>
          <w:tcPr/>
          <w:p>
            <w:pPr>
              <w:pStyle w:val="Compact"/>
            </w:pPr>
            <w:r>
              <w:t xml:space="preserve">value transfer ≤ 1000</w:t>
            </w:r>
          </w:p>
        </w:tc>
        <w:tc>
          <w:tcPr/>
          <w:p>
            <w:pPr>
              <w:pStyle w:val="Compact"/>
            </w:pPr>
            <w:r>
              <w:t xml:space="preserve">736</w:t>
            </w:r>
          </w:p>
        </w:tc>
        <w:tc>
          <w:tcPr/>
          <w:p>
            <w:pPr>
              <w:pStyle w:val="Compact"/>
            </w:pPr>
            <w:r>
              <w:t xml:space="preserve">561</w:t>
            </w:r>
          </w:p>
        </w:tc>
        <w:tc>
          <w:tcPr/>
          <w:p>
            <w:pPr>
              <w:pStyle w:val="Compact"/>
            </w:pPr>
            <w:r>
              <w:t xml:space="preserve">0.932 / 0.955</w:t>
            </w:r>
          </w:p>
        </w:tc>
        <w:tc>
          <w:tcPr/>
          <w:p>
            <w:pPr>
              <w:pStyle w:val="Compact"/>
            </w:pPr>
            <w:r>
              <w:t xml:space="preserve">0.838 / 0.955</w:t>
            </w:r>
          </w:p>
        </w:tc>
        <w:tc>
          <w:tcPr/>
          <w:p>
            <w:pPr>
              <w:pStyle w:val="Compact"/>
            </w:pPr>
            <w:r>
              <w:t xml:space="preserve">0.254 / 0.900</w:t>
            </w:r>
          </w:p>
        </w:tc>
      </w:tr>
      <w:tr>
        <w:tc>
          <w:tcPr/>
          <w:p>
            <w:pPr>
              <w:pStyle w:val="Compact"/>
            </w:pPr>
            <w:r>
              <w:t xml:space="preserve">4</w:t>
            </w:r>
          </w:p>
        </w:tc>
        <w:tc>
          <w:tcPr/>
          <w:p>
            <w:pPr>
              <w:pStyle w:val="Compact"/>
            </w:pPr>
            <w:r>
              <w:t xml:space="preserve">value transfer &gt; 1000</w:t>
            </w:r>
          </w:p>
        </w:tc>
        <w:tc>
          <w:tcPr/>
          <w:p>
            <w:pPr>
              <w:pStyle w:val="Compact"/>
            </w:pPr>
            <w:r>
              <w:t xml:space="preserve">115</w:t>
            </w:r>
          </w:p>
        </w:tc>
        <w:tc>
          <w:tcPr/>
          <w:p>
            <w:pPr>
              <w:pStyle w:val="Compact"/>
            </w:pPr>
            <w:r>
              <w:t xml:space="preserve">101</w:t>
            </w:r>
          </w:p>
        </w:tc>
        <w:tc>
          <w:tcPr/>
          <w:p>
            <w:pPr>
              <w:pStyle w:val="Compact"/>
            </w:pPr>
            <w:r>
              <w:t xml:space="preserve">0.983 / 1.000</w:t>
            </w:r>
          </w:p>
        </w:tc>
        <w:tc>
          <w:tcPr/>
          <w:p>
            <w:pPr>
              <w:pStyle w:val="Compact"/>
            </w:pPr>
            <w:r>
              <w:t xml:space="preserve">0.922 / 1.000</w:t>
            </w:r>
          </w:p>
        </w:tc>
        <w:tc>
          <w:tcPr/>
          <w:p>
            <w:pPr>
              <w:pStyle w:val="Compact"/>
            </w:pPr>
            <w:r>
              <w:t xml:space="preserve">0.391 / 0.574</w:t>
            </w:r>
          </w:p>
        </w:tc>
      </w:tr>
      <w:tr>
        <w:tc>
          <w:tcPr/>
          <w:p>
            <w:pPr>
              <w:pStyle w:val="Compact"/>
            </w:pPr>
            <w:r>
              <w:t xml:space="preserve">4</w:t>
            </w:r>
          </w:p>
        </w:tc>
        <w:tc>
          <w:tcPr/>
          <w:p>
            <w:pPr>
              <w:pStyle w:val="Compact"/>
            </w:pPr>
            <w:r>
              <w:t xml:space="preserve">payment modification</w:t>
            </w:r>
          </w:p>
        </w:tc>
        <w:tc>
          <w:tcPr/>
          <w:p>
            <w:pPr>
              <w:pStyle w:val="Compact"/>
            </w:pPr>
            <w:r>
              <w:t xml:space="preserve">285</w:t>
            </w:r>
          </w:p>
        </w:tc>
        <w:tc>
          <w:tcPr/>
          <w:p>
            <w:pPr>
              <w:pStyle w:val="Compact"/>
            </w:pPr>
            <w:r>
              <w:t xml:space="preserve">135</w:t>
            </w:r>
          </w:p>
        </w:tc>
        <w:tc>
          <w:tcPr/>
          <w:p>
            <w:pPr>
              <w:pStyle w:val="Compact"/>
            </w:pPr>
            <w:r>
              <w:t xml:space="preserve">0.740 / 1.000</w:t>
            </w:r>
          </w:p>
        </w:tc>
        <w:tc>
          <w:tcPr/>
          <w:p>
            <w:pPr>
              <w:pStyle w:val="Compact"/>
            </w:pPr>
            <w:r>
              <w:t xml:space="preserve">0.684 / 1.000</w:t>
            </w:r>
          </w:p>
        </w:tc>
        <w:tc>
          <w:tcPr/>
          <w:p>
            <w:pPr>
              <w:pStyle w:val="Compact"/>
            </w:pPr>
            <w:r>
              <w:t xml:space="preserve">0.305 / 0.881</w:t>
            </w:r>
          </w:p>
        </w:tc>
      </w:tr>
      <w:tr>
        <w:tc>
          <w:tcPr/>
          <w:p>
            <w:pPr>
              <w:pStyle w:val="Compact"/>
            </w:pPr>
            <w:r>
              <w:t xml:space="preserve">4</w:t>
            </w:r>
          </w:p>
        </w:tc>
        <w:tc>
          <w:tcPr/>
          <w:p>
            <w:pPr>
              <w:pStyle w:val="Compact"/>
            </w:pPr>
            <w:r>
              <w:t xml:space="preserve">credential change</w:t>
            </w:r>
          </w:p>
        </w:tc>
        <w:tc>
          <w:tcPr/>
          <w:p>
            <w:pPr>
              <w:pStyle w:val="Compact"/>
            </w:pPr>
            <w:r>
              <w:t xml:space="preserve">178</w:t>
            </w:r>
          </w:p>
        </w:tc>
        <w:tc>
          <w:tcPr/>
          <w:p>
            <w:pPr>
              <w:pStyle w:val="Compact"/>
            </w:pPr>
            <w:r>
              <w:t xml:space="preserve">124</w:t>
            </w:r>
          </w:p>
        </w:tc>
        <w:tc>
          <w:tcPr/>
          <w:p>
            <w:pPr>
              <w:pStyle w:val="Compact"/>
            </w:pPr>
            <w:r>
              <w:t xml:space="preserve">0.983 / 1.000</w:t>
            </w:r>
          </w:p>
        </w:tc>
        <w:tc>
          <w:tcPr/>
          <w:p>
            <w:pPr>
              <w:pStyle w:val="Compact"/>
            </w:pPr>
            <w:r>
              <w:t xml:space="preserve">0.899 / 1.000</w:t>
            </w:r>
          </w:p>
        </w:tc>
        <w:tc>
          <w:tcPr/>
          <w:p>
            <w:pPr>
              <w:pStyle w:val="Compact"/>
            </w:pPr>
            <w:r>
              <w:t xml:space="preserve">0.000 / 0.000</w:t>
            </w:r>
          </w:p>
        </w:tc>
      </w:tr>
    </w:tbl>
    <w:p>
      <w:pPr>
        <w:pStyle w:val="BodyText"/>
      </w:pPr>
      <w:r>
        <w:t xml:space="preserve">What the observe-only results show:</w:t>
      </w:r>
    </w:p>
    <w:p>
      <w:pPr>
        <w:pStyle w:val="Compact"/>
        <w:numPr>
          <w:ilvl w:val="0"/>
          <w:numId w:val="1008"/>
        </w:numPr>
      </w:pPr>
      <w:r>
        <w:rPr>
          <w:b/>
          <w:bCs/>
        </w:rPr>
        <w:t xml:space="preserve">Low thresholds at high tiers.</w:t>
      </w:r>
      <w:r>
        <w:t xml:space="preserve"> </w:t>
      </w:r>
      <w:r>
        <w:t xml:space="preserve">REM’s additional interventions are concentrated on state-changing actions at tiers 3–4, where the pre-registered costs put the Allow–Block indifference points at 1/11 and 1/21 (Eq. 3.9). Legitimate transfers often carry action evidence (for example, a recipient read from a tool output) that places them above those points.</w:t>
      </w:r>
    </w:p>
    <w:p>
      <w:pPr>
        <w:pStyle w:val="Compact"/>
        <w:numPr>
          <w:ilvl w:val="0"/>
          <w:numId w:val="1008"/>
        </w:numPr>
      </w:pPr>
      <w:r>
        <w:rPr>
          <w:b/>
          <w:bCs/>
        </w:rPr>
        <w:t xml:space="preserve">Benign state-changing steps.</w:t>
      </w:r>
      <w:r>
        <w:t xml:space="preserve"> </w:t>
      </w:r>
      <w:r>
        <w:t xml:space="preserve">On episodes without injection, REM releases 33 of 180 state-changing steps (tiers 2–4); REM without expected-loss Escalate releases 48; B1 releases 132 (</w:t>
      </w:r>
      <w:r>
        <w:rPr>
          <w:rStyle w:val="VerbatimChar"/>
        </w:rPr>
        <w:t xml:space="preserve">benign_release_breakdown.json</w:t>
      </w:r>
      <w:r>
        <w:t xml:space="preserve">).</w:t>
      </w:r>
    </w:p>
    <w:p>
      <w:pPr>
        <w:pStyle w:val="Compact"/>
        <w:numPr>
          <w:ilvl w:val="0"/>
          <w:numId w:val="1008"/>
        </w:numPr>
      </w:pPr>
      <w:r>
        <w:rPr>
          <w:b/>
          <w:bCs/>
        </w:rPr>
        <w:t xml:space="preserve">Escalation is not the cause.</w:t>
      </w:r>
      <w:r>
        <w:t xml:space="preserve"> </w:t>
      </w:r>
      <w:r>
        <w:t xml:space="preserve">Removing the expected-loss Escalate option lowers REM’s intervention rate on legitimate steps only from 0.227 to 0.198: most former escalations become Modify verdicts, which also withhold the call. The difference from B1 is therefore mainly due to the tier-indexed costs, not to the opportunity to escalate.</w:t>
      </w:r>
    </w:p>
    <w:p>
      <w:pPr>
        <w:pStyle w:val="Compact"/>
        <w:numPr>
          <w:ilvl w:val="0"/>
          <w:numId w:val="1008"/>
        </w:numPr>
      </w:pPr>
      <w:r>
        <w:rPr>
          <w:b/>
          <w:bCs/>
        </w:rPr>
        <w:t xml:space="preserve">B1 and credential changes.</w:t>
      </w:r>
      <w:r>
        <w:t xml:space="preserve"> </w:t>
      </w:r>
      <w:r>
        <w:t xml:space="preserve">B1 intervened on none of the 124 credential-change attack steps. These are the steps of the fold whose probabilities were most miscalibrated (Table 5.4). Its thresholds are fixed by benign false-positive rates and did not reach them.</w:t>
      </w:r>
    </w:p>
    <w:p>
      <w:pPr>
        <w:pStyle w:val="Compact"/>
        <w:numPr>
          <w:ilvl w:val="0"/>
          <w:numId w:val="1008"/>
        </w:numPr>
      </w:pPr>
      <w:r>
        <w:rPr>
          <w:b/>
          <w:bCs/>
        </w:rPr>
        <w:t xml:space="preserve">Realized loss.</w:t>
      </w:r>
      <w:r>
        <w:t xml:space="preserve"> </w:t>
      </w:r>
      <w:r>
        <w:t xml:space="preserve">Under the decision costs, realized loss is 0.114 for REM, 0.136 for REM without expected-loss Escalate and 0.652 for B1. This comparison favors REM by construction (Chapter 3, Section 3.12.3) and is not evidence of superiority.</w:t>
      </w:r>
    </w:p>
    <w:bookmarkEnd w:id="28"/>
    <w:bookmarkStart w:id="34" w:name="rq2-and-rq3-replay-sensitivity-analysis"/>
    <w:p>
      <w:pPr>
        <w:pStyle w:val="Heading2"/>
      </w:pPr>
      <w:r>
        <w:t xml:space="preserve">5.6 RQ2 and RQ3 — Replay Sensitivity Analysis</w:t>
      </w:r>
    </w:p>
    <w:p>
      <w:pPr>
        <w:pStyle w:val="FirstParagraph"/>
      </w:pPr>
      <w:r>
        <w:t xml:space="preserve">The replay re-executes each recorded episode in the benchmark’s sandbox with REM enforcing its verdicts (Chapter 3, Section 3.11.11). Its use is a proposed amendment to the scope of Chapter 3. Three properties limit what it can show:</w:t>
      </w:r>
    </w:p>
    <w:p>
      <w:pPr>
        <w:pStyle w:val="Compact"/>
        <w:numPr>
          <w:ilvl w:val="0"/>
          <w:numId w:val="1009"/>
        </w:numPr>
      </w:pPr>
      <w:r>
        <w:rPr>
          <w:b/>
          <w:bCs/>
        </w:rPr>
        <w:t xml:space="preserve">NO-ADAPT.</w:t>
      </w:r>
      <w:r>
        <w:t xml:space="preserve"> </w:t>
      </w:r>
      <w:r>
        <w:t xml:space="preserve">The agent emits the calls it emitted in the recorded run, whatever REM does. After a refusal, a live agent could retry, rephrase, use another tool, or abandon the task. Replay therefore cannot show how often a live agent would achieve the attacker’s goal by another route, and</w:t>
      </w:r>
      <w:r>
        <w:t xml:space="preserve"> </w:t>
      </w:r>
      <w:r>
        <w:rPr>
          <w:b/>
          <w:bCs/>
        </w:rPr>
        <w:t xml:space="preserve">a near-zero replay ASR is not evidence of protection against a live or adaptive agent.</w:t>
      </w:r>
    </w:p>
    <w:p>
      <w:pPr>
        <w:pStyle w:val="Compact"/>
        <w:numPr>
          <w:ilvl w:val="0"/>
          <w:numId w:val="1009"/>
        </w:numPr>
      </w:pPr>
      <w:r>
        <w:rPr>
          <w:b/>
          <w:bCs/>
        </w:rPr>
        <w:t xml:space="preserve">Modify and Block.</w:t>
      </w:r>
      <w:r>
        <w:t xml:space="preserve"> </w:t>
      </w:r>
      <w:r>
        <w:t xml:space="preserve">Under NO-ADAPT, Modify and Block have the same effect on the withheld call, and step-level and episode-level semantics cannot differ, because no refused tool is retried. The replay results are identical for the two semantics; only step-level results are shown.</w:t>
      </w:r>
    </w:p>
    <w:p>
      <w:pPr>
        <w:pStyle w:val="Compact"/>
        <w:numPr>
          <w:ilvl w:val="0"/>
          <w:numId w:val="1009"/>
        </w:numPr>
      </w:pPr>
      <w:r>
        <w:rPr>
          <w:b/>
          <w:bCs/>
        </w:rPr>
        <w:t xml:space="preserve">Not independent runs.</w:t>
      </w:r>
      <w:r>
        <w:t xml:space="preserve"> </w:t>
      </w:r>
      <w:r>
        <w:t xml:space="preserve">Replaying a recorded trajectory is deterministic. Repeating it adds no information about LLM behavior.</w:t>
      </w:r>
    </w:p>
    <w:p>
      <w:pPr>
        <w:pStyle w:val="Compact"/>
        <w:numPr>
          <w:ilvl w:val="0"/>
          <w:numId w:val="1009"/>
        </w:numPr>
      </w:pPr>
      <w:r>
        <w:rPr>
          <w:b/>
          <w:bCs/>
        </w:rPr>
        <w:t xml:space="preserve">Closed-loop identifiability.</w:t>
      </w:r>
      <w:r>
        <w:t xml:space="preserve"> </w:t>
      </w:r>
      <w:r>
        <w:t xml:space="preserve">Once blocking changes what an agent proposes next, static scores and ungated trajectories need not identify the closed-loop trade-off between false blocks and misses (Ray, 2026). Recorded trajectories are ungated in this sense. Offline replay of AgentDojo’s recorded traces has also been used to evaluate temporal-logic monitors (Kekatos et al., 2026); neither use establishes enforcement against live agents.</w:t>
      </w:r>
    </w:p>
    <w:bookmarkStart w:id="29" w:name="replay-validity-and-exclusions"/>
    <w:p>
      <w:pPr>
        <w:pStyle w:val="Heading3"/>
      </w:pPr>
      <w:r>
        <w:t xml:space="preserve">5.6.1 Replay validity and exclusions</w:t>
      </w:r>
    </w:p>
    <w:p>
      <w:pPr>
        <w:pStyle w:val="FirstParagraph"/>
      </w:pPr>
      <w:r>
        <w:t xml:space="preserve">With every call allowed, the replay reproduced the recorded utility and security outcomes of 3,313 of the 3,334 episodes.</w:t>
      </w:r>
    </w:p>
    <w:p>
      <w:pPr>
        <w:pStyle w:val="BodyText"/>
      </w:pPr>
      <w:r>
        <w:rPr>
          <w:b/>
          <w:bCs/>
        </w:rPr>
        <w:t xml:space="preserve">The 21 failures</w:t>
      </w:r>
      <w:r>
        <w:t xml:space="preserve"> </w:t>
      </w:r>
      <w:r>
        <w:t xml:space="preserve">(</w:t>
      </w:r>
      <w:r>
        <w:rPr>
          <w:rStyle w:val="VerbatimChar"/>
        </w:rPr>
        <w:t xml:space="preserve">r2_breakdowns.json</w:t>
      </w:r>
      <w:r>
        <w:t xml:space="preserve">,</w:t>
      </w:r>
      <w:r>
        <w:t xml:space="preserve"> </w:t>
      </w:r>
      <w:r>
        <w:rPr>
          <w:rStyle w:val="VerbatimChar"/>
        </w:rPr>
        <w:t xml:space="preserve">replay_failures</w:t>
      </w:r>
      <w:r>
        <w:t xml:space="preserve">) are concentrated:</w:t>
      </w:r>
    </w:p>
    <w:p>
      <w:pPr>
        <w:pStyle w:val="Compact"/>
        <w:numPr>
          <w:ilvl w:val="0"/>
          <w:numId w:val="1010"/>
        </w:numPr>
      </w:pPr>
      <w:r>
        <w:t xml:space="preserve">20 are user_task_13 episodes whose utility verdict differs; 1 is a user_task_14 episode whose security verdict differs;</w:t>
      </w:r>
    </w:p>
    <w:p>
      <w:pPr>
        <w:pStyle w:val="Compact"/>
        <w:numPr>
          <w:ilvl w:val="0"/>
          <w:numId w:val="1010"/>
        </w:numPr>
      </w:pPr>
      <w:r>
        <w:t xml:space="preserve">10 are from gpt-4o, and the remaining 11 are spread over six other backbones;</w:t>
      </w:r>
    </w:p>
    <w:p>
      <w:pPr>
        <w:pStyle w:val="Compact"/>
        <w:numPr>
          <w:ilvl w:val="0"/>
          <w:numId w:val="1010"/>
        </w:numPr>
      </w:pPr>
      <w:r>
        <w:t xml:space="preserve">none raised an error.</w:t>
      </w:r>
    </w:p>
    <w:p>
      <w:pPr>
        <w:pStyle w:val="FirstParagraph"/>
      </w:pPr>
      <w:r>
        <w:t xml:space="preserve">The pattern is consistent with a change in the user task’s definition between the suite version used for recording and the version used for replay (v1). This was not confirmed task by task.</w:t>
      </w:r>
    </w:p>
    <w:p>
      <w:pPr>
        <w:pStyle w:val="BodyText"/>
      </w:pPr>
      <w:r>
        <w:rPr>
          <w:b/>
          <w:bCs/>
        </w:rPr>
        <w:t xml:space="preserve">Effect of the exclusion.</w:t>
      </w:r>
      <w:r>
        <w:t xml:space="preserve"> </w:t>
      </w:r>
      <w:r>
        <w:t xml:space="preserve">Of the 21 excluded episodes, 19 are attacked, and 14 of these recorded attack success. Excluding them changes the recorded attack-success rate from 0.228 (all 2,998 attacked episodes) to 0.226 (2,979 retained), and the recorded benign utility from 0.521 (336) to 0.524 (334). All replay metrics use the 2,979 attacked and 334 benign retained episodes.</w:t>
      </w:r>
    </w:p>
    <w:bookmarkEnd w:id="29"/>
    <w:bookmarkStart w:id="33" w:name="results"/>
    <w:p>
      <w:pPr>
        <w:pStyle w:val="Heading3"/>
      </w:pPr>
      <w:r>
        <w:t xml:space="preserve">5.6.2 Results</w:t>
      </w:r>
    </w:p>
    <w:p>
      <w:pPr>
        <w:pStyle w:val="TableCaption"/>
      </w:pPr>
      <w:r>
        <w:t xml:space="preserve">Table 5.7. Replay results, step-level semantics (attacked n = 2,979; benign n = 334;</w:t>
      </w:r>
      <w:r>
        <w:t xml:space="preserve"> </w:t>
      </w:r>
      <w:r>
        <w:rPr>
          <w:rStyle w:val="VerbatimChar"/>
        </w:rPr>
        <w:t xml:space="preserve">e4_e5_enforcement_replay.json</w:t>
      </w:r>
      <w:r>
        <w:t xml:space="preserve">)</w:t>
      </w:r>
    </w:p>
    <w:tbl>
      <w:tblPr>
        <w:tblStyle w:val="Table"/>
        <w:tblW w:type="pct" w:w="5000"/>
        <w:tblLayout w:type="fixed"/>
        <w:tblLook w:firstRow="1" w:lastRow="0" w:firstColumn="0" w:lastColumn="0" w:noHBand="0" w:noVBand="0" w:val="0020"/>
        <w:tblCaption w:val="Table 5.7. Replay results, step-level semantics (attacked n = 2,979; benign n = 334; e4_e5_enforcement_replay.json)"/>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ASR</w:t>
            </w:r>
          </w:p>
        </w:tc>
        <w:tc>
          <w:tcPr/>
          <w:p>
            <w:pPr>
              <w:pStyle w:val="Compact"/>
            </w:pPr>
            <w:r>
              <w:t xml:space="preserve">Benign utility</w:t>
            </w:r>
          </w:p>
        </w:tc>
        <w:tc>
          <w:tcPr/>
          <w:p>
            <w:pPr>
              <w:pStyle w:val="Compact"/>
            </w:pPr>
            <w:r>
              <w:t xml:space="preserve">Utility under attack</w:t>
            </w:r>
          </w:p>
        </w:tc>
      </w:tr>
      <w:tr>
        <w:tc>
          <w:tcPr/>
          <w:p>
            <w:pPr>
              <w:pStyle w:val="Compact"/>
            </w:pPr>
            <w:r>
              <w:t xml:space="preserve">B0, no defense (replay)</w:t>
            </w:r>
          </w:p>
        </w:tc>
        <w:tc>
          <w:tcPr/>
          <w:p>
            <w:pPr>
              <w:pStyle w:val="Compact"/>
            </w:pPr>
            <w:r>
              <w:t xml:space="preserve">0.226 [0.148, 0.295]</w:t>
            </w:r>
          </w:p>
        </w:tc>
        <w:tc>
          <w:tcPr/>
          <w:p>
            <w:pPr>
              <w:pStyle w:val="Compact"/>
            </w:pPr>
            <w:r>
              <w:t xml:space="preserve">0.524 [0.381, 0.676]</w:t>
            </w:r>
          </w:p>
        </w:tc>
        <w:tc>
          <w:tcPr/>
          <w:p>
            <w:pPr>
              <w:pStyle w:val="Compact"/>
            </w:pPr>
            <w:r>
              <w:t xml:space="preserve">0.492</w:t>
            </w:r>
          </w:p>
        </w:tc>
      </w:tr>
      <w:tr>
        <w:tc>
          <w:tcPr/>
          <w:p>
            <w:pPr>
              <w:pStyle w:val="Compact"/>
            </w:pPr>
            <w:r>
              <w:t xml:space="preserve">B1, no reviewer</w:t>
            </w:r>
          </w:p>
        </w:tc>
        <w:tc>
          <w:tcPr/>
          <w:p>
            <w:pPr>
              <w:pStyle w:val="Compact"/>
            </w:pPr>
            <w:r>
              <w:t xml:space="preserve">0.055 [0.011, 0.134]</w:t>
            </w:r>
          </w:p>
        </w:tc>
        <w:tc>
          <w:tcPr/>
          <w:p>
            <w:pPr>
              <w:pStyle w:val="Compact"/>
            </w:pPr>
            <w:r>
              <w:t xml:space="preserve">0.509 [0.334, 0.702]</w:t>
            </w:r>
          </w:p>
        </w:tc>
        <w:tc>
          <w:tcPr/>
          <w:p>
            <w:pPr>
              <w:pStyle w:val="Compact"/>
            </w:pPr>
            <w:r>
              <w:t xml:space="preserve">0.514</w:t>
            </w:r>
          </w:p>
        </w:tc>
      </w:tr>
      <w:tr>
        <w:tc>
          <w:tcPr/>
          <w:p>
            <w:pPr>
              <w:pStyle w:val="Compact"/>
            </w:pPr>
            <w:r>
              <w:t xml:space="preserve">REM, no reviewer</w:t>
            </w:r>
          </w:p>
        </w:tc>
        <w:tc>
          <w:tcPr/>
          <w:p>
            <w:pPr>
              <w:pStyle w:val="Compact"/>
            </w:pPr>
            <w:r>
              <w:t xml:space="preserve">0.004 [0.001, 0.007]</w:t>
            </w:r>
          </w:p>
        </w:tc>
        <w:tc>
          <w:tcPr/>
          <w:p>
            <w:pPr>
              <w:pStyle w:val="Compact"/>
            </w:pPr>
            <w:r>
              <w:t xml:space="preserve">0.314 [0.110, 0.548]</w:t>
            </w:r>
          </w:p>
        </w:tc>
        <w:tc>
          <w:tcPr/>
          <w:p>
            <w:pPr>
              <w:pStyle w:val="Compact"/>
            </w:pPr>
            <w:r>
              <w:t xml:space="preserve">0.364</w:t>
            </w:r>
          </w:p>
        </w:tc>
      </w:tr>
      <w:tr>
        <w:tc>
          <w:tcPr/>
          <w:p>
            <w:pPr>
              <w:pStyle w:val="Compact"/>
            </w:pPr>
            <w:r>
              <w:t xml:space="preserve">REM w/o expected-loss Escalate, no reviewer</w:t>
            </w:r>
          </w:p>
        </w:tc>
        <w:tc>
          <w:tcPr/>
          <w:p>
            <w:pPr>
              <w:pStyle w:val="Compact"/>
            </w:pPr>
            <w:r>
              <w:t xml:space="preserve">0.004 [0.001, 0.007]</w:t>
            </w:r>
          </w:p>
        </w:tc>
        <w:tc>
          <w:tcPr/>
          <w:p>
            <w:pPr>
              <w:pStyle w:val="Compact"/>
            </w:pPr>
            <w:r>
              <w:t xml:space="preserve">0.329 [0.126, 0.551]</w:t>
            </w:r>
          </w:p>
        </w:tc>
        <w:tc>
          <w:tcPr/>
          <w:p>
            <w:pPr>
              <w:pStyle w:val="Compact"/>
            </w:pPr>
            <w:r>
              <w:t xml:space="preserve">0.374</w:t>
            </w:r>
          </w:p>
        </w:tc>
      </w:tr>
      <w:tr>
        <w:tc>
          <w:tcPr/>
          <w:p>
            <w:pPr>
              <w:pStyle w:val="Compact"/>
            </w:pPr>
            <w:r>
              <w:t xml:space="preserve">REM, idealized reviewer</w:t>
            </w:r>
          </w:p>
        </w:tc>
        <w:tc>
          <w:tcPr/>
          <w:p>
            <w:pPr>
              <w:pStyle w:val="Compact"/>
            </w:pPr>
            <w:r>
              <w:t xml:space="preserve">0.004 [0.001, 0.007]</w:t>
            </w:r>
          </w:p>
        </w:tc>
        <w:tc>
          <w:tcPr/>
          <w:p>
            <w:pPr>
              <w:pStyle w:val="Compact"/>
            </w:pPr>
            <w:r>
              <w:t xml:space="preserve">0.497 [0.333, 0.680]</w:t>
            </w:r>
          </w:p>
        </w:tc>
        <w:tc>
          <w:tcPr/>
          <w:p>
            <w:pPr>
              <w:pStyle w:val="Compact"/>
            </w:pPr>
            <w:r>
              <w:t xml:space="preserve">0.496</w:t>
            </w:r>
          </w:p>
        </w:tc>
      </w:tr>
      <w:tr>
        <w:tc>
          <w:tcPr/>
          <w:p>
            <w:pPr>
              <w:pStyle w:val="Compact"/>
            </w:pPr>
            <w:r>
              <w:t xml:space="preserve">REM w/o expected-loss Escalate, idealized reviewer</w:t>
            </w:r>
          </w:p>
        </w:tc>
        <w:tc>
          <w:tcPr/>
          <w:p>
            <w:pPr>
              <w:pStyle w:val="Compact"/>
            </w:pPr>
            <w:r>
              <w:t xml:space="preserve">0.004 [0.001, 0.007]</w:t>
            </w:r>
          </w:p>
        </w:tc>
        <w:tc>
          <w:tcPr/>
          <w:p>
            <w:pPr>
              <w:pStyle w:val="Compact"/>
            </w:pPr>
            <w:r>
              <w:t xml:space="preserve">0.311 [0.123, 0.518]</w:t>
            </w:r>
          </w:p>
        </w:tc>
        <w:tc>
          <w:tcPr/>
          <w:p>
            <w:pPr>
              <w:pStyle w:val="Compact"/>
            </w:pPr>
            <w:r>
              <w:t xml:space="preserve">0.359</w:t>
            </w:r>
          </w:p>
        </w:tc>
      </w:tr>
    </w:tbl>
    <w:p/>
    <w:p>
      <w:pPr>
        <w:pStyle w:val="TableCaption"/>
      </w:pPr>
      <w:r>
        <w:t xml:space="preserve">Table 5.8. Paired differences (grouped bootstrap)</w:t>
      </w:r>
    </w:p>
    <w:tbl>
      <w:tblPr>
        <w:tblStyle w:val="Table"/>
        <w:tblW w:type="pct" w:w="5000"/>
        <w:tblLayout w:type="fixed"/>
        <w:tblLook w:firstRow="1" w:lastRow="0" w:firstColumn="0" w:lastColumn="0" w:noHBand="0" w:noVBand="0" w:val="0020"/>
        <w:tblCaption w:val="Table 5.8. Paired differences (grouped bootstrap)"/>
      </w:tblPr>
      <w:tblGrid>
        <w:gridCol w:w="2640"/>
        <w:gridCol w:w="2640"/>
        <w:gridCol w:w="2640"/>
      </w:tblGrid>
      <w:tr>
        <w:trPr>
          <w:tblHeader w:val="on"/>
        </w:trPr>
        <w:tc>
          <w:tcPr/>
          <w:p>
            <w:pPr>
              <w:pStyle w:val="Compact"/>
            </w:pPr>
            <w:r>
              <w:t xml:space="preserve">Comparison</w:t>
            </w:r>
          </w:p>
        </w:tc>
        <w:tc>
          <w:tcPr/>
          <w:p>
            <w:pPr>
              <w:pStyle w:val="Compact"/>
            </w:pPr>
            <w:r>
              <w:t xml:space="preserve">ΔASR</w:t>
            </w:r>
          </w:p>
        </w:tc>
        <w:tc>
          <w:tcPr/>
          <w:p>
            <w:pPr>
              <w:pStyle w:val="Compact"/>
            </w:pPr>
            <w:r>
              <w:t xml:space="preserve">ΔBenign utility</w:t>
            </w:r>
          </w:p>
        </w:tc>
      </w:tr>
      <w:tr>
        <w:tc>
          <w:tcPr/>
          <w:p>
            <w:pPr>
              <w:pStyle w:val="Compact"/>
            </w:pPr>
            <w:r>
              <w:t xml:space="preserve">REM − B1, no reviewer</w:t>
            </w:r>
          </w:p>
        </w:tc>
        <w:tc>
          <w:tcPr/>
          <w:p>
            <w:pPr>
              <w:pStyle w:val="Compact"/>
            </w:pPr>
            <w:r>
              <w:t xml:space="preserve">−0.051 [−0.130, −0.007]</w:t>
            </w:r>
          </w:p>
        </w:tc>
        <w:tc>
          <w:tcPr/>
          <w:p>
            <w:pPr>
              <w:pStyle w:val="Compact"/>
            </w:pPr>
            <w:r>
              <w:t xml:space="preserve">−0.195 [−0.341, −0.074]</w:t>
            </w:r>
          </w:p>
        </w:tc>
      </w:tr>
      <w:tr>
        <w:tc>
          <w:tcPr/>
          <w:p>
            <w:pPr>
              <w:pStyle w:val="Compact"/>
            </w:pPr>
            <w:r>
              <w:t xml:space="preserve">REM w/o Esc. − B1, no reviewer (same escalation opportunity)</w:t>
            </w:r>
          </w:p>
        </w:tc>
        <w:tc>
          <w:tcPr/>
          <w:p>
            <w:pPr>
              <w:pStyle w:val="Compact"/>
            </w:pPr>
            <w:r>
              <w:t xml:space="preserve">−0.051 [−0.130, −0.007]</w:t>
            </w:r>
          </w:p>
        </w:tc>
        <w:tc>
          <w:tcPr/>
          <w:p>
            <w:pPr>
              <w:pStyle w:val="Compact"/>
            </w:pPr>
            <w:r>
              <w:t xml:space="preserve">−0.180 [−0.325, −0.063]</w:t>
            </w:r>
          </w:p>
        </w:tc>
      </w:tr>
      <w:tr>
        <w:tc>
          <w:tcPr/>
          <w:p>
            <w:pPr>
              <w:pStyle w:val="Compact"/>
            </w:pPr>
            <w:r>
              <w:t xml:space="preserve">REM − B1, idealized reviewer</w:t>
            </w:r>
          </w:p>
        </w:tc>
        <w:tc>
          <w:tcPr/>
          <w:p>
            <w:pPr>
              <w:pStyle w:val="Compact"/>
            </w:pPr>
            <w:r>
              <w:t xml:space="preserve">−0.051 [−0.130, −0.007]</w:t>
            </w:r>
          </w:p>
        </w:tc>
        <w:tc>
          <w:tcPr/>
          <w:p>
            <w:pPr>
              <w:pStyle w:val="Compact"/>
            </w:pPr>
            <w:r>
              <w:t xml:space="preserve">+0.003 [−0.009, 0.018]</w:t>
            </w:r>
          </w:p>
        </w:tc>
      </w:tr>
      <w:tr>
        <w:tc>
          <w:tcPr/>
          <w:p>
            <w:pPr>
              <w:pStyle w:val="Compact"/>
            </w:pPr>
            <w:r>
              <w:t xml:space="preserve">REM − REM w/o Esc., idealized reviewer</w:t>
            </w:r>
          </w:p>
        </w:tc>
        <w:tc>
          <w:tcPr/>
          <w:p>
            <w:pPr>
              <w:pStyle w:val="Compact"/>
            </w:pPr>
            <w:r>
              <w:t xml:space="preserve">0.000</w:t>
            </w:r>
          </w:p>
        </w:tc>
        <w:tc>
          <w:tcPr/>
          <w:p>
            <w:pPr>
              <w:pStyle w:val="Compact"/>
            </w:pPr>
            <w:r>
              <w:t xml:space="preserve">+0.186 [0.065, 0.335]</w:t>
            </w:r>
          </w:p>
        </w:tc>
      </w:tr>
      <w:tr>
        <w:tc>
          <w:tcPr/>
          <w:p>
            <w:pPr>
              <w:pStyle w:val="Compact"/>
            </w:pPr>
            <w:r>
              <w:t xml:space="preserve">REM − B0, no reviewer</w:t>
            </w:r>
          </w:p>
        </w:tc>
        <w:tc>
          <w:tcPr/>
          <w:p>
            <w:pPr>
              <w:pStyle w:val="Compact"/>
            </w:pPr>
            <w:r>
              <w:t xml:space="preserve">−0.222 [−0.289, −0.146]</w:t>
            </w:r>
          </w:p>
        </w:tc>
        <w:tc>
          <w:tcPr/>
          <w:p>
            <w:pPr>
              <w:pStyle w:val="Compact"/>
            </w:pPr>
            <w:r>
              <w:t xml:space="preserve">−0.210 [−0.379, −0.051]</w:t>
            </w:r>
          </w:p>
        </w:tc>
      </w:tr>
    </w:tbl>
    <w:p/>
    <w:p>
      <w:pPr>
        <w:pStyle w:val="TableCaption"/>
      </w:pPr>
      <w:r>
        <w:t xml:space="preserve">Table 5.9. Replay ASR by the attacker’s target action (</w:t>
      </w:r>
      <w:r>
        <w:rPr>
          <w:rStyle w:val="VerbatimChar"/>
        </w:rPr>
        <w:t xml:space="preserve">r2_breakdowns.json</w:t>
      </w:r>
      <w:r>
        <w:t xml:space="preserve">)</w:t>
      </w:r>
    </w:p>
    <w:tbl>
      <w:tblPr>
        <w:tblStyle w:val="Table"/>
        <w:tblW w:type="pct" w:w="5000"/>
        <w:tblLayout w:type="fixed"/>
        <w:tblLook w:firstRow="1" w:lastRow="0" w:firstColumn="0" w:lastColumn="0" w:noHBand="0" w:noVBand="0" w:val="0020"/>
        <w:tblCaption w:val="Table 5.9. Replay ASR by the attacker’s target action (r2_breakdowns.json)"/>
      </w:tblPr>
      <w:tblGrid>
        <w:gridCol w:w="1320"/>
        <w:gridCol w:w="1320"/>
        <w:gridCol w:w="1320"/>
        <w:gridCol w:w="1320"/>
        <w:gridCol w:w="1320"/>
        <w:gridCol w:w="1320"/>
      </w:tblGrid>
      <w:tr>
        <w:trPr>
          <w:tblHeader w:val="on"/>
        </w:trPr>
        <w:tc>
          <w:tcPr/>
          <w:p>
            <w:pPr>
              <w:pStyle w:val="Compact"/>
            </w:pPr>
            <w:r>
              <w:t xml:space="preserve">Target action</w:t>
            </w:r>
          </w:p>
        </w:tc>
        <w:tc>
          <w:tcPr/>
          <w:p>
            <w:pPr>
              <w:pStyle w:val="Compact"/>
            </w:pPr>
            <w:r>
              <w:t xml:space="preserve">Injection tasks</w:t>
            </w:r>
          </w:p>
        </w:tc>
        <w:tc>
          <w:tcPr/>
          <w:p>
            <w:pPr>
              <w:pStyle w:val="Compact"/>
            </w:pPr>
            <w:r>
              <w:t xml:space="preserve">Attacked episodes</w:t>
            </w:r>
          </w:p>
        </w:tc>
        <w:tc>
          <w:tcPr/>
          <w:p>
            <w:pPr>
              <w:pStyle w:val="Compact"/>
            </w:pPr>
            <w:r>
              <w:t xml:space="preserve">B0</w:t>
            </w:r>
          </w:p>
        </w:tc>
        <w:tc>
          <w:tcPr/>
          <w:p>
            <w:pPr>
              <w:pStyle w:val="Compact"/>
            </w:pPr>
            <w:r>
              <w:t xml:space="preserve">B1 (no reviewer)</w:t>
            </w:r>
          </w:p>
        </w:tc>
        <w:tc>
          <w:tcPr/>
          <w:p>
            <w:pPr>
              <w:pStyle w:val="Compact"/>
            </w:pPr>
            <w:r>
              <w:t xml:space="preserve">REM (no reviewer)</w:t>
            </w:r>
          </w:p>
        </w:tc>
      </w:tr>
      <w:tr>
        <w:tc>
          <w:tcPr/>
          <w:p>
            <w:pPr>
              <w:pStyle w:val="Compact"/>
            </w:pPr>
            <w:r>
              <w:t xml:space="preserve">Value transfer</w:t>
            </w:r>
          </w:p>
        </w:tc>
        <w:tc>
          <w:tcPr/>
          <w:p>
            <w:pPr>
              <w:pStyle w:val="Compact"/>
            </w:pPr>
            <w:r>
              <w:t xml:space="preserve">7</w:t>
            </w:r>
          </w:p>
        </w:tc>
        <w:tc>
          <w:tcPr/>
          <w:p>
            <w:pPr>
              <w:pStyle w:val="Compact"/>
            </w:pPr>
            <w:r>
              <w:t xml:space="preserve">2,334</w:t>
            </w:r>
          </w:p>
        </w:tc>
        <w:tc>
          <w:tcPr/>
          <w:p>
            <w:pPr>
              <w:pStyle w:val="Compact"/>
            </w:pPr>
            <w:r>
              <w:t xml:space="preserve">0.213 [0.128, 0.293]</w:t>
            </w:r>
          </w:p>
        </w:tc>
        <w:tc>
          <w:tcPr/>
          <w:p>
            <w:pPr>
              <w:pStyle w:val="Compact"/>
            </w:pPr>
            <w:r>
              <w:t xml:space="preserve">0.014 [0.007, 0.020]</w:t>
            </w:r>
          </w:p>
        </w:tc>
        <w:tc>
          <w:tcPr/>
          <w:p>
            <w:pPr>
              <w:pStyle w:val="Compact"/>
            </w:pPr>
            <w:r>
              <w:t xml:space="preserve">0.005 [0.002, 0.008]</w:t>
            </w:r>
          </w:p>
        </w:tc>
      </w:tr>
      <w:tr>
        <w:tc>
          <w:tcPr/>
          <w:p>
            <w:pPr>
              <w:pStyle w:val="Compact"/>
            </w:pPr>
            <w:r>
              <w:t xml:space="preserve">Payment modification</w:t>
            </w:r>
          </w:p>
        </w:tc>
        <w:tc>
          <w:tcPr/>
          <w:p>
            <w:pPr>
              <w:pStyle w:val="Compact"/>
            </w:pPr>
            <w:r>
              <w:t xml:space="preserve">1</w:t>
            </w:r>
          </w:p>
        </w:tc>
        <w:tc>
          <w:tcPr/>
          <w:p>
            <w:pPr>
              <w:pStyle w:val="Compact"/>
            </w:pPr>
            <w:r>
              <w:t xml:space="preserve">311</w:t>
            </w:r>
          </w:p>
        </w:tc>
        <w:tc>
          <w:tcPr/>
          <w:p>
            <w:pPr>
              <w:pStyle w:val="Compact"/>
            </w:pPr>
            <w:r>
              <w:t xml:space="preserve">0.183</w:t>
            </w:r>
          </w:p>
        </w:tc>
        <w:tc>
          <w:tcPr/>
          <w:p>
            <w:pPr>
              <w:pStyle w:val="Compact"/>
            </w:pPr>
            <w:r>
              <w:t xml:space="preserve">0.042</w:t>
            </w:r>
          </w:p>
        </w:tc>
        <w:tc>
          <w:tcPr/>
          <w:p>
            <w:pPr>
              <w:pStyle w:val="Compact"/>
            </w:pPr>
            <w:r>
              <w:t xml:space="preserve">0.000</w:t>
            </w:r>
          </w:p>
        </w:tc>
      </w:tr>
      <w:tr>
        <w:tc>
          <w:tcPr/>
          <w:p>
            <w:pPr>
              <w:pStyle w:val="Compact"/>
            </w:pPr>
            <w:r>
              <w:t xml:space="preserve">Credential change</w:t>
            </w:r>
          </w:p>
        </w:tc>
        <w:tc>
          <w:tcPr/>
          <w:p>
            <w:pPr>
              <w:pStyle w:val="Compact"/>
            </w:pPr>
            <w:r>
              <w:t xml:space="preserve">1</w:t>
            </w:r>
          </w:p>
        </w:tc>
        <w:tc>
          <w:tcPr/>
          <w:p>
            <w:pPr>
              <w:pStyle w:val="Compact"/>
            </w:pPr>
            <w:r>
              <w:t xml:space="preserve">334</w:t>
            </w:r>
          </w:p>
        </w:tc>
        <w:tc>
          <w:tcPr/>
          <w:p>
            <w:pPr>
              <w:pStyle w:val="Compact"/>
            </w:pPr>
            <w:r>
              <w:t xml:space="preserve">0.356</w:t>
            </w:r>
          </w:p>
        </w:tc>
        <w:tc>
          <w:tcPr/>
          <w:p>
            <w:pPr>
              <w:pStyle w:val="Compact"/>
            </w:pPr>
            <w:r>
              <w:t xml:space="preserve">0.356</w:t>
            </w:r>
          </w:p>
        </w:tc>
        <w:tc>
          <w:tcPr/>
          <w:p>
            <w:pPr>
              <w:pStyle w:val="Compact"/>
            </w:pPr>
            <w:r>
              <w:t xml:space="preserve">0.000</w:t>
            </w:r>
          </w:p>
        </w:tc>
      </w:tr>
    </w:tbl>
    <w:p>
      <w:pPr>
        <w:pStyle w:val="BodyText"/>
      </w:pPr>
      <w:r>
        <w:t xml:space="preserve">Single-task categories have no interval.</w:t>
      </w:r>
    </w:p>
    <w:p>
      <w:pPr>
        <w:pStyle w:val="TableCaption"/>
      </w:pPr>
      <w:r>
        <w:t xml:space="preserve">Table 5.10. Replay benign utility by kind of user task (</w:t>
      </w:r>
      <w:r>
        <w:rPr>
          <w:rStyle w:val="VerbatimChar"/>
        </w:rPr>
        <w:t xml:space="preserve">r2_breakdowns.json</w:t>
      </w:r>
      <w:r>
        <w:t xml:space="preserve">)</w:t>
      </w:r>
    </w:p>
    <w:tbl>
      <w:tblPr>
        <w:tblStyle w:val="Table"/>
        <w:tblW w:type="pct" w:w="5000"/>
        <w:tblLayout w:type="fixed"/>
        <w:tblLook w:firstRow="1" w:lastRow="0" w:firstColumn="0" w:lastColumn="0" w:noHBand="0" w:noVBand="0" w:val="0020"/>
        <w:tblCaption w:val="Table 5.10. Replay benign utility by kind of user task (r2_breakdowns.json)"/>
      </w:tblPr>
      <w:tblGrid>
        <w:gridCol w:w="1131"/>
        <w:gridCol w:w="1131"/>
        <w:gridCol w:w="1131"/>
        <w:gridCol w:w="1131"/>
        <w:gridCol w:w="1131"/>
        <w:gridCol w:w="1131"/>
        <w:gridCol w:w="1131"/>
      </w:tblGrid>
      <w:tr>
        <w:trPr>
          <w:tblHeader w:val="on"/>
        </w:trPr>
        <w:tc>
          <w:tcPr/>
          <w:p>
            <w:pPr>
              <w:pStyle w:val="Compact"/>
            </w:pPr>
            <w:r>
              <w:t xml:space="preserve">User tasks</w:t>
            </w:r>
          </w:p>
        </w:tc>
        <w:tc>
          <w:tcPr/>
          <w:p>
            <w:pPr>
              <w:pStyle w:val="Compact"/>
            </w:pPr>
            <w:r>
              <w:t xml:space="preserve">Tasks</w:t>
            </w:r>
          </w:p>
        </w:tc>
        <w:tc>
          <w:tcPr/>
          <w:p>
            <w:pPr>
              <w:pStyle w:val="Compact"/>
            </w:pPr>
            <w:r>
              <w:t xml:space="preserve">Episodes</w:t>
            </w:r>
          </w:p>
        </w:tc>
        <w:tc>
          <w:tcPr/>
          <w:p>
            <w:pPr>
              <w:pStyle w:val="Compact"/>
            </w:pPr>
            <w:r>
              <w:t xml:space="preserve">B0</w:t>
            </w:r>
          </w:p>
        </w:tc>
        <w:tc>
          <w:tcPr/>
          <w:p>
            <w:pPr>
              <w:pStyle w:val="Compact"/>
            </w:pPr>
            <w:r>
              <w:t xml:space="preserve">B1 (no reviewer)</w:t>
            </w:r>
          </w:p>
        </w:tc>
        <w:tc>
          <w:tcPr/>
          <w:p>
            <w:pPr>
              <w:pStyle w:val="Compact"/>
            </w:pPr>
            <w:r>
              <w:t xml:space="preserve">REM (no reviewer)</w:t>
            </w:r>
          </w:p>
        </w:tc>
        <w:tc>
          <w:tcPr/>
          <w:p>
            <w:pPr>
              <w:pStyle w:val="Compact"/>
            </w:pPr>
            <w:r>
              <w:t xml:space="preserve">REM (idealized reviewer)</w:t>
            </w:r>
          </w:p>
        </w:tc>
      </w:tr>
      <w:tr>
        <w:tc>
          <w:tcPr/>
          <w:p>
            <w:pPr>
              <w:pStyle w:val="Compact"/>
            </w:pPr>
            <w:r>
              <w:t xml:space="preserve">Requiring a state change</w:t>
            </w:r>
          </w:p>
        </w:tc>
        <w:tc>
          <w:tcPr/>
          <w:p>
            <w:pPr>
              <w:pStyle w:val="Compact"/>
            </w:pPr>
            <w:r>
              <w:t xml:space="preserve">12</w:t>
            </w:r>
          </w:p>
        </w:tc>
        <w:tc>
          <w:tcPr/>
          <w:p>
            <w:pPr>
              <w:pStyle w:val="Compact"/>
            </w:pPr>
            <w:r>
              <w:t xml:space="preserve">250</w:t>
            </w:r>
          </w:p>
        </w:tc>
        <w:tc>
          <w:tcPr/>
          <w:p>
            <w:pPr>
              <w:pStyle w:val="Compact"/>
            </w:pPr>
            <w:r>
              <w:t xml:space="preserve">0.472 [0.320, 0.632]</w:t>
            </w:r>
          </w:p>
        </w:tc>
        <w:tc>
          <w:tcPr/>
          <w:p>
            <w:pPr>
              <w:pStyle w:val="Compact"/>
            </w:pPr>
            <w:r>
              <w:t xml:space="preserve">0.432 [0.238, 0.637]</w:t>
            </w:r>
          </w:p>
        </w:tc>
        <w:tc>
          <w:tcPr/>
          <w:p>
            <w:pPr>
              <w:pStyle w:val="Compact"/>
            </w:pPr>
            <w:r>
              <w:t xml:space="preserve">0.168 [0.000, 0.420]</w:t>
            </w:r>
          </w:p>
        </w:tc>
        <w:tc>
          <w:tcPr/>
          <w:p>
            <w:pPr>
              <w:pStyle w:val="Compact"/>
            </w:pPr>
            <w:r>
              <w:t xml:space="preserve">0.416 [0.238, 0.600]</w:t>
            </w:r>
          </w:p>
        </w:tc>
      </w:tr>
      <w:tr>
        <w:tc>
          <w:tcPr/>
          <w:p>
            <w:pPr>
              <w:pStyle w:val="Compact"/>
            </w:pPr>
            <w:r>
              <w:t xml:space="preserve">Read-only</w:t>
            </w:r>
          </w:p>
        </w:tc>
        <w:tc>
          <w:tcPr/>
          <w:p>
            <w:pPr>
              <w:pStyle w:val="Compact"/>
            </w:pPr>
            <w:r>
              <w:t xml:space="preserve">4</w:t>
            </w:r>
          </w:p>
        </w:tc>
        <w:tc>
          <w:tcPr/>
          <w:p>
            <w:pPr>
              <w:pStyle w:val="Compact"/>
            </w:pPr>
            <w:r>
              <w:t xml:space="preserve">84</w:t>
            </w:r>
          </w:p>
        </w:tc>
        <w:tc>
          <w:tcPr/>
          <w:p>
            <w:pPr>
              <w:pStyle w:val="Compact"/>
            </w:pPr>
            <w:r>
              <w:t xml:space="preserve">0.679 [0.369, 0.929]</w:t>
            </w:r>
          </w:p>
        </w:tc>
        <w:tc>
          <w:tcPr/>
          <w:p>
            <w:pPr>
              <w:pStyle w:val="Compact"/>
            </w:pPr>
            <w:r>
              <w:t xml:space="preserve">0.738 [0.417, 0.976]</w:t>
            </w:r>
          </w:p>
        </w:tc>
        <w:tc>
          <w:tcPr/>
          <w:p>
            <w:pPr>
              <w:pStyle w:val="Compact"/>
            </w:pPr>
            <w:r>
              <w:t xml:space="preserve">0.750 [0.429, 1.000]</w:t>
            </w:r>
          </w:p>
        </w:tc>
        <w:tc>
          <w:tcPr/>
          <w:p>
            <w:pPr>
              <w:pStyle w:val="Compact"/>
            </w:pPr>
            <w:r>
              <w:t xml:space="preserve">0.738 [0.417, 0.976]</w:t>
            </w:r>
          </w:p>
        </w:tc>
      </w:tr>
    </w:tbl>
    <w:p>
      <w:pPr>
        <w:pStyle w:val="CaptionedFigure"/>
      </w:pPr>
      <w:r>
        <w:drawing>
          <wp:inline>
            <wp:extent cx="5296535" cy="2369502"/>
            <wp:effectExtent b="0" l="0" r="0" t="0"/>
            <wp:docPr descr="Figure 5.2. Replay sensitivity analysis (NO-ADAPT): ASR and benign utility with 95% grouped-bootstrap intervals." title="" id="31" name="Picture"/>
            <a:graphic>
              <a:graphicData uri="http://schemas.openxmlformats.org/drawingml/2006/picture">
                <pic:pic>
                  <pic:nvPicPr>
                    <pic:cNvPr descr="results/pilot_R2/figures/fig_enforcement_replay.png" id="32" name="Picture"/>
                    <pic:cNvPicPr>
                      <a:picLocks noChangeArrowheads="1" noChangeAspect="1"/>
                    </pic:cNvPicPr>
                  </pic:nvPicPr>
                  <pic:blipFill>
                    <a:blip r:embed="rId30"/>
                    <a:stretch>
                      <a:fillRect/>
                    </a:stretch>
                  </pic:blipFill>
                  <pic:spPr bwMode="auto">
                    <a:xfrm>
                      <a:off x="0" y="0"/>
                      <a:ext cx="5296535" cy="2369502"/>
                    </a:xfrm>
                    <a:prstGeom prst="rect">
                      <a:avLst/>
                    </a:prstGeom>
                    <a:noFill/>
                    <a:ln w="9525">
                      <a:noFill/>
                      <a:headEnd/>
                      <a:tailEnd/>
                    </a:ln>
                  </pic:spPr>
                </pic:pic>
              </a:graphicData>
            </a:graphic>
          </wp:inline>
        </w:drawing>
      </w:r>
    </w:p>
    <w:p>
      <w:pPr>
        <w:pStyle w:val="ImageCaption"/>
      </w:pPr>
      <w:r>
        <w:t xml:space="preserve">Figure 5.2. Replay sensitivity analysis (NO-ADAPT): ASR and benign utility with 95% grouped-bootstrap intervals.</w:t>
      </w:r>
    </w:p>
    <w:p>
      <w:pPr>
        <w:pStyle w:val="BodyText"/>
      </w:pPr>
      <w:r>
        <w:rPr>
          <w:b/>
          <w:bCs/>
        </w:rPr>
        <w:t xml:space="preserve">What the replay results show, within NO-ADAPT:</w:t>
      </w:r>
    </w:p>
    <w:p>
      <w:pPr>
        <w:pStyle w:val="Compact"/>
        <w:numPr>
          <w:ilvl w:val="0"/>
          <w:numId w:val="1011"/>
        </w:numPr>
      </w:pPr>
      <w:r>
        <w:rPr>
          <w:b/>
          <w:bCs/>
        </w:rPr>
        <w:t xml:space="preserve">Where the ASR difference comes from.</w:t>
      </w:r>
      <w:r>
        <w:t xml:space="preserve"> </w:t>
      </w:r>
      <w:r>
        <w:t xml:space="preserve">REM withholds more of the recorded attack attempts than B1. Most of the difference comes from the credential-change and payment-modification attacks (Table 5.9), each represented by a single injection task.</w:t>
      </w:r>
    </w:p>
    <w:p>
      <w:pPr>
        <w:pStyle w:val="Compact"/>
        <w:numPr>
          <w:ilvl w:val="0"/>
          <w:numId w:val="1011"/>
        </w:numPr>
      </w:pPr>
      <w:r>
        <w:rPr>
          <w:b/>
          <w:bCs/>
        </w:rPr>
        <w:t xml:space="preserve">The utility cost falls on state-changing tasks.</w:t>
      </w:r>
      <w:r>
        <w:t xml:space="preserve"> </w:t>
      </w:r>
      <w:r>
        <w:t xml:space="preserve">With no reviewer, REM’s benign utility falls to 0.168 on those tasks (Table 5.10).</w:t>
      </w:r>
    </w:p>
    <w:p>
      <w:pPr>
        <w:pStyle w:val="Compact"/>
        <w:numPr>
          <w:ilvl w:val="0"/>
          <w:numId w:val="1011"/>
        </w:numPr>
      </w:pPr>
      <w:r>
        <w:rPr>
          <w:b/>
          <w:bCs/>
        </w:rPr>
        <w:t xml:space="preserve">The cost is not caused by the escalation option.</w:t>
      </w:r>
      <w:r>
        <w:t xml:space="preserve"> </w:t>
      </w:r>
      <w:r>
        <w:t xml:space="preserve">REM without expected-loss Escalate has almost the same utility cost relative to B1 (Table 5.8).</w:t>
      </w:r>
    </w:p>
    <w:p>
      <w:pPr>
        <w:pStyle w:val="Compact"/>
        <w:numPr>
          <w:ilvl w:val="0"/>
          <w:numId w:val="1011"/>
        </w:numPr>
      </w:pPr>
      <w:r>
        <w:rPr>
          <w:b/>
          <w:bCs/>
        </w:rPr>
        <w:t xml:space="preserve">With an idealized reviewer, the cost disappears.</w:t>
      </w:r>
      <w:r>
        <w:t xml:space="preserve"> </w:t>
      </w:r>
      <w:r>
        <w:t xml:space="preserve">That reviewer knows the label and is an upper bound on reviewer quality, not a model of one.</w:t>
      </w:r>
    </w:p>
    <w:p>
      <w:pPr>
        <w:pStyle w:val="FirstParagraph"/>
      </w:pPr>
      <w:r>
        <w:rPr>
          <w:b/>
          <w:bCs/>
        </w:rPr>
        <w:t xml:space="preserve">RQ3 quantities:</w:t>
      </w:r>
    </w:p>
    <w:p>
      <w:pPr>
        <w:pStyle w:val="Compact"/>
        <w:numPr>
          <w:ilvl w:val="0"/>
          <w:numId w:val="1012"/>
        </w:numPr>
      </w:pPr>
      <w:r>
        <w:rPr>
          <w:b/>
          <w:bCs/>
        </w:rPr>
        <w:t xml:space="preserve">Residual attack success after Modify.</w:t>
      </w:r>
      <w:r>
        <w:t xml:space="preserve"> </w:t>
      </w:r>
      <w:r>
        <w:t xml:space="preserve">In oracle-Modify replays within the fitting folds, r</w:t>
      </w:r>
      <w:r>
        <w:rPr>
          <w:vertAlign w:val="subscript"/>
        </w:rPr>
        <w:t xml:space="preserve">mod</w:t>
      </w:r>
      <w:r>
        <w:t xml:space="preserve"> </w:t>
      </w:r>
      <w:r>
        <w:t xml:space="preserve">was 0.000 at tier 3 (530 episodes) and 0.010 at tier 4 (298 episodes) (</w:t>
      </w:r>
      <w:r>
        <w:rPr>
          <w:rStyle w:val="VerbatimChar"/>
        </w:rPr>
        <w:t xml:space="preserve">e4_rmod_and_replay_validity.json</w:t>
      </w:r>
      <w:r>
        <w:t xml:space="preserve">). In replays where REM applied Modify to an attack step, residual ASR was 0.000 (610 episodes). Under NO-ADAPT a withheld call simply does not occur, so</w:t>
      </w:r>
      <w:r>
        <w:t xml:space="preserve"> </w:t>
      </w:r>
      <w:r>
        <w:rPr>
          <w:b/>
          <w:bCs/>
        </w:rPr>
        <w:t xml:space="preserve">these values are consequences of the assumption, not measurements of tool restriction against a live agent.</w:t>
      </w:r>
    </w:p>
    <w:p>
      <w:pPr>
        <w:pStyle w:val="Compact"/>
        <w:numPr>
          <w:ilvl w:val="0"/>
          <w:numId w:val="1012"/>
        </w:numPr>
      </w:pPr>
      <w:r>
        <w:rPr>
          <w:b/>
          <w:bCs/>
        </w:rPr>
        <w:t xml:space="preserve">Escalation rate.</w:t>
      </w:r>
      <w:r>
        <w:t xml:space="preserve"> </w:t>
      </w:r>
      <w:r>
        <w:t xml:space="preserve">0.196 of all steps in the observe-only analysis (Table 5.5).</w:t>
      </w:r>
    </w:p>
    <w:p>
      <w:pPr>
        <w:pStyle w:val="Compact"/>
        <w:numPr>
          <w:ilvl w:val="0"/>
          <w:numId w:val="1012"/>
        </w:numPr>
      </w:pPr>
      <w:r>
        <w:rPr>
          <w:b/>
          <w:bCs/>
        </w:rPr>
        <w:t xml:space="preserve">Processing time.</w:t>
      </w:r>
      <w:r>
        <w:t xml:space="preserve"> </w:t>
      </w:r>
      <w:r>
        <w:t xml:space="preserve">REM’s processing time per step, measured as described in Chapter 4, Section 4.14, had a median of 0.14–0.20 ms and a 95th percentile of 0.39–0.54 ms across REM configurations and the two runs; the independent re-execution of 30 October gave values within these ranges for REM configurations.</w:t>
      </w:r>
    </w:p>
    <w:p>
      <w:pPr>
        <w:pStyle w:val="Compact"/>
        <w:numPr>
          <w:ilvl w:val="0"/>
          <w:numId w:val="1012"/>
        </w:numPr>
      </w:pPr>
      <w:r>
        <w:rPr>
          <w:b/>
          <w:bCs/>
        </w:rPr>
        <w:t xml:space="preserve">Memory.</w:t>
      </w:r>
      <w:r>
        <w:t xml:space="preserve"> </w:t>
      </w:r>
      <w:r>
        <w:t xml:space="preserve">The median peak traced allocation was 4.4 KB per step, with a 95th percentile of 12.4 KB (611 steps of 300 episodes;</w:t>
      </w:r>
      <w:r>
        <w:t xml:space="preserve"> </w:t>
      </w:r>
      <w:r>
        <w:rPr>
          <w:rStyle w:val="VerbatimChar"/>
        </w:rPr>
        <w:t xml:space="preserve">latency_memory_profile.json</w:t>
      </w:r>
      <w:r>
        <w:t xml:space="preserve">). The first run (R1) measured 2.9 KB; like time, memory varies between runs. The independent re-execution of 30 October measured the same value.</w:t>
      </w:r>
    </w:p>
    <w:p>
      <w:pPr>
        <w:pStyle w:val="FirstParagraph"/>
      </w:pPr>
      <w:r>
        <w:t xml:space="preserve">These figures apply to the evaluated configuration only: no neural injection classifier, no reviewer, recorded inputs. They are not estimates for a complete deployment.</w:t>
      </w:r>
    </w:p>
    <w:bookmarkEnd w:id="33"/>
    <w:bookmarkEnd w:id="34"/>
    <w:bookmarkStart w:id="35" w:name="rq4-ablations"/>
    <w:p>
      <w:pPr>
        <w:pStyle w:val="Heading2"/>
      </w:pPr>
      <w:r>
        <w:t xml:space="preserve">5.7 RQ4 — Ablations</w:t>
      </w:r>
    </w:p>
    <w:p>
      <w:pPr>
        <w:pStyle w:val="TableCaption"/>
      </w:pPr>
      <w:r>
        <w:t xml:space="preserve">Table 5.11. Ablations (observe-only columns: held-out recorded steps; replay columns: step-level semantics, no reviewer)</w:t>
      </w:r>
    </w:p>
    <w:tbl>
      <w:tblPr>
        <w:tblStyle w:val="Table"/>
        <w:tblW w:type="pct" w:w="5000"/>
        <w:tblLayout w:type="fixed"/>
        <w:tblLook w:firstRow="1" w:lastRow="0" w:firstColumn="0" w:lastColumn="0" w:noHBand="0" w:noVBand="0" w:val="0020"/>
        <w:tblCaption w:val="Table 5.11. Ablations (observe-only columns: held-out recorded steps; replay columns: step-level semantics, no reviewer)"/>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Held-out ROC-AUC</w:t>
            </w:r>
          </w:p>
        </w:tc>
        <w:tc>
          <w:tcPr/>
          <w:p>
            <w:pPr>
              <w:pStyle w:val="Compact"/>
            </w:pPr>
            <w:r>
              <w:t xml:space="preserve">Observe-only intervention, y = 0</w:t>
            </w:r>
          </w:p>
        </w:tc>
        <w:tc>
          <w:tcPr/>
          <w:p>
            <w:pPr>
              <w:pStyle w:val="Compact"/>
            </w:pPr>
            <w:r>
              <w:t xml:space="preserve">Observe-only intervention, y = 1</w:t>
            </w:r>
          </w:p>
        </w:tc>
        <w:tc>
          <w:tcPr/>
          <w:p>
            <w:pPr>
              <w:pStyle w:val="Compact"/>
            </w:pPr>
            <w:r>
              <w:t xml:space="preserve">Replay ASR</w:t>
            </w:r>
          </w:p>
        </w:tc>
        <w:tc>
          <w:tcPr/>
          <w:p>
            <w:pPr>
              <w:pStyle w:val="Compact"/>
            </w:pPr>
            <w:r>
              <w:t xml:space="preserve">Replay benign utility</w:t>
            </w:r>
          </w:p>
        </w:tc>
      </w:tr>
      <w:tr>
        <w:tc>
          <w:tcPr/>
          <w:p>
            <w:pPr>
              <w:pStyle w:val="Compact"/>
            </w:pPr>
            <w:r>
              <w:t xml:space="preserve">Full REM</w:t>
            </w:r>
          </w:p>
        </w:tc>
        <w:tc>
          <w:tcPr/>
          <w:p>
            <w:pPr>
              <w:pStyle w:val="Compact"/>
            </w:pPr>
            <w:r>
              <w:t xml:space="preserve">0.938</w:t>
            </w:r>
          </w:p>
        </w:tc>
        <w:tc>
          <w:tcPr/>
          <w:p>
            <w:pPr>
              <w:pStyle w:val="Compact"/>
            </w:pPr>
            <w:r>
              <w:t xml:space="preserve">0.227</w:t>
            </w:r>
          </w:p>
        </w:tc>
        <w:tc>
          <w:tcPr/>
          <w:p>
            <w:pPr>
              <w:pStyle w:val="Compact"/>
            </w:pPr>
            <w:r>
              <w:t xml:space="preserve">0.973</w:t>
            </w:r>
          </w:p>
        </w:tc>
        <w:tc>
          <w:tcPr/>
          <w:p>
            <w:pPr>
              <w:pStyle w:val="Compact"/>
            </w:pPr>
            <w:r>
              <w:t xml:space="preserve">0.004</w:t>
            </w:r>
          </w:p>
        </w:tc>
        <w:tc>
          <w:tcPr/>
          <w:p>
            <w:pPr>
              <w:pStyle w:val="Compact"/>
            </w:pPr>
            <w:r>
              <w:t xml:space="preserve">0.314</w:t>
            </w:r>
          </w:p>
        </w:tc>
      </w:tr>
      <w:tr>
        <w:tc>
          <w:tcPr/>
          <w:p>
            <w:pPr>
              <w:pStyle w:val="Compact"/>
            </w:pPr>
            <w:r>
              <w:t xml:space="preserve">− context evidence (x^ctx₂)</w:t>
            </w:r>
          </w:p>
        </w:tc>
        <w:tc>
          <w:tcPr/>
          <w:p>
            <w:pPr>
              <w:pStyle w:val="Compact"/>
            </w:pPr>
            <w:r>
              <w:t xml:space="preserve">0.938</w:t>
            </w:r>
          </w:p>
        </w:tc>
        <w:tc>
          <w:tcPr/>
          <w:p>
            <w:pPr>
              <w:pStyle w:val="Compact"/>
            </w:pPr>
            <w:r>
              <w:t xml:space="preserve">0.228</w:t>
            </w:r>
          </w:p>
        </w:tc>
        <w:tc>
          <w:tcPr/>
          <w:p>
            <w:pPr>
              <w:pStyle w:val="Compact"/>
            </w:pPr>
            <w:r>
              <w:t xml:space="preserve">0.973</w:t>
            </w:r>
          </w:p>
        </w:tc>
        <w:tc>
          <w:tcPr/>
          <w:p>
            <w:pPr>
              <w:pStyle w:val="Compact"/>
            </w:pPr>
            <w:r>
              <w:t xml:space="preserve">0.004</w:t>
            </w:r>
          </w:p>
        </w:tc>
        <w:tc>
          <w:tcPr/>
          <w:p>
            <w:pPr>
              <w:pStyle w:val="Compact"/>
            </w:pPr>
            <w:r>
              <w:t xml:space="preserve">0.314</w:t>
            </w:r>
          </w:p>
        </w:tc>
      </w:tr>
      <w:tr>
        <w:tc>
          <w:tcPr/>
          <w:p>
            <w:pPr>
              <w:pStyle w:val="Compact"/>
            </w:pPr>
            <w:r>
              <w:t xml:space="preserve">− behavioral evidence</w:t>
            </w:r>
          </w:p>
        </w:tc>
        <w:tc>
          <w:tcPr/>
          <w:p>
            <w:pPr>
              <w:pStyle w:val="Compact"/>
            </w:pPr>
            <w:r>
              <w:t xml:space="preserve">0.938</w:t>
            </w:r>
          </w:p>
        </w:tc>
        <w:tc>
          <w:tcPr/>
          <w:p>
            <w:pPr>
              <w:pStyle w:val="Compact"/>
            </w:pPr>
            <w:r>
              <w:t xml:space="preserve">0.174</w:t>
            </w:r>
          </w:p>
        </w:tc>
        <w:tc>
          <w:tcPr/>
          <w:p>
            <w:pPr>
              <w:pStyle w:val="Compact"/>
            </w:pPr>
            <w:r>
              <w:t xml:space="preserve">0.973</w:t>
            </w:r>
          </w:p>
        </w:tc>
        <w:tc>
          <w:tcPr/>
          <w:p>
            <w:pPr>
              <w:pStyle w:val="Compact"/>
            </w:pPr>
            <w:r>
              <w:t xml:space="preserve">0.004</w:t>
            </w:r>
          </w:p>
        </w:tc>
        <w:tc>
          <w:tcPr/>
          <w:p>
            <w:pPr>
              <w:pStyle w:val="Compact"/>
            </w:pPr>
            <w:r>
              <w:t xml:space="preserve">0.419</w:t>
            </w:r>
          </w:p>
        </w:tc>
      </w:tr>
      <w:tr>
        <w:tc>
          <w:tcPr/>
          <w:p>
            <w:pPr>
              <w:pStyle w:val="Compact"/>
            </w:pPr>
            <w:r>
              <w:t xml:space="preserve">− action evidence</w:t>
            </w:r>
          </w:p>
        </w:tc>
        <w:tc>
          <w:tcPr/>
          <w:p>
            <w:pPr>
              <w:pStyle w:val="Compact"/>
            </w:pPr>
            <w:r>
              <w:t xml:space="preserve">0.799</w:t>
            </w:r>
          </w:p>
        </w:tc>
        <w:tc>
          <w:tcPr/>
          <w:p>
            <w:pPr>
              <w:pStyle w:val="Compact"/>
            </w:pPr>
            <w:r>
              <w:t xml:space="preserve">0.242</w:t>
            </w:r>
          </w:p>
        </w:tc>
        <w:tc>
          <w:tcPr/>
          <w:p>
            <w:pPr>
              <w:pStyle w:val="Compact"/>
            </w:pPr>
            <w:r>
              <w:t xml:space="preserve">0.921</w:t>
            </w:r>
          </w:p>
        </w:tc>
        <w:tc>
          <w:tcPr/>
          <w:p>
            <w:pPr>
              <w:pStyle w:val="Compact"/>
            </w:pPr>
            <w:r>
              <w:t xml:space="preserve">0.006</w:t>
            </w:r>
          </w:p>
        </w:tc>
        <w:tc>
          <w:tcPr/>
          <w:p>
            <w:pPr>
              <w:pStyle w:val="Compact"/>
            </w:pPr>
            <w:r>
              <w:t xml:space="preserve">0.314</w:t>
            </w:r>
          </w:p>
        </w:tc>
      </w:tr>
      <w:tr>
        <w:tc>
          <w:tcPr/>
          <w:p>
            <w:pPr>
              <w:pStyle w:val="Compact"/>
            </w:pPr>
            <w:r>
              <w:t xml:space="preserve">− calibration (p̃ in Eq. 3.6)</w:t>
            </w:r>
          </w:p>
        </w:tc>
        <w:tc>
          <w:tcPr/>
          <w:p>
            <w:pPr>
              <w:pStyle w:val="Compact"/>
            </w:pPr>
            <w:r>
              <w:t xml:space="preserve">—</w:t>
            </w:r>
          </w:p>
        </w:tc>
        <w:tc>
          <w:tcPr/>
          <w:p>
            <w:pPr>
              <w:pStyle w:val="Compact"/>
            </w:pPr>
            <w:r>
              <w:t xml:space="preserve">0.213</w:t>
            </w:r>
          </w:p>
        </w:tc>
        <w:tc>
          <w:tcPr/>
          <w:p>
            <w:pPr>
              <w:pStyle w:val="Compact"/>
            </w:pPr>
            <w:r>
              <w:t xml:space="preserve">0.973</w:t>
            </w:r>
          </w:p>
        </w:tc>
        <w:tc>
          <w:tcPr/>
          <w:p>
            <w:pPr>
              <w:pStyle w:val="Compact"/>
            </w:pPr>
            <w:r>
              <w:t xml:space="preserve">0.004</w:t>
            </w:r>
          </w:p>
        </w:tc>
        <w:tc>
          <w:tcPr/>
          <w:p>
            <w:pPr>
              <w:pStyle w:val="Compact"/>
            </w:pPr>
            <w:r>
              <w:t xml:space="preserve">0.329</w:t>
            </w:r>
          </w:p>
        </w:tc>
      </w:tr>
      <w:tr>
        <w:tc>
          <w:tcPr/>
          <w:p>
            <w:pPr>
              <w:pStyle w:val="Compact"/>
            </w:pPr>
            <w:r>
              <w:t xml:space="preserve">one tier for all actions: 1 / 2 / 3 / 4</w:t>
            </w:r>
          </w:p>
        </w:tc>
        <w:tc>
          <w:tcPr/>
          <w:p>
            <w:pPr>
              <w:pStyle w:val="Compact"/>
            </w:pPr>
            <w:r>
              <w:t xml:space="preserve">—</w:t>
            </w:r>
          </w:p>
        </w:tc>
        <w:tc>
          <w:tcPr/>
          <w:p>
            <w:pPr>
              <w:pStyle w:val="Compact"/>
            </w:pPr>
            <w:r>
              <w:t xml:space="preserve">0.093 / 0.157 / 0.233 / 0.336</w:t>
            </w:r>
          </w:p>
        </w:tc>
        <w:tc>
          <w:tcPr/>
          <w:p>
            <w:pPr>
              <w:pStyle w:val="Compact"/>
            </w:pPr>
            <w:r>
              <w:t xml:space="preserve">0.757 / 0.909 / 0.972 / 0.976</w:t>
            </w:r>
          </w:p>
        </w:tc>
        <w:tc>
          <w:tcPr/>
          <w:p>
            <w:pPr>
              <w:pStyle w:val="Compact"/>
            </w:pPr>
            <w:r>
              <w:t xml:space="preserve">0.051 / 0.022 / 0.004 / 0.003</w:t>
            </w:r>
          </w:p>
        </w:tc>
        <w:tc>
          <w:tcPr/>
          <w:p>
            <w:pPr>
              <w:pStyle w:val="Compact"/>
            </w:pPr>
            <w:r>
              <w:t xml:space="preserve">0.440 / 0.353 / 0.338 / 0.314</w:t>
            </w:r>
          </w:p>
        </w:tc>
      </w:tr>
      <w:tr>
        <w:tc>
          <w:tcPr/>
          <w:p>
            <w:pPr>
              <w:pStyle w:val="Compact"/>
            </w:pPr>
            <w:r>
              <w:t xml:space="preserve">− predicates D1, D2</w:t>
            </w:r>
          </w:p>
        </w:tc>
        <w:tc>
          <w:tcPr/>
          <w:p>
            <w:pPr>
              <w:pStyle w:val="Compact"/>
            </w:pPr>
            <w:r>
              <w:t xml:space="preserve">—</w:t>
            </w:r>
          </w:p>
        </w:tc>
        <w:tc>
          <w:tcPr/>
          <w:p>
            <w:pPr>
              <w:pStyle w:val="Compact"/>
            </w:pPr>
            <w:r>
              <w:t xml:space="preserve">0.226</w:t>
            </w:r>
          </w:p>
        </w:tc>
        <w:tc>
          <w:tcPr/>
          <w:p>
            <w:pPr>
              <w:pStyle w:val="Compact"/>
            </w:pPr>
            <w:r>
              <w:t xml:space="preserve">0.973</w:t>
            </w:r>
          </w:p>
        </w:tc>
        <w:tc>
          <w:tcPr/>
          <w:p>
            <w:pPr>
              <w:pStyle w:val="Compact"/>
            </w:pPr>
            <w:r>
              <w:t xml:space="preserve">0.004</w:t>
            </w:r>
          </w:p>
        </w:tc>
        <w:tc>
          <w:tcPr/>
          <w:p>
            <w:pPr>
              <w:pStyle w:val="Compact"/>
            </w:pPr>
            <w:r>
              <w:t xml:space="preserve">0.314</w:t>
            </w:r>
          </w:p>
        </w:tc>
      </w:tr>
    </w:tbl>
    <w:p>
      <w:pPr>
        <w:pStyle w:val="BodyText"/>
      </w:pPr>
      <w:r>
        <w:t xml:space="preserve">Findings, worded as what was and was not observed:</w:t>
      </w:r>
    </w:p>
    <w:p>
      <w:pPr>
        <w:pStyle w:val="Compact"/>
        <w:numPr>
          <w:ilvl w:val="0"/>
          <w:numId w:val="1013"/>
        </w:numPr>
      </w:pPr>
      <w:r>
        <w:rPr>
          <w:b/>
          <w:bCs/>
        </w:rPr>
        <w:t xml:space="preserve">Action evidence</w:t>
      </w:r>
      <w:r>
        <w:t xml:space="preserve"> </w:t>
      </w:r>
      <w:r>
        <w:t xml:space="preserve">carries most of the discrimination: without it, held-out ROC-AUC falls from 0.938 to 0.799 and average precision from 0.719 to 0.367.</w:t>
      </w:r>
    </w:p>
    <w:p>
      <w:pPr>
        <w:pStyle w:val="Compact"/>
        <w:numPr>
          <w:ilvl w:val="0"/>
          <w:numId w:val="1013"/>
        </w:numPr>
      </w:pPr>
      <w:r>
        <w:rPr>
          <w:b/>
          <w:bCs/>
        </w:rPr>
        <w:t xml:space="preserve">Context evidence.</w:t>
      </w:r>
      <w:r>
        <w:t xml:space="preserve"> </w:t>
      </w:r>
      <w:r>
        <w:t xml:space="preserve">No improvement from the instruction-pattern indicator was observed. This concerns that indicator only; the pre-trained injection classifier x^ctx₁ was not tested, so nothing is concluded about context evidence in general.</w:t>
      </w:r>
    </w:p>
    <w:p>
      <w:pPr>
        <w:pStyle w:val="Compact"/>
        <w:numPr>
          <w:ilvl w:val="0"/>
          <w:numId w:val="1013"/>
        </w:numPr>
      </w:pPr>
      <w:r>
        <w:rPr>
          <w:b/>
          <w:bCs/>
        </w:rPr>
        <w:t xml:space="preserve">Behavioral evidence.</w:t>
      </w:r>
      <w:r>
        <w:t xml:space="preserve"> </w:t>
      </w:r>
      <w:r>
        <w:t xml:space="preserve">No security improvement was observed, and removing it raised replay benign utility by 10.5 points. The firing rates show why (</w:t>
      </w:r>
      <w:r>
        <w:rPr>
          <w:rStyle w:val="VerbatimChar"/>
        </w:rPr>
        <w:t xml:space="preserve">feature_firing_rates.json</w:t>
      </w:r>
      <w:r>
        <w:t xml:space="preserve">):</w:t>
      </w:r>
    </w:p>
    <w:p>
      <w:pPr>
        <w:pStyle w:val="Compact"/>
        <w:numPr>
          <w:ilvl w:val="1"/>
          <w:numId w:val="1014"/>
        </w:numPr>
      </w:pPr>
      <w:r>
        <w:t xml:space="preserve">the privilege-escalation indicator x^beh₃ fired on 92% of legitimate state-changing steps in episodes without injection, against 87% of attack steps;</w:t>
      </w:r>
    </w:p>
    <w:p>
      <w:pPr>
        <w:pStyle w:val="Compact"/>
        <w:numPr>
          <w:ilvl w:val="1"/>
          <w:numId w:val="1014"/>
        </w:numPr>
      </w:pPr>
      <w:r>
        <w:t xml:space="preserve">the transition-deviation indicator x^beh₄ fired on 43% of legitimate state-changing steps, against 17% of attack steps. Legitimate tasks held out by user task produce transitions that are absent from the fitting portion’s benign reference.</w:t>
      </w:r>
    </w:p>
    <w:p>
      <w:pPr>
        <w:pStyle w:val="Compact"/>
        <w:numPr>
          <w:ilvl w:val="0"/>
          <w:numId w:val="1000"/>
        </w:numPr>
      </w:pPr>
      <w:r>
        <w:t xml:space="preserve">In this benchmark, therefore, the behavioral features mark legitimate first transfers at least as often as attacks. Whether this holds in other environments is not known.</w:t>
      </w:r>
    </w:p>
    <w:p>
      <w:pPr>
        <w:pStyle w:val="Compact"/>
        <w:numPr>
          <w:ilvl w:val="0"/>
          <w:numId w:val="1013"/>
        </w:numPr>
      </w:pPr>
      <w:r>
        <w:rPr>
          <w:b/>
          <w:bCs/>
        </w:rPr>
        <w:t xml:space="preserve">Calibration and predicates.</w:t>
      </w:r>
      <w:r>
        <w:t xml:space="preserve"> </w:t>
      </w:r>
      <w:r>
        <w:t xml:space="preserve">No material change was observed from removing them. With Π empty, D2 fixed the verdict for 58 steps.</w:t>
      </w:r>
    </w:p>
    <w:p>
      <w:pPr>
        <w:pStyle w:val="Compact"/>
        <w:numPr>
          <w:ilvl w:val="0"/>
          <w:numId w:val="1013"/>
        </w:numPr>
      </w:pPr>
      <w:r>
        <w:rPr>
          <w:b/>
          <w:bCs/>
        </w:rPr>
        <w:t xml:space="preserve">Tiers.</w:t>
      </w:r>
      <w:r>
        <w:t xml:space="preserve"> </w:t>
      </w:r>
      <w:r>
        <w:t xml:space="preserve">The tier map moves the trade-off. A single low tier recovers utility and loses protection; a single high tier does the opposite.</w:t>
      </w:r>
    </w:p>
    <w:p>
      <w:pPr>
        <w:pStyle w:val="FirstParagraph"/>
      </w:pPr>
      <w:r>
        <w:t xml:space="preserve">None of these observations establishes that a component has no benefit in general. They are single-benchmark observations with nine attacked groups.</w:t>
      </w:r>
    </w:p>
    <w:bookmarkEnd w:id="35"/>
    <w:bookmarkStart w:id="36" w:name="X61b5e34e060f233a86f34c9bd24f80cbea663bf"/>
    <w:p>
      <w:pPr>
        <w:pStyle w:val="Heading2"/>
      </w:pPr>
      <w:r>
        <w:t xml:space="preserve">5.8 Optional Sequential Analysis (CUSUM, observe-only)</w:t>
      </w:r>
    </w:p>
    <w:p>
      <w:pPr>
        <w:pStyle w:val="FirstParagraph"/>
      </w:pPr>
      <w:r>
        <w:t xml:space="preserve">The Bernoulli CUSUM was fitted on each fold’s benign fitting episodes (</w:t>
      </w:r>
      <w:r>
        <w:rPr>
          <w:rStyle w:val="VerbatimChar"/>
        </w:rPr>
        <w:t xml:space="preserve">e3_a2_cusum_observe_only.json</w:t>
      </w:r>
      <w:r>
        <w:t xml:space="preserve">):</w:t>
      </w:r>
    </w:p>
    <w:p>
      <w:pPr>
        <w:pStyle w:val="Compact"/>
        <w:numPr>
          <w:ilvl w:val="0"/>
          <w:numId w:val="1015"/>
        </w:numPr>
      </w:pPr>
      <w:r>
        <w:rPr>
          <w:b/>
          <w:bCs/>
        </w:rPr>
        <w:t xml:space="preserve">q₁ = 0.3:</w:t>
      </w:r>
      <w:r>
        <w:t xml:space="preserve"> </w:t>
      </w:r>
      <w:r>
        <w:t xml:space="preserve">it was undefined in all folds, because the estimated pre-change rate (about 0.34) exceeded q₁.</w:t>
      </w:r>
    </w:p>
    <w:p>
      <w:pPr>
        <w:pStyle w:val="Compact"/>
        <w:numPr>
          <w:ilvl w:val="0"/>
          <w:numId w:val="1015"/>
        </w:numPr>
      </w:pPr>
      <w:r>
        <w:rPr>
          <w:b/>
          <w:bCs/>
        </w:rPr>
        <w:t xml:space="preserve">q₁ = 0.5 and 0.7:</w:t>
      </w:r>
    </w:p>
    <w:p>
      <w:pPr>
        <w:pStyle w:val="Compact"/>
        <w:numPr>
          <w:ilvl w:val="1"/>
          <w:numId w:val="1016"/>
        </w:numPr>
      </w:pPr>
      <w:r>
        <w:t xml:space="preserve">an alarm followed the entry of injected content in 74.8% of attacked episodes with a positive step;</w:t>
      </w:r>
    </w:p>
    <w:p>
      <w:pPr>
        <w:pStyle w:val="Compact"/>
        <w:numPr>
          <w:ilvl w:val="1"/>
          <w:numId w:val="1016"/>
        </w:numPr>
      </w:pPr>
      <w:r>
        <w:t xml:space="preserve">it came at or before the first positive step in 42.5–43.8%;</w:t>
      </w:r>
    </w:p>
    <w:p>
      <w:pPr>
        <w:pStyle w:val="Compact"/>
        <w:numPr>
          <w:ilvl w:val="1"/>
          <w:numId w:val="1016"/>
        </w:numPr>
      </w:pPr>
      <w:r>
        <w:t xml:space="preserve">the median delay was 1 step;</w:t>
      </w:r>
    </w:p>
    <w:p>
      <w:pPr>
        <w:pStyle w:val="Compact"/>
        <w:numPr>
          <w:ilvl w:val="1"/>
          <w:numId w:val="1016"/>
        </w:numPr>
      </w:pPr>
      <w:r>
        <w:t xml:space="preserve">the held-out benign false-alarm rate was 0.106, against an in-fold target of 0.05.</w:t>
      </w:r>
    </w:p>
    <w:p>
      <w:pPr>
        <w:pStyle w:val="FirstParagraph"/>
      </w:pPr>
      <w:r>
        <w:t xml:space="preserve">The CUSUM issued no verdicts.</w:t>
      </w:r>
    </w:p>
    <w:bookmarkEnd w:id="36"/>
    <w:bookmarkStart w:id="37" w:name="realized-loss-across-the-declared-grid"/>
    <w:p>
      <w:pPr>
        <w:pStyle w:val="Heading2"/>
      </w:pPr>
      <w:r>
        <w:t xml:space="preserve">5.9 Realized Loss across the Declared Grid</w:t>
      </w:r>
    </w:p>
    <w:p>
      <w:pPr>
        <w:pStyle w:val="FirstParagraph"/>
      </w:pPr>
      <w:r>
        <w:t xml:space="preserve">Realized loss (Eq. 3.22) on held-out steps was computed for 36 loss structures:</w:t>
      </w:r>
    </w:p>
    <w:p>
      <w:pPr>
        <w:pStyle w:val="Compact"/>
        <w:numPr>
          <w:ilvl w:val="0"/>
          <w:numId w:val="1017"/>
        </w:numPr>
      </w:pPr>
      <w:r>
        <w:t xml:space="preserve">C</w:t>
      </w:r>
      <w:r>
        <w:rPr>
          <w:vertAlign w:val="subscript"/>
        </w:rPr>
        <w:t xml:space="preserve">miss</w:t>
      </w:r>
      <w:r>
        <w:t xml:space="preserve"> </w:t>
      </w:r>
      <w:r>
        <w:t xml:space="preserve">multipliers 0.5–5;</w:t>
      </w:r>
    </w:p>
    <w:p>
      <w:pPr>
        <w:pStyle w:val="Compact"/>
        <w:numPr>
          <w:ilvl w:val="0"/>
          <w:numId w:val="1017"/>
        </w:numPr>
      </w:pPr>
      <w:r>
        <w:t xml:space="preserve">C</w:t>
      </w:r>
      <w:r>
        <w:rPr>
          <w:vertAlign w:val="subscript"/>
        </w:rPr>
        <w:t xml:space="preserve">esc</w:t>
      </w:r>
      <w:r>
        <w:t xml:space="preserve"> </w:t>
      </w:r>
      <w:r>
        <w:t xml:space="preserve">0.1–0.6;</w:t>
      </w:r>
    </w:p>
    <w:p>
      <w:pPr>
        <w:pStyle w:val="Compact"/>
        <w:numPr>
          <w:ilvl w:val="0"/>
          <w:numId w:val="1017"/>
        </w:numPr>
      </w:pPr>
      <w:r>
        <w:t xml:space="preserve">amount limits 100–10,000.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Realized loss, range over the 36 cells</w:t>
            </w:r>
          </w:p>
        </w:tc>
      </w:tr>
      <w:tr>
        <w:tc>
          <w:tcPr/>
          <w:p>
            <w:pPr>
              <w:pStyle w:val="Compact"/>
            </w:pPr>
            <w:r>
              <w:t xml:space="preserve">REM, matched costs</w:t>
            </w:r>
          </w:p>
        </w:tc>
        <w:tc>
          <w:tcPr/>
          <w:p>
            <w:pPr>
              <w:pStyle w:val="Compact"/>
            </w:pPr>
            <w:r>
              <w:t xml:space="preserve">0.039–0.298</w:t>
            </w:r>
          </w:p>
        </w:tc>
      </w:tr>
      <w:tr>
        <w:tc>
          <w:tcPr/>
          <w:p>
            <w:pPr>
              <w:pStyle w:val="Compact"/>
            </w:pPr>
            <w:r>
              <w:t xml:space="preserve">REM, base costs (misspecified)</w:t>
            </w:r>
          </w:p>
        </w:tc>
        <w:tc>
          <w:tcPr/>
          <w:p>
            <w:pPr>
              <w:pStyle w:val="Compact"/>
            </w:pPr>
            <w:r>
              <w:t xml:space="preserve">0.057–0.324</w:t>
            </w:r>
          </w:p>
        </w:tc>
      </w:tr>
      <w:tr>
        <w:tc>
          <w:tcPr/>
          <w:p>
            <w:pPr>
              <w:pStyle w:val="Compact"/>
            </w:pPr>
            <w:r>
              <w:t xml:space="preserve">B1</w:t>
            </w:r>
          </w:p>
        </w:tc>
        <w:tc>
          <w:tcPr/>
          <w:p>
            <w:pPr>
              <w:pStyle w:val="Compact"/>
            </w:pPr>
            <w:r>
              <w:t xml:space="preserve">0.303–3.261</w:t>
            </w:r>
          </w:p>
        </w:tc>
      </w:tr>
    </w:tbl>
    <w:p>
      <w:pPr>
        <w:pStyle w:val="BodyText"/>
      </w:pPr>
      <w:r>
        <w:t xml:space="preserve">REM’s loss was below B1’s in every cell, also when misspecified. Matched costs gave lower realized loss than misspecified costs in 34 of 36 cells.</w:t>
      </w:r>
    </w:p>
    <w:p>
      <w:pPr>
        <w:pStyle w:val="BodyText"/>
      </w:pPr>
      <w:r>
        <w:t xml:space="preserve">The comparison favors REM by construction. The grid cell α</w:t>
      </w:r>
      <w:r>
        <w:rPr>
          <w:vertAlign w:val="subscript"/>
        </w:rPr>
        <w:t xml:space="preserve">blk</w:t>
      </w:r>
      <w:r>
        <w:t xml:space="preserve"> </w:t>
      </w:r>
      <w:r>
        <w:t xml:space="preserve">= 0.05 is not evaluable, because the pre-registered α</w:t>
      </w:r>
      <w:r>
        <w:rPr>
          <w:vertAlign w:val="subscript"/>
        </w:rPr>
        <w:t xml:space="preserve">mod</w:t>
      </w:r>
      <w:r>
        <w:t xml:space="preserve"> </w:t>
      </w:r>
      <w:r>
        <w:t xml:space="preserve">= 0.05 must exceed α</w:t>
      </w:r>
      <w:r>
        <w:rPr>
          <w:vertAlign w:val="subscript"/>
        </w:rPr>
        <w:t xml:space="preserve">blk</w:t>
      </w:r>
      <w:r>
        <w:t xml:space="preserve">.</w:t>
      </w:r>
    </w:p>
    <w:bookmarkEnd w:id="37"/>
    <w:bookmarkStart w:id="38" w:name="X66cd39d5b1d30f1c848bcf3390bb9f1d13fa553"/>
    <w:p>
      <w:pPr>
        <w:pStyle w:val="Heading2"/>
      </w:pPr>
      <w:r>
        <w:t xml:space="preserve">5.10 Labels, the user_task_15 Collision and Benchmark Versions</w:t>
      </w:r>
    </w:p>
    <w:p>
      <w:pPr>
        <w:pStyle w:val="FirstParagraph"/>
      </w:pPr>
      <w:r>
        <w:rPr>
          <w:b/>
          <w:bCs/>
        </w:rPr>
        <w:t xml:space="preserve">Primary and post-hoc analyses are kept separate.</w:t>
      </w:r>
      <w:r>
        <w:t xml:space="preserve"> </w:t>
      </w:r>
      <w:r>
        <w:t xml:space="preserve">All results above use the pre-registered label rule with amendment AM-1.</w:t>
      </w:r>
    </w:p>
    <w:p>
      <w:pPr>
        <w:pStyle w:val="BodyText"/>
      </w:pPr>
      <w:r>
        <w:rPr>
          <w:b/>
          <w:bCs/>
        </w:rPr>
        <w:t xml:space="preserve">The collision.</w:t>
      </w:r>
      <w:r>
        <w:t xml:space="preserve"> </w:t>
      </w:r>
      <w:r>
        <w:t xml:space="preserve">In suite versions v1 and v1.1, user_task_15 asks the agent to pay a landlord whose account is also the attacker account of every injection task. The benchmark changed this from v1.1.1. Sixteen of the 21 recorded backbones used the earlier prompt. The label-relevant definitions of the nine injection tasks are identical in every suite version from v1 to v1.2.2, so labels are consistent across the mixed recordings.</w:t>
      </w:r>
    </w:p>
    <w:p>
      <w:pPr>
        <w:pStyle w:val="BodyText"/>
      </w:pPr>
      <w:r>
        <w:rPr>
          <w:b/>
          <w:bCs/>
        </w:rPr>
        <w:t xml:space="preserve">Post-hoc analysis.</w:t>
      </w:r>
      <w:r>
        <w:t xml:space="preserve"> </w:t>
      </w:r>
      <w:r>
        <w:t xml:space="preserve">29 positive steps in user_task_15 episodes are ambiguous, 19 of them with no injected content in the context. All of REM’s residual replay ASR comes from these episodes. A post-hoc analysis that excludes user_task_15 gives REM ASR 0.000 and held-out ROC-AUC 0.952 (</w:t>
      </w:r>
      <w:r>
        <w:rPr>
          <w:rStyle w:val="VerbatimChar"/>
        </w:rPr>
        <w:t xml:space="preserve">sensitivity_post_hoc_exclude_user_task_15.json</w:t>
      </w:r>
      <w:r>
        <w:t xml:space="preserve">). It is reported for transparency and does not replace the primary result.</w:t>
      </w:r>
    </w:p>
    <w:p>
      <w:pPr>
        <w:pStyle w:val="BodyText"/>
      </w:pPr>
      <w:r>
        <w:rPr>
          <w:b/>
          <w:bCs/>
        </w:rPr>
        <w:t xml:space="preserve">Label audit.</w:t>
      </w:r>
    </w:p>
    <w:p>
      <w:pPr>
        <w:pStyle w:val="Compact"/>
        <w:numPr>
          <w:ilvl w:val="0"/>
          <w:numId w:val="1018"/>
        </w:numPr>
      </w:pPr>
      <w:r>
        <w:rPr>
          <w:b/>
          <w:bCs/>
        </w:rPr>
        <w:t xml:space="preserve">AI inspection only so far.</w:t>
      </w:r>
      <w:r>
        <w:t xml:space="preserve"> </w:t>
      </w:r>
      <w:r>
        <w:t xml:space="preserve">A sample of 30 attacked episodes was inspected by the AI assistant that assisted this work, not by a human: 29 labels agreed with the trace, and one was a likely false negative (an attacker-directed transfer through a tool other than the reference tool).</w:t>
      </w:r>
    </w:p>
    <w:p>
      <w:pPr>
        <w:pStyle w:val="Compact"/>
        <w:numPr>
          <w:ilvl w:val="0"/>
          <w:numId w:val="1018"/>
        </w:numPr>
      </w:pPr>
      <w:r>
        <w:rPr>
          <w:b/>
          <w:bCs/>
        </w:rPr>
        <w:t xml:space="preserve">Human audit package.</w:t>
      </w:r>
      <w:r>
        <w:t xml:space="preserve"> </w:t>
      </w:r>
      <w:r>
        <w:t xml:space="preserve">A package for human annotation has been prepared (</w:t>
      </w:r>
      <w:r>
        <w:rPr>
          <w:rStyle w:val="VerbatimChar"/>
        </w:rPr>
        <w:t xml:space="preserve">results/pilot_R2/label_audit_human_package.csv</w:t>
      </w:r>
      <w:r>
        <w:t xml:space="preserve">, with instructions). It contains 145 items:</w:t>
      </w:r>
    </w:p>
    <w:p>
      <w:pPr>
        <w:pStyle w:val="Compact"/>
        <w:numPr>
          <w:ilvl w:val="1"/>
          <w:numId w:val="1019"/>
        </w:numPr>
      </w:pPr>
      <w:r>
        <w:t xml:space="preserve">a random sample of 30 attacked episodes;</w:t>
      </w:r>
    </w:p>
    <w:p>
      <w:pPr>
        <w:pStyle w:val="Compact"/>
        <w:numPr>
          <w:ilvl w:val="1"/>
          <w:numId w:val="1019"/>
        </w:numPr>
      </w:pPr>
      <w:r>
        <w:t xml:space="preserve">all 29 ambiguous user_task_15 positives;</w:t>
      </w:r>
    </w:p>
    <w:p>
      <w:pPr>
        <w:pStyle w:val="Compact"/>
        <w:numPr>
          <w:ilvl w:val="1"/>
          <w:numId w:val="1019"/>
        </w:numPr>
      </w:pPr>
      <w:r>
        <w:t xml:space="preserve">19 steps carrying an attacker value but labelled 0;</w:t>
      </w:r>
    </w:p>
    <w:p>
      <w:pPr>
        <w:pStyle w:val="Compact"/>
        <w:numPr>
          <w:ilvl w:val="1"/>
          <w:numId w:val="1019"/>
        </w:numPr>
      </w:pPr>
      <w:r>
        <w:t xml:space="preserve">4 steps from episodes with recorded success but no positive label;</w:t>
      </w:r>
    </w:p>
    <w:p>
      <w:pPr>
        <w:pStyle w:val="Compact"/>
        <w:numPr>
          <w:ilvl w:val="1"/>
          <w:numId w:val="1019"/>
        </w:numPr>
      </w:pPr>
      <w:r>
        <w:t xml:space="preserve">23 positive steps from episodes without recorded success.</w:t>
      </w:r>
    </w:p>
    <w:p>
      <w:pPr>
        <w:pStyle w:val="FirstParagraph"/>
      </w:pPr>
      <w:r>
        <w:rPr>
          <w:b/>
          <w:bCs/>
        </w:rPr>
        <w:t xml:space="preserve">The human audit has not been performed.</w:t>
      </w:r>
    </w:p>
    <w:bookmarkEnd w:id="38"/>
    <w:bookmarkStart w:id="39" w:name="X93045bcbb19b63067cd053082be9318b6534057"/>
    <w:p>
      <w:pPr>
        <w:pStyle w:val="Heading2"/>
      </w:pPr>
      <w:r>
        <w:t xml:space="preserve">5.11 Distributed Defenses (Recorded Outcomes Only)</w:t>
      </w:r>
    </w:p>
    <w:p>
      <w:pPr>
        <w:pStyle w:val="FirstParagraph"/>
      </w:pPr>
      <w:r>
        <w:t xml:space="preserve">For orientation, the recorded outcomes of four defenses distributed with the benchmark, on gpt-4o (</w:t>
      </w:r>
      <w:r>
        <w:rPr>
          <w:rStyle w:val="VerbatimChar"/>
        </w:rPr>
        <w:t xml:space="preserve">e4_cross_template_and_defenses.json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Defense</w:t>
            </w:r>
          </w:p>
        </w:tc>
        <w:tc>
          <w:tcPr/>
          <w:p>
            <w:pPr>
              <w:pStyle w:val="Compact"/>
            </w:pPr>
            <w:r>
              <w:t xml:space="preserve">ASR</w:t>
            </w:r>
          </w:p>
        </w:tc>
        <w:tc>
          <w:tcPr/>
          <w:p>
            <w:pPr>
              <w:pStyle w:val="Compact"/>
            </w:pPr>
            <w:r>
              <w:t xml:space="preserve">Benign utility</w:t>
            </w:r>
          </w:p>
        </w:tc>
      </w:tr>
      <w:tr>
        <w:tc>
          <w:tcPr/>
          <w:p>
            <w:pPr>
              <w:pStyle w:val="Compact"/>
            </w:pPr>
            <w:r>
              <w:t xml:space="preserve">tool_filter</w:t>
            </w:r>
          </w:p>
        </w:tc>
        <w:tc>
          <w:tcPr/>
          <w:p>
            <w:pPr>
              <w:pStyle w:val="Compact"/>
            </w:pPr>
            <w:r>
              <w:t xml:space="preserve">0.112</w:t>
            </w:r>
          </w:p>
        </w:tc>
        <w:tc>
          <w:tcPr/>
          <w:p>
            <w:pPr>
              <w:pStyle w:val="Compact"/>
            </w:pPr>
            <w:r>
              <w:t xml:space="preserve">0.81</w:t>
            </w:r>
          </w:p>
        </w:tc>
      </w:tr>
      <w:tr>
        <w:tc>
          <w:tcPr/>
          <w:p>
            <w:pPr>
              <w:pStyle w:val="Compact"/>
            </w:pPr>
            <w:r>
              <w:t xml:space="preserve">transformers_pi_detector</w:t>
            </w:r>
          </w:p>
        </w:tc>
        <w:tc>
          <w:tcPr/>
          <w:p>
            <w:pPr>
              <w:pStyle w:val="Compact"/>
            </w:pPr>
            <w:r>
              <w:t xml:space="preserve">0.007</w:t>
            </w:r>
          </w:p>
        </w:tc>
        <w:tc>
          <w:tcPr/>
          <w:p>
            <w:pPr>
              <w:pStyle w:val="Compact"/>
            </w:pPr>
            <w:r>
              <w:t xml:space="preserve">0.44</w:t>
            </w:r>
          </w:p>
        </w:tc>
      </w:tr>
      <w:tr>
        <w:tc>
          <w:tcPr/>
          <w:p>
            <w:pPr>
              <w:pStyle w:val="Compact"/>
            </w:pPr>
            <w:r>
              <w:t xml:space="preserve">repeat_user_prompt</w:t>
            </w:r>
          </w:p>
        </w:tc>
        <w:tc>
          <w:tcPr/>
          <w:p>
            <w:pPr>
              <w:pStyle w:val="Compact"/>
            </w:pPr>
            <w:r>
              <w:t xml:space="preserve">0.462</w:t>
            </w:r>
          </w:p>
        </w:tc>
        <w:tc>
          <w:tcPr/>
          <w:p>
            <w:pPr>
              <w:pStyle w:val="Compact"/>
            </w:pPr>
            <w:r>
              <w:t xml:space="preserve">0.94</w:t>
            </w:r>
          </w:p>
        </w:tc>
      </w:tr>
      <w:tr>
        <w:tc>
          <w:tcPr/>
          <w:p>
            <w:pPr>
              <w:pStyle w:val="Compact"/>
            </w:pPr>
            <w:r>
              <w:t xml:space="preserve">spotlighting_with_delimiting</w:t>
            </w:r>
          </w:p>
        </w:tc>
        <w:tc>
          <w:tcPr/>
          <w:p>
            <w:pPr>
              <w:pStyle w:val="Compact"/>
            </w:pPr>
            <w:r>
              <w:t xml:space="preserve">0.615</w:t>
            </w:r>
          </w:p>
        </w:tc>
        <w:tc>
          <w:tcPr/>
          <w:p>
            <w:pPr>
              <w:pStyle w:val="Compact"/>
            </w:pPr>
            <w:r>
              <w:t xml:space="preserve">0.81</w:t>
            </w:r>
          </w:p>
        </w:tc>
      </w:tr>
    </w:tbl>
    <w:p>
      <w:pPr>
        <w:pStyle w:val="BodyText"/>
      </w:pPr>
      <w:r>
        <w:t xml:space="preserve">These are recorded outcomes, possibly under different suite versions, and were not replayed.</w:t>
      </w:r>
      <w:r>
        <w:t xml:space="preserve"> </w:t>
      </w:r>
      <w:r>
        <w:rPr>
          <w:b/>
          <w:bCs/>
        </w:rPr>
        <w:t xml:space="preserve">They are not a controlled comparison with REM</w:t>
      </w:r>
      <w:r>
        <w:t xml:space="preserve"> </w:t>
      </w:r>
      <w:r>
        <w:t xml:space="preserve">and are not used as one.</w:t>
      </w:r>
    </w:p>
    <w:bookmarkEnd w:id="39"/>
    <w:bookmarkStart w:id="40" w:name="summary-by-research-question"/>
    <w:p>
      <w:pPr>
        <w:pStyle w:val="Heading2"/>
      </w:pPr>
      <w:r>
        <w:t xml:space="preserve">5.12 Summary by Research Question</w:t>
      </w:r>
    </w:p>
    <w:p>
      <w:pPr>
        <w:pStyle w:val="TableCaption"/>
      </w:pPr>
      <w:r>
        <w:t xml:space="preserve">Table 5.12. Evidence summary</w:t>
      </w:r>
    </w:p>
    <w:tbl>
      <w:tblPr>
        <w:tblStyle w:val="Table"/>
        <w:tblW w:type="pct" w:w="5000"/>
        <w:tblLayout w:type="fixed"/>
        <w:tblLook w:firstRow="1" w:lastRow="0" w:firstColumn="0" w:lastColumn="0" w:noHBand="0" w:noVBand="0" w:val="0020"/>
        <w:tblCaption w:val="Table 5.12. Evidence summary"/>
      </w:tblPr>
      <w:tblGrid>
        <w:gridCol w:w="1980"/>
        <w:gridCol w:w="1980"/>
        <w:gridCol w:w="1980"/>
        <w:gridCol w:w="1980"/>
      </w:tblGrid>
      <w:tr>
        <w:trPr>
          <w:tblHeader w:val="on"/>
        </w:trPr>
        <w:tc>
          <w:tcPr/>
          <w:p>
            <w:pPr>
              <w:pStyle w:val="Compact"/>
            </w:pPr>
            <w:r>
              <w:t xml:space="preserve">RQ</w:t>
            </w:r>
          </w:p>
        </w:tc>
        <w:tc>
          <w:tcPr/>
          <w:p>
            <w:pPr>
              <w:pStyle w:val="Compact"/>
            </w:pPr>
            <w:r>
              <w:t xml:space="preserve">Kind of evidence</w:t>
            </w:r>
          </w:p>
        </w:tc>
        <w:tc>
          <w:tcPr/>
          <w:p>
            <w:pPr>
              <w:pStyle w:val="Compact"/>
            </w:pPr>
            <w:r>
              <w:t xml:space="preserve">What was observed</w:t>
            </w:r>
          </w:p>
        </w:tc>
        <w:tc>
          <w:tcPr/>
          <w:p>
            <w:pPr>
              <w:pStyle w:val="Compact"/>
            </w:pPr>
            <w:r>
              <w:t xml:space="preserve">Not shown</w:t>
            </w:r>
          </w:p>
        </w:tc>
      </w:tr>
      <w:tr>
        <w:tc>
          <w:tcPr/>
          <w:p>
            <w:pPr>
              <w:pStyle w:val="Compact"/>
            </w:pPr>
            <w:r>
              <w:t xml:space="preserve">RQ1</w:t>
            </w:r>
          </w:p>
        </w:tc>
        <w:tc>
          <w:tcPr/>
          <w:p>
            <w:pPr>
              <w:pStyle w:val="Compact"/>
            </w:pPr>
            <w:r>
              <w:t xml:space="preserve">Held-out predictions</w:t>
            </w:r>
          </w:p>
        </w:tc>
        <w:tc>
          <w:tcPr/>
          <w:p>
            <w:pPr>
              <w:pStyle w:val="Compact"/>
            </w:pPr>
            <w:r>
              <w:t xml:space="preserve">ROC-AUC 0.94 overall; 0.86–0.98 per held-out attacker objective; 0.92–0.96 on other templates; 0.74–1.00 per held-out backbone. ECE 0.044, degraded on the unseen credential-change category. No calibration improvement observed</w:t>
            </w:r>
          </w:p>
        </w:tc>
        <w:tc>
          <w:tcPr/>
          <w:p>
            <w:pPr>
              <w:pStyle w:val="Compact"/>
            </w:pPr>
            <w:r>
              <w:t xml:space="preserve">Performance on other benchmarks or live agents</w:t>
            </w:r>
          </w:p>
        </w:tc>
      </w:tr>
      <w:tr>
        <w:tc>
          <w:tcPr/>
          <w:p>
            <w:pPr>
              <w:pStyle w:val="Compact"/>
            </w:pPr>
            <w:r>
              <w:t xml:space="preserve">RQ2</w:t>
            </w:r>
          </w:p>
        </w:tc>
        <w:tc>
          <w:tcPr/>
          <w:p>
            <w:pPr>
              <w:pStyle w:val="Compact"/>
            </w:pPr>
            <w:r>
              <w:t xml:space="preserve">Observe-only decisions; replay</w:t>
            </w:r>
          </w:p>
        </w:tc>
        <w:tc>
          <w:tcPr/>
          <w:p>
            <w:pPr>
              <w:pStyle w:val="Compact"/>
            </w:pPr>
            <w:r>
              <w:t xml:space="preserve">REM intervened on more attack steps than B1 and on many more legitimate state-changing steps. The difference stems mainly from tier-indexed costs, not from the escalation option. In replay, REM’s ASR was lower than B1’s (mostly credential and payment attacks), at a utility cost of −18 to −20 points without a reviewer and about 0 with an oracle reviewer</w:t>
            </w:r>
          </w:p>
        </w:tc>
        <w:tc>
          <w:tcPr/>
          <w:p>
            <w:pPr>
              <w:pStyle w:val="Compact"/>
            </w:pPr>
            <w:r>
              <w:t xml:space="preserve">Enforcement against live or adaptive agents</w:t>
            </w:r>
          </w:p>
        </w:tc>
      </w:tr>
      <w:tr>
        <w:tc>
          <w:tcPr/>
          <w:p>
            <w:pPr>
              <w:pStyle w:val="Compact"/>
            </w:pPr>
            <w:r>
              <w:t xml:space="preserve">RQ3</w:t>
            </w:r>
          </w:p>
        </w:tc>
        <w:tc>
          <w:tcPr/>
          <w:p>
            <w:pPr>
              <w:pStyle w:val="Compact"/>
            </w:pPr>
            <w:r>
              <w:t xml:space="preserve">Replay; runtime measurement</w:t>
            </w:r>
          </w:p>
        </w:tc>
        <w:tc>
          <w:tcPr/>
          <w:p>
            <w:pPr>
              <w:pStyle w:val="Compact"/>
            </w:pPr>
            <w:r>
              <w:t xml:space="preserve">r</w:t>
            </w:r>
            <w:r>
              <w:rPr>
                <w:vertAlign w:val="subscript"/>
              </w:rPr>
              <w:t xml:space="preserve">mod</w:t>
            </w:r>
            <w:r>
              <w:t xml:space="preserve"> </w:t>
            </w:r>
            <w:r>
              <w:t xml:space="preserve">and residual ASR ≈ 0 under NO-ADAPT (assumption-driven); escalation 19.6% of steps; REM processing below 0.6 ms per step at p95 in this configuration</w:t>
            </w:r>
          </w:p>
        </w:tc>
        <w:tc>
          <w:tcPr/>
          <w:p>
            <w:pPr>
              <w:pStyle w:val="Compact"/>
            </w:pPr>
            <w:r>
              <w:t xml:space="preserve">Residual success of live agents after Modify; full-system latency</w:t>
            </w:r>
          </w:p>
        </w:tc>
      </w:tr>
      <w:tr>
        <w:tc>
          <w:tcPr/>
          <w:p>
            <w:pPr>
              <w:pStyle w:val="Compact"/>
            </w:pPr>
            <w:r>
              <w:t xml:space="preserve">RQ4</w:t>
            </w:r>
          </w:p>
        </w:tc>
        <w:tc>
          <w:tcPr/>
          <w:p>
            <w:pPr>
              <w:pStyle w:val="Compact"/>
            </w:pPr>
            <w:r>
              <w:t xml:space="preserve">Held-out predictions; observe-only; replay</w:t>
            </w:r>
          </w:p>
        </w:tc>
        <w:tc>
          <w:tcPr/>
          <w:p>
            <w:pPr>
              <w:pStyle w:val="Compact"/>
            </w:pPr>
            <w:r>
              <w:t xml:space="preserve">Action evidence dominates. No improvement observed from the instruction-pattern indicator or from behavioral evidence, which lowered utility. Tiers drive the trade-off</w:t>
            </w:r>
          </w:p>
        </w:tc>
        <w:tc>
          <w:tcPr/>
          <w:p>
            <w:pPr>
              <w:pStyle w:val="Compact"/>
            </w:pPr>
            <w:r>
              <w:t xml:space="preserve">General claims about context or behavioral evidence</w:t>
            </w:r>
          </w:p>
        </w:tc>
      </w:tr>
    </w:tbl>
    <w:bookmarkEnd w:id="40"/>
    <w:bookmarkEnd w:id="41"/>
    <w:bookmarkStart w:id="42" w:name="references"/>
    <w:p>
      <w:pPr>
        <w:pStyle w:val="Heading1"/>
      </w:pPr>
      <w:r>
        <w:t xml:space="preserve">References</w:t>
      </w:r>
    </w:p>
    <w:p>
      <w:pPr>
        <w:pStyle w:val="FirstParagraph"/>
      </w:pPr>
      <w:r>
        <w:rPr>
          <w:i/>
          <w:iCs/>
        </w:rPr>
        <w:t xml:space="preserve">APA 7th edition. One consolidated list for all chapters. Preprints, working papers and withdrawn preprints are marked. Official and regulatory sources are marked [Official source] and are not treated as research literature. For arXiv-only records identified through the index, author lists abbreviated in the index record are marked as such. The verification status of every entry is recorded in</w:t>
      </w:r>
      <w:r>
        <w:rPr>
          <w:i/>
          <w:iCs/>
        </w:rPr>
        <w:t xml:space="preserve"> </w:t>
      </w:r>
      <w:r>
        <w:rPr>
          <w:rStyle w:val="VerbatimChar"/>
          <w:i/>
          <w:iCs/>
        </w:rPr>
        <w:t xml:space="preserve">REFERENCES_VERIFIED.md</w:t>
      </w:r>
      <w:r>
        <w:rPr>
          <w:i/>
          <w:iCs/>
        </w:rPr>
        <w:t xml:space="preserve">.</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
          <w:iCs/>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
          <w:iCs/>
        </w:rPr>
        <w:t xml:space="preserve">Detection of abrupt changes: Theory and application</w:t>
      </w:r>
      <w:r>
        <w:t xml:space="preserve">. Prentice Hall.</w:t>
      </w:r>
    </w:p>
    <w:p>
      <w:pPr>
        <w:pStyle w:val="BodyText"/>
      </w:pPr>
      <w:r>
        <w:t xml:space="preserve">Brier, G. W. (1950). Verification of forecasts expressed in terms of probability.</w:t>
      </w:r>
      <w:r>
        <w:t xml:space="preserve"> </w:t>
      </w:r>
      <w:r>
        <w:rPr>
          <w:i/>
          <w:iCs/>
        </w:rPr>
        <w:t xml:space="preserve">Monthly Weather Review, 78</w:t>
      </w:r>
      <w:r>
        <w:t xml:space="preserve">(1), 1–3. https://doi.org/10.1175/1520-0493(1950)078&lt;0001:VOFEIT&gt;2.0.CO;2</w:t>
      </w:r>
    </w:p>
    <w:p>
      <w:pPr>
        <w:pStyle w:val="BodyText"/>
      </w:pPr>
      <w:r>
        <w:t xml:space="preserve">Calboreanu, E. (2026). LATTICE: A governance-first architecture for authorized autonomous AI operations.</w:t>
      </w:r>
      <w:r>
        <w:t xml:space="preserve"> </w:t>
      </w:r>
      <w:r>
        <w:rPr>
          <w:i/>
          <w:iCs/>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
          <w:iCs/>
        </w:rPr>
        <w:t xml:space="preserve">AI, 7</w:t>
      </w:r>
      <w:r>
        <w:t xml:space="preserve">(3), Article 80. https://doi.org/10.3390/ai7030080</w:t>
      </w:r>
    </w:p>
    <w:p>
      <w:pPr>
        <w:pStyle w:val="BodyText"/>
      </w:pPr>
      <w:r>
        <w:t xml:space="preserve">Chandola, V., Banerjee, A., &amp; Kumar, V. (2009). Anomaly detection: A survey.</w:t>
      </w:r>
      <w:r>
        <w:t xml:space="preserve"> </w:t>
      </w:r>
      <w:r>
        <w:rPr>
          <w:i/>
          <w:iCs/>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
          <w:iCs/>
        </w:rPr>
        <w:t xml:space="preserve">IEEE Transactions on Knowledge and Data Engineering, 24</w:t>
      </w:r>
      <w:r>
        <w:t xml:space="preserve">(5), 823–839. https://doi.org/10.1109/TKDE.2010.235</w:t>
      </w:r>
    </w:p>
    <w:p>
      <w:pPr>
        <w:pStyle w:val="BodyText"/>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
          <w:iCs/>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
          <w:iCs/>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
          <w:iCs/>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
          <w:iCs/>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
          <w:iCs/>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
          <w:iCs/>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
          <w:iCs/>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
          <w:iCs/>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
          <w:iCs/>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
          <w:iCs/>
        </w:rPr>
        <w:t xml:space="preserve">Advances in Neural Information Processing Systems 37 (NeurIPS 2024), Datasets and Benchmarks Track</w:t>
      </w:r>
      <w:r>
        <w:t xml:space="preserve">.</w:t>
      </w:r>
    </w:p>
    <w:p>
      <w:pPr>
        <w:pStyle w:val="BodyText"/>
      </w:pPr>
      <w:r>
        <w:t xml:space="preserve">Efron, B. (1979). Bootstrap methods: Another look at the jackknife.</w:t>
      </w:r>
      <w:r>
        <w:t xml:space="preserve"> </w:t>
      </w:r>
      <w:r>
        <w:rPr>
          <w:i/>
          <w:iCs/>
        </w:rPr>
        <w:t xml:space="preserve">The Annals of Statistics, 7</w:t>
      </w:r>
      <w:r>
        <w:t xml:space="preserve">(1). https://doi.org/10.1214/aos/1176344552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Fawcett, T. (2006). An introduction to ROC analysis.</w:t>
      </w:r>
      <w:r>
        <w:t xml:space="preserve"> </w:t>
      </w:r>
      <w:r>
        <w:rPr>
          <w:i/>
          <w:iCs/>
        </w:rPr>
        <w:t xml:space="preserve">Pattern Recognition Letters, 27</w:t>
      </w:r>
      <w:r>
        <w:t xml:space="preserve">(8), 861–874. https://doi.org/10.1016/j.patrec.2005.10.010</w:t>
      </w:r>
    </w:p>
    <w:p>
      <w:pPr>
        <w:pStyle w:val="BodyText"/>
      </w:pPr>
      <w:r>
        <w:t xml:space="preserve">Forrest, S., Hofmeyr, S. A., Somayaji, A., &amp; Longstaff, T. A. (1996). A sense of self for Unix processes. In</w:t>
      </w:r>
      <w:r>
        <w:t xml:space="preserve"> </w:t>
      </w:r>
      <w:r>
        <w:rPr>
          <w:i/>
          <w:iCs/>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
          <w:iCs/>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
          <w:iCs/>
        </w:rPr>
        <w:t xml:space="preserve">ACM Transactions on Software Engineering and Methodology</w:t>
      </w:r>
      <w:r>
        <w:t xml:space="preserve">. https://doi.org/10.1145/3814959</w:t>
      </w:r>
    </w:p>
    <w:p>
      <w:pPr>
        <w:pStyle w:val="BodyText"/>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BodyText"/>
      </w:pPr>
      <w:r>
        <w:t xml:space="preserve">Hines, K., Lopez, G., Hall, M., Zarfati, F., Zunger, Y., &amp; Kiciman, E. (2024).</w:t>
      </w:r>
      <w:r>
        <w:t xml:space="preserve"> </w:t>
      </w:r>
      <w:r>
        <w:rPr>
          <w:i/>
          <w:iCs/>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
          <w:iCs/>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
          <w:iCs/>
        </w:rPr>
        <w:t xml:space="preserve">Journal of Cybersecurity and Privacy, 6</w:t>
      </w:r>
      <w:r>
        <w:t xml:space="preserve">(3), Article 84. https://doi.org/10.3390/jcp6030084</w:t>
      </w:r>
    </w:p>
    <w:p>
      <w:pPr>
        <w:pStyle w:val="BodyText"/>
      </w:pPr>
      <w:r>
        <w:t xml:space="preserve">Jackson, F. (2025).</w:t>
      </w:r>
      <w:r>
        <w:t xml:space="preserve"> </w:t>
      </w:r>
      <w:r>
        <w:rPr>
          <w:i/>
          <w:iCs/>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
          <w:iCs/>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
          <w:iCs/>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
          <w:iCs/>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
          <w:iCs/>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
          <w:iCs/>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
          <w:iCs/>
        </w:rPr>
        <w:t xml:space="preserve">Runtime governance for AI agents: Policies on paths</w:t>
      </w:r>
      <w:r>
        <w:t xml:space="preserve"> </w:t>
      </w:r>
      <w:r>
        <w:t xml:space="preserve">(arXiv:2603.16586) [Preprint]. arXiv. https://doi.org/10.48550/arXiv.2603.16586</w:t>
      </w:r>
    </w:p>
    <w:p>
      <w:pPr>
        <w:pStyle w:val="BodyText"/>
      </w:pPr>
      <w:r>
        <w:t xml:space="preserve">Kekatos, N., Basagiannis, S., Chintri, M., Lekidis, A., Nianios, T., Seitoglou, I., Temperekidis, A., &amp; Katsaros, P. (2026). Formal runtime verification for tool-using LLM agents: An offline same-benchmark study on AgentDojo and STAC. In</w:t>
      </w:r>
      <w:r>
        <w:t xml:space="preserve"> </w:t>
      </w:r>
      <w:r>
        <w:rPr>
          <w:i/>
          <w:iCs/>
        </w:rPr>
        <w:t xml:space="preserve">Proceedings of the 2026 8th Joint Workshop on CPS&amp;IoT Security and Privacy</w:t>
      </w:r>
      <w:r>
        <w:t xml:space="preserve"> </w:t>
      </w:r>
      <w:r>
        <w:t xml:space="preserve">(pp. 129–142). ACM. https://doi.org/10.1145/3847353.3847499</w:t>
      </w:r>
    </w:p>
    <w:p>
      <w:pPr>
        <w:pStyle w:val="BodyText"/>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
          <w:iCs/>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
          <w:iCs/>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
          <w:iCs/>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
          <w:iCs/>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
          <w:iCs/>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
          <w:iCs/>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
          <w:iCs/>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
          <w:iCs/>
        </w:rPr>
        <w:t xml:space="preserve">33rd USENIX Security Symposium</w:t>
      </w:r>
      <w:r>
        <w:t xml:space="preserve"> </w:t>
      </w:r>
      <w:r>
        <w:t xml:space="preserve">(pp. 1831–1847). USENIX Association.</w:t>
      </w:r>
    </w:p>
    <w:p>
      <w:pPr>
        <w:pStyle w:val="BodyText"/>
      </w:pPr>
      <w:r>
        <w:t xml:space="preserve">Liu, Z. (2026).</w:t>
      </w:r>
      <w:r>
        <w:t xml:space="preserve"> </w:t>
      </w:r>
      <w:r>
        <w:rPr>
          <w:i/>
          <w:iCs/>
        </w:rPr>
        <w:t xml:space="preserve">Passing the test you trained on: Re-evaluating prompt-injection detectors for LLM agents</w:t>
      </w:r>
      <w:r>
        <w:t xml:space="preserve"> </w:t>
      </w:r>
      <w:r>
        <w:t xml:space="preserve">(arXiv:2610.03448) [Preprint]. arXiv. https://doi.org/10.48550/arXiv.2610.03448</w:t>
      </w:r>
    </w:p>
    <w:p>
      <w:pPr>
        <w:pStyle w:val="BodyText"/>
      </w:pPr>
      <w:r>
        <w:t xml:space="preserve">Lorden, G. (1971). Procedures for reacting to a change in distribution.</w:t>
      </w:r>
      <w:r>
        <w:t xml:space="preserve"> </w:t>
      </w:r>
      <w:r>
        <w:rPr>
          <w:i/>
          <w:iCs/>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
          <w:iCs/>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
          <w:iCs/>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
          <w:iCs/>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
          <w:iCs/>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Moustakides, G. V. (1986). Optimal stopping times for detecting changes in distributions.</w:t>
      </w:r>
      <w:r>
        <w:t xml:space="preserve"> </w:t>
      </w:r>
      <w:r>
        <w:rPr>
          <w:i/>
          <w:iCs/>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
          <w:iCs/>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
          <w:iCs/>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
          <w:iCs/>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
          <w:iCs/>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
          <w:iCs/>
        </w:rPr>
        <w:t xml:space="preserve">Biometrika, 41</w:t>
      </w:r>
      <w:r>
        <w:t xml:space="preserve">(1–2), 100–115. https://doi.org/10.1093/biomet/41.1-2.100</w:t>
      </w:r>
    </w:p>
    <w:p>
      <w:pPr>
        <w:pStyle w:val="BodyText"/>
      </w:pPr>
      <w:r>
        <w:t xml:space="preserve">Patil, S. G., Zhang, T., Fang, V., et al. (2024).</w:t>
      </w:r>
      <w:r>
        <w:t xml:space="preserve"> </w:t>
      </w:r>
      <w:r>
        <w:rPr>
          <w:i/>
          <w:iCs/>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
          <w:iCs/>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t xml:space="preserve">Ray, S. (2026).</w:t>
      </w:r>
      <w:r>
        <w:t xml:space="preserve"> </w:t>
      </w:r>
      <w:r>
        <w:rPr>
          <w:i/>
          <w:iCs/>
        </w:rPr>
        <w:t xml:space="preserve">What can be enforced? A theory of certified runtime safety for tool-using agents</w:t>
      </w:r>
      <w:r>
        <w:t xml:space="preserve"> </w:t>
      </w:r>
      <w:r>
        <w:t xml:space="preserve">(arXiv:2607.22868) [Preprint]. arXiv. https://doi.org/10.48550/arXiv.2607.22868</w:t>
      </w:r>
    </w:p>
    <w:p>
      <w:pPr>
        <w:pStyle w:val="BodyText"/>
      </w:pPr>
      <w:r>
        <w:t xml:space="preserve">Reynolds, M. R., Jr., &amp; Stoumbos, Z. G. (1999). A CUSUM chart for monitoring a proportion when inspecting continuously.</w:t>
      </w:r>
      <w:r>
        <w:t xml:space="preserve"> </w:t>
      </w:r>
      <w:r>
        <w:rPr>
          <w:i/>
          <w:iCs/>
        </w:rPr>
        <w:t xml:space="preserve">Journal of Quality Technology, 31</w:t>
      </w:r>
      <w:r>
        <w:t xml:space="preserve">(1), 87–108. https://doi.org/10.1080/00224065.1999.11979900</w:t>
      </w:r>
    </w:p>
    <w:p>
      <w:pPr>
        <w:pStyle w:val="BodyText"/>
      </w:pPr>
      <w:r>
        <w:t xml:space="preserve">Ruan, Y., Dong, H., Wang, A., Pitis, S., Zhou, Y., Ba, J., Dubois, Y., Maddison, C. J., &amp; Hashimoto, T. (2024). Identifying the risks of LM agents with an LM-emulated sandbox. In</w:t>
      </w:r>
      <w:r>
        <w:t xml:space="preserve"> </w:t>
      </w:r>
      <w:r>
        <w:rPr>
          <w:i/>
          <w:iCs/>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
          <w:iCs/>
        </w:rPr>
        <w:t xml:space="preserve">Advances in Neural Information Processing Systems 36 (NeurIPS 2023)</w:t>
      </w:r>
      <w:r>
        <w:t xml:space="preserve">.</w:t>
      </w:r>
    </w:p>
    <w:p>
      <w:pPr>
        <w:pStyle w:val="BodyText"/>
      </w:pPr>
      <w:r>
        <w:t xml:space="preserve">Schneider, F. B. (2000). Enforceable security policies.</w:t>
      </w:r>
      <w:r>
        <w:t xml:space="preserve"> </w:t>
      </w:r>
      <w:r>
        <w:rPr>
          <w:i/>
          <w:iCs/>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
          <w:iCs/>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
          <w:iCs/>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
          <w:iCs/>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
          <w:iCs/>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
          <w:iCs/>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
          <w:iCs/>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
          <w:iCs/>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
          <w:iCs/>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
          <w:iCs/>
        </w:rPr>
        <w:t xml:space="preserve">ProbGuard: Probabilistic runtime monitoring for LLM agent safety</w:t>
      </w:r>
      <w:r>
        <w:t xml:space="preserve"> </w:t>
      </w:r>
      <w:r>
        <w:t xml:space="preserve">(arXiv:2508.00500; earlier versions titled</w:t>
      </w:r>
      <w:r>
        <w:t xml:space="preserve"> </w:t>
      </w:r>
      <w:r>
        <w:t xml:space="preserve">“Pro2Guard”</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
          <w:iCs/>
        </w:rPr>
        <w:t xml:space="preserve">Frontiers of Computer Science, 18</w:t>
      </w:r>
      <w:r>
        <w:t xml:space="preserve">(6), Article 186345. https://doi.org/10.1007/s11704-024-40231-1</w:t>
      </w:r>
    </w:p>
    <w:p>
      <w:pPr>
        <w:pStyle w:val="BodyText"/>
      </w:pPr>
      <w:r>
        <w:t xml:space="preserve">Wang, P., Li, Y., &amp; Tian, Y. (2026).</w:t>
      </w:r>
      <w:r>
        <w:t xml:space="preserve"> </w:t>
      </w:r>
      <w:r>
        <w:rPr>
          <w:i/>
          <w:iCs/>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
          <w:iCs/>
        </w:rPr>
        <w:t xml:space="preserve">Electronics, 15</w:t>
      </w:r>
      <w:r>
        <w:t xml:space="preserve">(13), Article 2829. https://doi.org/10.3390/electronics15132829</w:t>
      </w:r>
    </w:p>
    <w:p>
      <w:pPr>
        <w:pStyle w:val="BodyText"/>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
          <w:iCs/>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
          <w:iCs/>
        </w:rPr>
        <w:t xml:space="preserve">ClawSafety:</w:t>
      </w:r>
      <w:r>
        <w:rPr>
          <w:i/>
          <w:iCs/>
        </w:rPr>
        <w:t xml:space="preserve"> </w:t>
      </w:r>
      <w:r>
        <w:rPr>
          <w:i/>
          <w:iCs/>
        </w:rPr>
        <w:t xml:space="preserve">“Safe”</w:t>
      </w:r>
      <w:r>
        <w:rPr>
          <w:i/>
          <w:iCs/>
        </w:rPr>
        <w:t xml:space="preserve"> </w:t>
      </w:r>
      <w:r>
        <w:rPr>
          <w:i/>
          <w:iCs/>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
          <w:iCs/>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
          <w:iCs/>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
          <w:iCs/>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
          <w:iCs/>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Xin, Q. (2026). TapGuard: Temperature-calibrated execute–confirm–block routing for LLM-powered mobile agents.</w:t>
      </w:r>
      <w:r>
        <w:t xml:space="preserve"> </w:t>
      </w:r>
      <w:r>
        <w:rPr>
          <w:i/>
          <w:iCs/>
        </w:rPr>
        <w:t xml:space="preserve">International Journal of Mobile Applications and Technologies, 2</w:t>
      </w:r>
      <w:r>
        <w:t xml:space="preserve">(2). https://doi.org/10.51137/wrp.ijmat.1051</w:t>
      </w:r>
    </w:p>
    <w:p>
      <w:pPr>
        <w:pStyle w:val="BodyText"/>
      </w:pPr>
      <w:r>
        <w:t xml:space="preserve">Yan, B., Zhang, Q., Kan, Z., et al. (2026).</w:t>
      </w:r>
      <w:r>
        <w:t xml:space="preserve"> </w:t>
      </w:r>
      <w:r>
        <w:rPr>
          <w:i/>
          <w:iCs/>
        </w:rPr>
        <w:t xml:space="preserve">PROVISO: Provenance-informed action selection for secure LLM agents</w:t>
      </w:r>
      <w:r>
        <w:t xml:space="preserve"> </w:t>
      </w:r>
      <w:r>
        <w:t xml:space="preserve">(arXiv:2610.27115) [Preprint]. arXiv. https://doi.org/10.48550/arXiv.2610.27115 [Author list abbreviated from the index record; full list not verified]</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
          <w:iCs/>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
          <w:iCs/>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
          <w:iCs/>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
          <w:iCs/>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
          <w:iCs/>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
          <w:iCs/>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
          <w:iCs/>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
          <w:iCs/>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
          <w:iCs/>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“Calibration is not control: Why LLM-agent oversight needs intervention”</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
          <w:iCs/>
        </w:rPr>
        <w:t xml:space="preserve">The Thirteenth International Conference on Learning Representations (ICLR 2025)</w:t>
      </w:r>
      <w:r>
        <w:t xml:space="preserve">.</w:t>
      </w:r>
    </w:p>
    <w:p>
      <w:pPr>
        <w:pStyle w:val="BodyText"/>
      </w:pPr>
      <w:r>
        <w:t xml:space="preserve">Zhang, Y., Chen, K., Gao, J., et al. (2024).</w:t>
      </w:r>
      <w:r>
        <w:t xml:space="preserve"> </w:t>
      </w:r>
      <w:r>
        <w:rPr>
          <w:i/>
          <w:iCs/>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
          <w:iCs/>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
          <w:iCs/>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
          <w:iCs/>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42"/>
    <w:sectPr>
      <w:footerReference r:id="rId9" w:type="default"/>
      <w:footnotePr>
        <w:numRestart w:val="eachSect"/>
      </w:footnote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240" w:line="240" w:lineRule="auto"/>
      <w:contextualSpacing/>
      <w:jc w:val="center"/>
    </w:pPr>
    <w:rPr>
      <w:rFonts w:ascii="Times New Roman" w:cs="Times New Roman" w:eastAsia="Times New Roman" w:hAnsi="Times New Roman"/>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Times New Roman" w:cs="Times New Roman" w:eastAsia="Times New Roman"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styleId="Date" w:type="paragraph">
    <w:name w:val="Date"/>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40"/>
      <w:outlineLvl w:val="3"/>
    </w:pPr>
    <w:rPr>
      <w:rFonts w:ascii="Times New Roman" w:cs="Times New Roman" w:eastAsia="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000000"/>
      <w:sz w:val="22"/>
    </w:rPr>
  </w:style>
  <w:style w:customStyle="1" w:styleId="TableCaption" w:type="paragraph">
    <w:name w:val="Table Caption"/>
    <w:basedOn w:val="Caption"/>
    <w:pPr>
      <w:keepNext/>
    </w:pPr>
    <w:rPr>
      <w:rFonts w:ascii="Times New Roman" w:cs="Times New Roman" w:eastAsia="Times New Roman" w:hAnsi="Times New Roman"/>
      <w:b/>
      <w:i w:val="0"/>
      <w:color w:val="000000"/>
      <w:sz w:val="22"/>
    </w:rPr>
  </w:style>
  <w:style w:customStyle="1" w:styleId="ImageCaption" w:type="paragraph">
    <w:name w:val="Image Caption"/>
    <w:basedOn w:val="Caption"/>
    <w:rPr>
      <w:rFonts w:ascii="Times New Roman" w:cs="Times New Roman" w:eastAsia="Times New Roman" w:hAnsi="Times New Roman"/>
      <w:b w:val="0"/>
      <w:i/>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2026-10-30T17:09:34Z</dcterms:created>
  <dcterms:modified xsi:type="dcterms:W3CDTF">2026-10-30T17:09:34Z</dcterms:modified>
</cp:coreProperties>
</file>

<file path=docProps/custom.xml><?xml version="1.0" encoding="utf-8"?>
<Properties xmlns="http://schemas.openxmlformats.org/officeDocument/2006/custom-properties" xmlns:vt="http://schemas.openxmlformats.org/officeDocument/2006/docPropsVTypes"/>
</file>