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336F7" w14:textId="77777777" w:rsidR="00E66277" w:rsidRPr="00E66277" w:rsidRDefault="00E66277" w:rsidP="00E66277">
      <w:pPr>
        <w:pStyle w:val="Heading2"/>
        <w:keepNext w:val="0"/>
        <w:spacing w:before="299" w:after="299"/>
        <w:jc w:val="center"/>
        <w:rPr>
          <w:rFonts w:ascii="Calibri" w:hAnsi="Calibri"/>
          <w:color w:val="auto"/>
          <w:sz w:val="22"/>
        </w:rPr>
      </w:pPr>
      <w:r w:rsidRPr="00E66277">
        <w:rPr>
          <w:rFonts w:ascii="Calibri" w:hAnsi="Calibri"/>
          <w:color w:val="auto"/>
          <w:sz w:val="22"/>
        </w:rPr>
        <w:t>Project: Night Falcon designs</w:t>
      </w:r>
    </w:p>
    <w:p w14:paraId="07107D12" w14:textId="77777777" w:rsidR="00E66277" w:rsidRPr="00B1514F" w:rsidRDefault="00E66277" w:rsidP="00E66277">
      <w:pPr>
        <w:spacing w:before="240" w:after="240"/>
        <w:jc w:val="center"/>
      </w:pPr>
      <w:r w:rsidRPr="00B1514F">
        <w:t>Statement of Work</w:t>
      </w:r>
    </w:p>
    <w:p w14:paraId="1E9ADF20" w14:textId="77777777" w:rsidR="00E66277" w:rsidRPr="00B1514F" w:rsidRDefault="00E66277" w:rsidP="00E66277">
      <w:pPr>
        <w:spacing w:before="240" w:after="240"/>
      </w:pPr>
      <w:r w:rsidRPr="00B1514F">
        <w:t>-------------------------------------------------------------------------------------------------------------------------------------</w:t>
      </w:r>
    </w:p>
    <w:p w14:paraId="366EA252" w14:textId="5E6A6E75" w:rsidR="00E66277" w:rsidRPr="00B1514F" w:rsidRDefault="00E66277" w:rsidP="00E66277">
      <w:pPr>
        <w:spacing w:before="240" w:after="240"/>
      </w:pPr>
      <w:r w:rsidRPr="00B1514F">
        <w:t xml:space="preserve">This Statement of Work (the “SOW”) is entered into on the specified date below (the “Effective Date”) by </w:t>
      </w:r>
      <w:r w:rsidRPr="00B1514F">
        <w:rPr>
          <w:b/>
        </w:rPr>
        <w:t>Widget Corporation</w:t>
      </w:r>
      <w:r w:rsidRPr="00B1514F">
        <w:t xml:space="preserve"> (“Supplier”) and NewSky Ltd (the “Client”) pursuant to the terms of the Master Services Agreement (the “Agreement”), dated as of June 30, 2013, between Supplier and Client which is herein incorporated by this reference. In the event of a conflict between any terms of the Master Services Agreement and terms of this </w:t>
      </w:r>
      <w:r w:rsidR="00CD5E0A">
        <w:t>SOW</w:t>
      </w:r>
      <w:r w:rsidRPr="00B1514F">
        <w:t xml:space="preserve">, the applicable terms of </w:t>
      </w:r>
      <w:r w:rsidR="004D1838">
        <w:t xml:space="preserve">the Master </w:t>
      </w:r>
      <w:commentRangeStart w:id="0"/>
      <w:r w:rsidR="004D1838">
        <w:t>Agreement</w:t>
      </w:r>
      <w:commentRangeEnd w:id="0"/>
      <w:r w:rsidR="004D1838">
        <w:rPr>
          <w:rStyle w:val="CommentReference"/>
        </w:rPr>
        <w:commentReference w:id="0"/>
      </w:r>
      <w:r w:rsidRPr="00B1514F">
        <w:t xml:space="preserve"> shall control. </w:t>
      </w:r>
    </w:p>
    <w:p w14:paraId="4D55F982" w14:textId="77777777" w:rsidR="00E66277" w:rsidRPr="00B1514F" w:rsidRDefault="00E66277" w:rsidP="00E66277">
      <w:pPr>
        <w:spacing w:before="240" w:after="240"/>
      </w:pPr>
      <w:r w:rsidRPr="00B1514F">
        <w:t>SOW Effective Date: July 01, 2016</w:t>
      </w:r>
    </w:p>
    <w:p w14:paraId="7651C245" w14:textId="77777777" w:rsidR="00E66277" w:rsidRPr="00B1514F" w:rsidRDefault="00E66277" w:rsidP="00E66277">
      <w:pPr>
        <w:spacing w:before="240" w:after="240"/>
      </w:pPr>
      <w:r w:rsidRPr="00B1514F">
        <w:t>SOW End Date: 09/30/</w:t>
      </w:r>
      <w:commentRangeStart w:id="1"/>
      <w:r w:rsidRPr="00B1514F">
        <w:t>2016</w:t>
      </w:r>
      <w:commentRangeEnd w:id="1"/>
      <w:r w:rsidR="004D1838">
        <w:rPr>
          <w:rStyle w:val="CommentReference"/>
        </w:rPr>
        <w:commentReference w:id="1"/>
      </w:r>
    </w:p>
    <w:p w14:paraId="3996CD4C" w14:textId="77777777" w:rsidR="00E66277" w:rsidRPr="00B1514F" w:rsidRDefault="00E66277" w:rsidP="00E66277">
      <w:pPr>
        <w:spacing w:before="240" w:after="240"/>
        <w:rPr>
          <w:b/>
        </w:rPr>
      </w:pPr>
      <w:r w:rsidRPr="00B1514F">
        <w:rPr>
          <w:b/>
        </w:rPr>
        <w:t>Addresses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819"/>
      </w:tblGrid>
      <w:tr w:rsidR="00E66277" w:rsidRPr="0018662B" w14:paraId="2F3C72FC" w14:textId="77777777" w:rsidTr="00B221C0">
        <w:tc>
          <w:tcPr>
            <w:tcW w:w="4503" w:type="dxa"/>
            <w:shd w:val="clear" w:color="auto" w:fill="E7E6E6"/>
          </w:tcPr>
          <w:p w14:paraId="694EBCBD" w14:textId="77777777" w:rsidR="00E66277" w:rsidRPr="0018662B" w:rsidRDefault="00E66277" w:rsidP="00B221C0">
            <w:pPr>
              <w:jc w:val="center"/>
              <w:rPr>
                <w:b/>
              </w:rPr>
            </w:pPr>
            <w:r w:rsidRPr="0018662B">
              <w:rPr>
                <w:b/>
              </w:rPr>
              <w:t>Client</w:t>
            </w:r>
          </w:p>
        </w:tc>
        <w:tc>
          <w:tcPr>
            <w:tcW w:w="4819" w:type="dxa"/>
            <w:shd w:val="clear" w:color="auto" w:fill="E7E6E6"/>
          </w:tcPr>
          <w:p w14:paraId="0CABA097" w14:textId="77777777" w:rsidR="00E66277" w:rsidRPr="0018662B" w:rsidRDefault="00E66277" w:rsidP="00B221C0">
            <w:pPr>
              <w:jc w:val="center"/>
              <w:rPr>
                <w:b/>
              </w:rPr>
            </w:pPr>
            <w:r w:rsidRPr="0018662B">
              <w:rPr>
                <w:b/>
              </w:rPr>
              <w:t>Supplier</w:t>
            </w:r>
          </w:p>
        </w:tc>
      </w:tr>
      <w:tr w:rsidR="00E66277" w:rsidRPr="0018662B" w14:paraId="1FEF459D" w14:textId="77777777" w:rsidTr="00B221C0">
        <w:tc>
          <w:tcPr>
            <w:tcW w:w="4503" w:type="dxa"/>
            <w:shd w:val="clear" w:color="auto" w:fill="auto"/>
          </w:tcPr>
          <w:p w14:paraId="3D13F4E1" w14:textId="77777777" w:rsidR="00E66277" w:rsidRPr="00B1514F" w:rsidRDefault="00E66277" w:rsidP="00B221C0">
            <w:r w:rsidRPr="00B1514F">
              <w:t>Primary Contact: Margaret Anderson</w:t>
            </w:r>
          </w:p>
        </w:tc>
        <w:tc>
          <w:tcPr>
            <w:tcW w:w="4819" w:type="dxa"/>
            <w:shd w:val="clear" w:color="auto" w:fill="auto"/>
          </w:tcPr>
          <w:p w14:paraId="41A63295" w14:textId="524BA5D3" w:rsidR="00E66277" w:rsidRPr="00B1514F" w:rsidRDefault="00E66277" w:rsidP="00B221C0">
            <w:r w:rsidRPr="00B1514F">
              <w:t xml:space="preserve">Primary: </w:t>
            </w:r>
            <w:r w:rsidR="00CD5E0A">
              <w:t xml:space="preserve"> J</w:t>
            </w:r>
            <w:r w:rsidR="004D1838">
              <w:t>ohn</w:t>
            </w:r>
            <w:r w:rsidR="00CD5E0A">
              <w:t xml:space="preserve"> Smith</w:t>
            </w:r>
          </w:p>
        </w:tc>
      </w:tr>
      <w:tr w:rsidR="00E66277" w:rsidRPr="0018662B" w14:paraId="2B3C7DAC" w14:textId="77777777" w:rsidTr="00B221C0">
        <w:tc>
          <w:tcPr>
            <w:tcW w:w="4503" w:type="dxa"/>
            <w:shd w:val="clear" w:color="auto" w:fill="auto"/>
          </w:tcPr>
          <w:p w14:paraId="394E5673" w14:textId="77777777" w:rsidR="00E66277" w:rsidRPr="00B1514F" w:rsidRDefault="00E66277" w:rsidP="00B221C0">
            <w:r w:rsidRPr="00B1514F">
              <w:t>Address: 45 Connecticut Avenue New York 04471</w:t>
            </w:r>
          </w:p>
        </w:tc>
        <w:tc>
          <w:tcPr>
            <w:tcW w:w="4819" w:type="dxa"/>
            <w:shd w:val="clear" w:color="auto" w:fill="auto"/>
          </w:tcPr>
          <w:p w14:paraId="0D575F62" w14:textId="77777777" w:rsidR="00E66277" w:rsidRPr="00B1514F" w:rsidRDefault="00E66277" w:rsidP="00B221C0">
            <w:r w:rsidRPr="00B1514F">
              <w:t>Address: 2 New York Lane,</w:t>
            </w:r>
          </w:p>
          <w:p w14:paraId="6BF2F1C4" w14:textId="77777777" w:rsidR="00E66277" w:rsidRPr="00B1514F" w:rsidRDefault="00E66277" w:rsidP="00B221C0">
            <w:r w:rsidRPr="00B1514F">
              <w:t>Boston, MA 02201</w:t>
            </w:r>
          </w:p>
          <w:p w14:paraId="6231CAC3" w14:textId="77777777" w:rsidR="00E66277" w:rsidRPr="00B1514F" w:rsidRDefault="00E66277" w:rsidP="00B221C0">
            <w:r w:rsidRPr="00B1514F">
              <w:t>US</w:t>
            </w:r>
          </w:p>
        </w:tc>
      </w:tr>
      <w:tr w:rsidR="00E66277" w:rsidRPr="0018662B" w14:paraId="48B30B55" w14:textId="77777777" w:rsidTr="00B221C0">
        <w:tc>
          <w:tcPr>
            <w:tcW w:w="4503" w:type="dxa"/>
            <w:shd w:val="clear" w:color="auto" w:fill="auto"/>
          </w:tcPr>
          <w:p w14:paraId="4AADF95D" w14:textId="77777777" w:rsidR="00E66277" w:rsidRPr="00B1514F" w:rsidRDefault="00E66277" w:rsidP="00B221C0">
            <w:r w:rsidRPr="00B1514F">
              <w:t>0123448 889</w:t>
            </w:r>
          </w:p>
        </w:tc>
        <w:tc>
          <w:tcPr>
            <w:tcW w:w="4819" w:type="dxa"/>
            <w:shd w:val="clear" w:color="auto" w:fill="auto"/>
          </w:tcPr>
          <w:p w14:paraId="0F444260" w14:textId="77777777" w:rsidR="00E66277" w:rsidRPr="00B1514F" w:rsidRDefault="00E66277" w:rsidP="00B221C0">
            <w:r w:rsidRPr="00B1514F">
              <w:t>Phone number: 0123654 778</w:t>
            </w:r>
          </w:p>
        </w:tc>
      </w:tr>
      <w:tr w:rsidR="00E66277" w:rsidRPr="0018662B" w14:paraId="7BA7DFC5" w14:textId="77777777" w:rsidTr="00B221C0">
        <w:tc>
          <w:tcPr>
            <w:tcW w:w="4503" w:type="dxa"/>
            <w:shd w:val="clear" w:color="auto" w:fill="auto"/>
          </w:tcPr>
          <w:p w14:paraId="17C68709" w14:textId="77777777" w:rsidR="00E66277" w:rsidRPr="00B1514F" w:rsidRDefault="00E66277" w:rsidP="00B221C0">
            <w:r w:rsidRPr="00B1514F">
              <w:t>Email: Margaret.a@newsky</w:t>
            </w:r>
          </w:p>
        </w:tc>
        <w:tc>
          <w:tcPr>
            <w:tcW w:w="4819" w:type="dxa"/>
            <w:shd w:val="clear" w:color="auto" w:fill="auto"/>
          </w:tcPr>
          <w:p w14:paraId="36371EDD" w14:textId="77777777" w:rsidR="00E66277" w:rsidRPr="00B1514F" w:rsidRDefault="00E66277" w:rsidP="00B221C0">
            <w:r w:rsidRPr="00B1514F">
              <w:t>Email: J.Smith@widget.com</w:t>
            </w:r>
          </w:p>
        </w:tc>
      </w:tr>
    </w:tbl>
    <w:p w14:paraId="72408073" w14:textId="77777777" w:rsidR="00E66277" w:rsidRPr="00B1514F" w:rsidRDefault="00E66277" w:rsidP="00E66277"/>
    <w:p w14:paraId="2F8CAD98" w14:textId="77777777" w:rsidR="00E66277" w:rsidRPr="00B1514F" w:rsidRDefault="00E66277" w:rsidP="00E66277">
      <w:pPr>
        <w:spacing w:before="240" w:after="240"/>
        <w:ind w:left="504" w:hanging="504"/>
        <w:rPr>
          <w:b/>
          <w:bCs/>
        </w:rPr>
      </w:pPr>
      <w:r w:rsidRPr="00B1514F">
        <w:rPr>
          <w:b/>
          <w:bCs/>
        </w:rPr>
        <w:t xml:space="preserve">Section. 1 </w:t>
      </w:r>
      <w:r w:rsidRPr="00B1514F">
        <w:rPr>
          <w:b/>
          <w:bCs/>
        </w:rPr>
        <w:tab/>
        <w:t>Project Summary</w:t>
      </w:r>
    </w:p>
    <w:p w14:paraId="42EC76C3" w14:textId="49542ACB" w:rsidR="00E66277" w:rsidRPr="00B1514F" w:rsidRDefault="00E66277" w:rsidP="00E66277">
      <w:pPr>
        <w:spacing w:before="240" w:after="240"/>
      </w:pPr>
      <w:r w:rsidRPr="00B1514F">
        <w:t>Due to recent growth in the MMORPG gaming genre</w:t>
      </w:r>
      <w:r>
        <w:t>,</w:t>
      </w:r>
      <w:r w:rsidRPr="00B1514F">
        <w:t xml:space="preserve"> New Sky is looking into developing new brands and Service models to enter the market. By learning on the experience of the past titles</w:t>
      </w:r>
      <w:r w:rsidR="00CD5E0A">
        <w:t xml:space="preserve">, New Sky </w:t>
      </w:r>
      <w:r w:rsidRPr="00B1514F">
        <w:t xml:space="preserve">would like to propose new ideas and repackage those that have succeeded </w:t>
      </w:r>
      <w:r w:rsidR="00CD5E0A">
        <w:t>as</w:t>
      </w:r>
      <w:r w:rsidR="00CD5E0A" w:rsidRPr="00B1514F">
        <w:t xml:space="preserve"> </w:t>
      </w:r>
      <w:r w:rsidRPr="00B1514F">
        <w:t xml:space="preserve">the most enduring titles. </w:t>
      </w:r>
    </w:p>
    <w:p w14:paraId="0494E8D1" w14:textId="77777777" w:rsidR="00E66277" w:rsidRPr="00B1514F" w:rsidRDefault="00E66277" w:rsidP="00E66277">
      <w:pPr>
        <w:spacing w:before="240" w:after="240"/>
        <w:ind w:left="504" w:hanging="504"/>
        <w:rPr>
          <w:b/>
          <w:bCs/>
        </w:rPr>
      </w:pPr>
      <w:r w:rsidRPr="00B1514F">
        <w:rPr>
          <w:b/>
          <w:bCs/>
        </w:rPr>
        <w:t xml:space="preserve">Section. </w:t>
      </w:r>
      <w:r w:rsidRPr="00B1514F">
        <w:rPr>
          <w:b/>
          <w:bCs/>
        </w:rPr>
        <w:tab/>
        <w:t>Services</w:t>
      </w:r>
    </w:p>
    <w:p w14:paraId="5FB44276" w14:textId="77777777" w:rsidR="00E66277" w:rsidRPr="00B1514F" w:rsidRDefault="00E66277" w:rsidP="00E66277">
      <w:pPr>
        <w:spacing w:before="240" w:after="240"/>
      </w:pPr>
      <w:r w:rsidRPr="00B1514F">
        <w:t>Supplier to provide the following services:</w:t>
      </w:r>
    </w:p>
    <w:p w14:paraId="21668CF9" w14:textId="65A7729A" w:rsidR="00E66277" w:rsidRPr="00B1514F" w:rsidRDefault="00E66277" w:rsidP="00E66277">
      <w:pPr>
        <w:numPr>
          <w:ilvl w:val="0"/>
          <w:numId w:val="2"/>
        </w:numPr>
        <w:tabs>
          <w:tab w:val="left" w:pos="1440"/>
        </w:tabs>
        <w:spacing w:before="240"/>
        <w:ind w:left="720" w:hanging="290"/>
      </w:pPr>
      <w:r w:rsidRPr="00B1514F">
        <w:rPr>
          <w:bCs/>
        </w:rPr>
        <w:t>Designing</w:t>
      </w:r>
      <w:r w:rsidR="00CD5E0A">
        <w:rPr>
          <w:bCs/>
        </w:rPr>
        <w:t xml:space="preserve"> the</w:t>
      </w:r>
      <w:r w:rsidRPr="00B1514F">
        <w:rPr>
          <w:bCs/>
        </w:rPr>
        <w:t xml:space="preserve"> interface for</w:t>
      </w:r>
      <w:r w:rsidR="00CD5E0A">
        <w:rPr>
          <w:bCs/>
        </w:rPr>
        <w:t xml:space="preserve"> the</w:t>
      </w:r>
      <w:r w:rsidRPr="00B1514F">
        <w:rPr>
          <w:bCs/>
        </w:rPr>
        <w:t xml:space="preserve"> micro payment system, testing its operation with </w:t>
      </w:r>
      <w:r>
        <w:rPr>
          <w:bCs/>
        </w:rPr>
        <w:t>a</w:t>
      </w:r>
      <w:r w:rsidRPr="00B1514F">
        <w:rPr>
          <w:bCs/>
        </w:rPr>
        <w:tab/>
        <w:t xml:space="preserve">payment platform that is being developed by Client. </w:t>
      </w:r>
    </w:p>
    <w:p w14:paraId="763AF9B5" w14:textId="52CD4020" w:rsidR="00E66277" w:rsidRPr="00B1514F" w:rsidRDefault="00E66277" w:rsidP="00E66277">
      <w:pPr>
        <w:numPr>
          <w:ilvl w:val="0"/>
          <w:numId w:val="2"/>
        </w:numPr>
        <w:tabs>
          <w:tab w:val="left" w:pos="1440"/>
        </w:tabs>
        <w:ind w:left="720" w:hanging="290"/>
      </w:pPr>
      <w:r w:rsidRPr="00B1514F">
        <w:rPr>
          <w:bCs/>
        </w:rPr>
        <w:t>Preparing</w:t>
      </w:r>
      <w:r w:rsidR="00CD5E0A">
        <w:rPr>
          <w:bCs/>
        </w:rPr>
        <w:t xml:space="preserve"> the</w:t>
      </w:r>
      <w:r w:rsidRPr="00B1514F">
        <w:rPr>
          <w:bCs/>
        </w:rPr>
        <w:t xml:space="preserve"> concept art of 5 new characters and 3 locations that are visually distinct </w:t>
      </w:r>
      <w:r w:rsidRPr="00B1514F">
        <w:rPr>
          <w:bCs/>
        </w:rPr>
        <w:tab/>
        <w:t xml:space="preserve">from those already incorporated. </w:t>
      </w:r>
    </w:p>
    <w:p w14:paraId="4F8A7902" w14:textId="77777777" w:rsidR="00E66277" w:rsidRPr="00B1514F" w:rsidRDefault="00E66277" w:rsidP="00E66277">
      <w:pPr>
        <w:tabs>
          <w:tab w:val="left" w:pos="1440"/>
        </w:tabs>
        <w:spacing w:after="240"/>
      </w:pPr>
      <w:r w:rsidRPr="00B1514F">
        <w:t>All Services under this SOW shall be considered as work made for hire.</w:t>
      </w:r>
    </w:p>
    <w:p w14:paraId="0E511D11" w14:textId="77777777" w:rsidR="00E66277" w:rsidRPr="00B1514F" w:rsidRDefault="00E66277" w:rsidP="00E66277">
      <w:pPr>
        <w:spacing w:before="240" w:after="240"/>
        <w:ind w:left="504" w:hanging="504"/>
        <w:rPr>
          <w:b/>
          <w:bCs/>
        </w:rPr>
      </w:pPr>
      <w:r w:rsidRPr="00B1514F">
        <w:rPr>
          <w:b/>
          <w:bCs/>
        </w:rPr>
        <w:t xml:space="preserve">Section. 3 </w:t>
      </w:r>
      <w:r w:rsidRPr="00B1514F">
        <w:rPr>
          <w:b/>
          <w:bCs/>
        </w:rPr>
        <w:tab/>
        <w:t>Exclusions</w:t>
      </w:r>
    </w:p>
    <w:p w14:paraId="58D4D8C3" w14:textId="77777777" w:rsidR="00E66277" w:rsidRPr="00B1514F" w:rsidRDefault="00E66277" w:rsidP="00E66277">
      <w:pPr>
        <w:spacing w:before="240" w:after="240"/>
      </w:pPr>
      <w:r w:rsidRPr="00B1514F">
        <w:t>The following are not covered under this SOW and will be priced separately:</w:t>
      </w:r>
    </w:p>
    <w:p w14:paraId="788C8488" w14:textId="77777777" w:rsidR="00E66277" w:rsidRPr="00B1514F" w:rsidRDefault="00E66277" w:rsidP="00E66277">
      <w:pPr>
        <w:numPr>
          <w:ilvl w:val="0"/>
          <w:numId w:val="3"/>
        </w:numPr>
        <w:tabs>
          <w:tab w:val="left" w:pos="1440"/>
        </w:tabs>
        <w:spacing w:before="240"/>
        <w:ind w:hanging="290"/>
      </w:pPr>
      <w:r w:rsidRPr="00B1514F">
        <w:rPr>
          <w:bCs/>
        </w:rPr>
        <w:t xml:space="preserve">Transferring design into the game engine. </w:t>
      </w:r>
    </w:p>
    <w:p w14:paraId="34097A35" w14:textId="77777777" w:rsidR="00E66277" w:rsidRPr="00B1514F" w:rsidRDefault="00E66277" w:rsidP="00E66277">
      <w:pPr>
        <w:numPr>
          <w:ilvl w:val="0"/>
          <w:numId w:val="3"/>
        </w:numPr>
        <w:tabs>
          <w:tab w:val="left" w:pos="1440"/>
        </w:tabs>
        <w:ind w:hanging="290"/>
      </w:pPr>
      <w:r w:rsidRPr="00B1514F">
        <w:rPr>
          <w:bCs/>
        </w:rPr>
        <w:lastRenderedPageBreak/>
        <w:t xml:space="preserve">Optimizing designs for performance on average hardware. </w:t>
      </w:r>
    </w:p>
    <w:p w14:paraId="6AA219A5" w14:textId="77777777" w:rsidR="00E66277" w:rsidRPr="00B1514F" w:rsidRDefault="00E66277" w:rsidP="00E66277">
      <w:pPr>
        <w:spacing w:before="240" w:after="240"/>
        <w:ind w:left="504" w:hanging="504"/>
        <w:rPr>
          <w:b/>
          <w:bCs/>
        </w:rPr>
      </w:pPr>
      <w:r w:rsidRPr="00B1514F">
        <w:rPr>
          <w:b/>
          <w:bCs/>
        </w:rPr>
        <w:t xml:space="preserve">Section. 4 </w:t>
      </w:r>
      <w:r w:rsidRPr="00B1514F">
        <w:rPr>
          <w:b/>
          <w:bCs/>
        </w:rPr>
        <w:tab/>
        <w:t>Timeline (subject to change based upon client’s approval)</w:t>
      </w:r>
    </w:p>
    <w:tbl>
      <w:tblPr>
        <w:tblW w:w="0" w:type="auto"/>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5"/>
        <w:gridCol w:w="4431"/>
      </w:tblGrid>
      <w:tr w:rsidR="00E66277" w:rsidRPr="0018662B" w14:paraId="152423BF" w14:textId="77777777" w:rsidTr="00B221C0">
        <w:tc>
          <w:tcPr>
            <w:tcW w:w="4788" w:type="dxa"/>
            <w:shd w:val="clear" w:color="auto" w:fill="E7E6E6"/>
          </w:tcPr>
          <w:p w14:paraId="67BEB956" w14:textId="77777777" w:rsidR="00E66277" w:rsidRPr="0018662B" w:rsidRDefault="00E66277" w:rsidP="00B221C0">
            <w:pPr>
              <w:rPr>
                <w:b/>
                <w:bCs/>
              </w:rPr>
            </w:pPr>
            <w:r w:rsidRPr="0018662B">
              <w:rPr>
                <w:b/>
                <w:bCs/>
              </w:rPr>
              <w:t>Step</w:t>
            </w:r>
          </w:p>
        </w:tc>
        <w:tc>
          <w:tcPr>
            <w:tcW w:w="4788" w:type="dxa"/>
            <w:shd w:val="clear" w:color="auto" w:fill="E7E6E6"/>
          </w:tcPr>
          <w:p w14:paraId="1AD915C0" w14:textId="77777777" w:rsidR="00E66277" w:rsidRPr="0018662B" w:rsidRDefault="00E66277" w:rsidP="00B221C0">
            <w:pPr>
              <w:rPr>
                <w:b/>
                <w:bCs/>
              </w:rPr>
            </w:pPr>
            <w:r w:rsidRPr="0018662B">
              <w:rPr>
                <w:b/>
                <w:bCs/>
              </w:rPr>
              <w:t>Due on:</w:t>
            </w:r>
          </w:p>
        </w:tc>
      </w:tr>
      <w:tr w:rsidR="00E66277" w:rsidRPr="0018662B" w14:paraId="6D08D87B" w14:textId="77777777" w:rsidTr="00B221C0">
        <w:tc>
          <w:tcPr>
            <w:tcW w:w="4788" w:type="dxa"/>
            <w:shd w:val="clear" w:color="auto" w:fill="auto"/>
          </w:tcPr>
          <w:p w14:paraId="267C0452" w14:textId="77777777" w:rsidR="00E66277" w:rsidRPr="0018662B" w:rsidRDefault="00E66277" w:rsidP="00B221C0">
            <w:pPr>
              <w:rPr>
                <w:bCs/>
              </w:rPr>
            </w:pPr>
            <w:r w:rsidRPr="0018662B">
              <w:rPr>
                <w:bCs/>
              </w:rPr>
              <w:t>Executed SOW</w:t>
            </w:r>
          </w:p>
        </w:tc>
        <w:tc>
          <w:tcPr>
            <w:tcW w:w="4788" w:type="dxa"/>
            <w:shd w:val="clear" w:color="auto" w:fill="auto"/>
          </w:tcPr>
          <w:p w14:paraId="7EBE7E86" w14:textId="77777777" w:rsidR="00E66277" w:rsidRPr="0018662B" w:rsidRDefault="00E66277" w:rsidP="00B221C0">
            <w:pPr>
              <w:rPr>
                <w:bCs/>
              </w:rPr>
            </w:pPr>
            <w:r w:rsidRPr="0018662B">
              <w:rPr>
                <w:bCs/>
              </w:rPr>
              <w:t>May 30, 2016</w:t>
            </w:r>
          </w:p>
        </w:tc>
      </w:tr>
      <w:tr w:rsidR="00E66277" w:rsidRPr="0018662B" w14:paraId="675F5549" w14:textId="77777777" w:rsidTr="00B221C0">
        <w:tc>
          <w:tcPr>
            <w:tcW w:w="4788" w:type="dxa"/>
            <w:shd w:val="clear" w:color="auto" w:fill="auto"/>
          </w:tcPr>
          <w:p w14:paraId="0765E5FE" w14:textId="77777777" w:rsidR="00E66277" w:rsidRPr="0018662B" w:rsidRDefault="00E66277" w:rsidP="00B221C0">
            <w:pPr>
              <w:rPr>
                <w:bCs/>
              </w:rPr>
            </w:pPr>
            <w:r w:rsidRPr="0018662B">
              <w:rPr>
                <w:bCs/>
              </w:rPr>
              <w:t>Project Kickoff</w:t>
            </w:r>
          </w:p>
        </w:tc>
        <w:tc>
          <w:tcPr>
            <w:tcW w:w="4788" w:type="dxa"/>
            <w:shd w:val="clear" w:color="auto" w:fill="auto"/>
          </w:tcPr>
          <w:p w14:paraId="6B34E5C3" w14:textId="77777777" w:rsidR="00E66277" w:rsidRPr="0018662B" w:rsidRDefault="00E66277" w:rsidP="00B221C0">
            <w:pPr>
              <w:rPr>
                <w:bCs/>
              </w:rPr>
            </w:pPr>
            <w:r w:rsidRPr="0018662B">
              <w:rPr>
                <w:bCs/>
              </w:rPr>
              <w:t>15 June, 2016</w:t>
            </w:r>
          </w:p>
        </w:tc>
      </w:tr>
      <w:tr w:rsidR="00E66277" w:rsidRPr="0018662B" w14:paraId="1BEDF16F" w14:textId="77777777" w:rsidTr="00B221C0">
        <w:tc>
          <w:tcPr>
            <w:tcW w:w="4788" w:type="dxa"/>
            <w:shd w:val="clear" w:color="auto" w:fill="auto"/>
          </w:tcPr>
          <w:p w14:paraId="4F57BDA4" w14:textId="77777777" w:rsidR="00E66277" w:rsidRPr="0018662B" w:rsidRDefault="00E66277" w:rsidP="00B221C0">
            <w:pPr>
              <w:rPr>
                <w:bCs/>
              </w:rPr>
            </w:pPr>
            <w:r w:rsidRPr="0018662B">
              <w:rPr>
                <w:bCs/>
              </w:rPr>
              <w:t>Milestone 1</w:t>
            </w:r>
          </w:p>
        </w:tc>
        <w:tc>
          <w:tcPr>
            <w:tcW w:w="4788" w:type="dxa"/>
            <w:shd w:val="clear" w:color="auto" w:fill="auto"/>
          </w:tcPr>
          <w:p w14:paraId="74131A89" w14:textId="77777777" w:rsidR="00E66277" w:rsidRPr="0018662B" w:rsidRDefault="00E66277" w:rsidP="00B221C0">
            <w:pPr>
              <w:rPr>
                <w:bCs/>
              </w:rPr>
            </w:pPr>
            <w:r w:rsidRPr="0018662B">
              <w:rPr>
                <w:bCs/>
              </w:rPr>
              <w:t>June 30, 2016</w:t>
            </w:r>
          </w:p>
        </w:tc>
      </w:tr>
      <w:tr w:rsidR="00E66277" w:rsidRPr="0018662B" w14:paraId="77A3583C" w14:textId="77777777" w:rsidTr="00B221C0">
        <w:trPr>
          <w:trHeight w:val="60"/>
        </w:trPr>
        <w:tc>
          <w:tcPr>
            <w:tcW w:w="4788" w:type="dxa"/>
            <w:shd w:val="clear" w:color="auto" w:fill="auto"/>
          </w:tcPr>
          <w:p w14:paraId="1253E5F3" w14:textId="77777777" w:rsidR="00E66277" w:rsidRPr="0018662B" w:rsidRDefault="00E66277" w:rsidP="00B221C0">
            <w:pPr>
              <w:rPr>
                <w:bCs/>
              </w:rPr>
            </w:pPr>
            <w:r w:rsidRPr="0018662B">
              <w:rPr>
                <w:bCs/>
              </w:rPr>
              <w:t>Milestone 2</w:t>
            </w:r>
          </w:p>
        </w:tc>
        <w:tc>
          <w:tcPr>
            <w:tcW w:w="4788" w:type="dxa"/>
            <w:shd w:val="clear" w:color="auto" w:fill="auto"/>
          </w:tcPr>
          <w:p w14:paraId="37A95EB7" w14:textId="77777777" w:rsidR="00E66277" w:rsidRPr="0018662B" w:rsidRDefault="00E66277" w:rsidP="00B221C0">
            <w:pPr>
              <w:rPr>
                <w:bCs/>
              </w:rPr>
            </w:pPr>
            <w:r w:rsidRPr="0018662B">
              <w:rPr>
                <w:bCs/>
              </w:rPr>
              <w:t>08/30/2016</w:t>
            </w:r>
          </w:p>
        </w:tc>
      </w:tr>
    </w:tbl>
    <w:p w14:paraId="507CFA1F" w14:textId="117A21D4" w:rsidR="00E66277" w:rsidRPr="00B1514F" w:rsidRDefault="00E66277" w:rsidP="00E66277">
      <w:pPr>
        <w:spacing w:before="240" w:after="240"/>
        <w:jc w:val="both"/>
      </w:pPr>
      <w:r w:rsidRPr="00B1514F">
        <w:t>Client will provide timely feedback. Each Deliverable will be deemed accepted if, no later than the end of the business day, New York City time, three days after its delivery to Client, Client does not reject the Deliverable by sending Supplier written notice detailing the reasons for the rejection and reasonable modification guidelines. Supplier is not responsible for delays, errors or omissions resulting from Client’s action or inaction, and will not be liable for any claims related to materials, specifications, and information provided by Client to Supplier for the Project</w:t>
      </w:r>
      <w:r w:rsidR="00CD5E0A">
        <w:t>.</w:t>
      </w:r>
    </w:p>
    <w:p w14:paraId="659448B5" w14:textId="76DB77ED" w:rsidR="00E66277" w:rsidRPr="00B1514F" w:rsidRDefault="00E66277" w:rsidP="00E66277">
      <w:pPr>
        <w:spacing w:before="240" w:after="240"/>
        <w:rPr>
          <w:rFonts w:ascii="Times New Roman" w:hAnsi="Times New Roman"/>
        </w:rPr>
      </w:pPr>
      <w:r w:rsidRPr="00B1514F">
        <w:rPr>
          <w:rFonts w:ascii="Times New Roman" w:hAnsi="Times New Roman"/>
        </w:rPr>
        <w:t xml:space="preserve">Payments are due in Net </w:t>
      </w:r>
      <w:r w:rsidR="00DE4812">
        <w:rPr>
          <w:rFonts w:ascii="Times New Roman" w:hAnsi="Times New Roman"/>
        </w:rPr>
        <w:t>3</w:t>
      </w:r>
      <w:r w:rsidR="00DE4812" w:rsidRPr="00B1514F">
        <w:rPr>
          <w:rFonts w:ascii="Times New Roman" w:hAnsi="Times New Roman"/>
        </w:rPr>
        <w:t xml:space="preserve">0 </w:t>
      </w:r>
      <w:commentRangeStart w:id="2"/>
      <w:r w:rsidRPr="00B1514F">
        <w:rPr>
          <w:rFonts w:ascii="Times New Roman" w:hAnsi="Times New Roman"/>
        </w:rPr>
        <w:t>days</w:t>
      </w:r>
      <w:commentRangeEnd w:id="2"/>
      <w:r w:rsidR="00DE4812">
        <w:rPr>
          <w:rStyle w:val="CommentReference"/>
        </w:rPr>
        <w:commentReference w:id="2"/>
      </w:r>
      <w:r w:rsidRPr="00B1514F">
        <w:rPr>
          <w:rFonts w:ascii="Times New Roman" w:hAnsi="Times New Roman"/>
        </w:rPr>
        <w:t xml:space="preserve"> from the date of receiving an undisputed invoice by the </w:t>
      </w:r>
      <w:r w:rsidR="00DE4812">
        <w:rPr>
          <w:rFonts w:ascii="Times New Roman" w:hAnsi="Times New Roman"/>
        </w:rPr>
        <w:t>Client</w:t>
      </w:r>
      <w:r w:rsidRPr="00B1514F">
        <w:rPr>
          <w:rFonts w:ascii="Times New Roman" w:hAnsi="Times New Roman"/>
        </w:rPr>
        <w:t xml:space="preserve">. All Services shall be treated as New Sky’s confidential information, </w:t>
      </w:r>
      <w:commentRangeStart w:id="3"/>
      <w:commentRangeEnd w:id="3"/>
      <w:r w:rsidR="006516A2">
        <w:rPr>
          <w:rStyle w:val="CommentReference"/>
        </w:rPr>
        <w:commentReference w:id="3"/>
      </w:r>
    </w:p>
    <w:p w14:paraId="04B6329B" w14:textId="77777777" w:rsidR="00E66277" w:rsidRPr="00B1514F" w:rsidRDefault="00E66277" w:rsidP="00E66277">
      <w:pPr>
        <w:spacing w:before="240" w:after="240"/>
      </w:pPr>
      <w:r w:rsidRPr="00B1514F">
        <w:t xml:space="preserve">Payments should be in line with those listed in Section 6(a), below. </w:t>
      </w:r>
    </w:p>
    <w:p w14:paraId="5CC01888" w14:textId="77777777" w:rsidR="00E66277" w:rsidRPr="00FB6BBB" w:rsidRDefault="00E66277" w:rsidP="00E66277">
      <w:pPr>
        <w:spacing w:before="240" w:after="240"/>
        <w:ind w:left="504" w:hanging="504"/>
        <w:rPr>
          <w:b/>
          <w:bCs/>
          <w:highlight w:val="yellow"/>
        </w:rPr>
      </w:pPr>
      <w:r w:rsidRPr="00FB6BBB">
        <w:rPr>
          <w:b/>
          <w:bCs/>
          <w:highlight w:val="yellow"/>
        </w:rPr>
        <w:t xml:space="preserve">Section. 5 </w:t>
      </w:r>
      <w:r w:rsidRPr="00FB6BBB">
        <w:rPr>
          <w:b/>
          <w:bCs/>
          <w:highlight w:val="yellow"/>
        </w:rPr>
        <w:tab/>
        <w:t>Service Fees</w:t>
      </w:r>
    </w:p>
    <w:p w14:paraId="507A0A66" w14:textId="77777777" w:rsidR="00E66277" w:rsidRPr="00FB6BBB" w:rsidRDefault="00E66277" w:rsidP="00E66277">
      <w:pPr>
        <w:pStyle w:val="ListParagraph"/>
        <w:numPr>
          <w:ilvl w:val="0"/>
          <w:numId w:val="4"/>
        </w:numPr>
        <w:spacing w:before="240" w:after="240"/>
        <w:contextualSpacing w:val="0"/>
        <w:rPr>
          <w:highlight w:val="yellow"/>
        </w:rPr>
      </w:pPr>
      <w:r w:rsidRPr="00FB6BBB">
        <w:rPr>
          <w:b/>
          <w:bCs/>
          <w:highlight w:val="yellow"/>
        </w:rPr>
        <w:t>Project Fee</w:t>
      </w:r>
      <w:r w:rsidRPr="00FB6BBB">
        <w:rPr>
          <w:bCs/>
          <w:highlight w:val="yellow"/>
        </w:rPr>
        <w:t>: One Hundred Fifty Eight Thousand Three Hundred Fifty Eight US Dollars ($158,458.00 USD).</w:t>
      </w:r>
    </w:p>
    <w:p w14:paraId="74EDC198" w14:textId="77777777" w:rsidR="00E66277" w:rsidRPr="00FB6BBB" w:rsidRDefault="00E66277" w:rsidP="00E66277">
      <w:pPr>
        <w:spacing w:before="240" w:after="240"/>
        <w:ind w:firstLine="360"/>
        <w:rPr>
          <w:highlight w:val="yellow"/>
          <w:lang w:val="en-US"/>
        </w:rPr>
      </w:pPr>
      <w:r w:rsidRPr="00FB6BBB">
        <w:rPr>
          <w:highlight w:val="yellow"/>
          <w:lang w:val="en-US"/>
        </w:rPr>
        <w:t>Payment Schedule:</w:t>
      </w:r>
    </w:p>
    <w:p w14:paraId="6028DC8D" w14:textId="77777777" w:rsidR="00E66277" w:rsidRPr="00FB6BBB" w:rsidRDefault="00E66277" w:rsidP="00E66277">
      <w:pPr>
        <w:tabs>
          <w:tab w:val="left" w:pos="1440"/>
        </w:tabs>
        <w:spacing w:before="240" w:after="240"/>
        <w:ind w:left="504"/>
        <w:rPr>
          <w:highlight w:val="yellow"/>
        </w:rPr>
      </w:pPr>
      <w:r w:rsidRPr="00FB6BBB">
        <w:rPr>
          <w:b/>
          <w:bCs/>
          <w:highlight w:val="yellow"/>
        </w:rPr>
        <w:t xml:space="preserve">Milestone 1 – </w:t>
      </w:r>
      <w:r w:rsidRPr="00FB6BBB">
        <w:rPr>
          <w:bCs/>
          <w:highlight w:val="yellow"/>
        </w:rPr>
        <w:t>98,367.00 USD due on June 30, 2016</w:t>
      </w:r>
    </w:p>
    <w:p w14:paraId="1AA202A3" w14:textId="77777777" w:rsidR="00E66277" w:rsidRPr="00B1514F" w:rsidRDefault="00E66277" w:rsidP="00E66277">
      <w:pPr>
        <w:tabs>
          <w:tab w:val="left" w:pos="1440"/>
        </w:tabs>
        <w:spacing w:before="240" w:after="240"/>
        <w:ind w:left="504"/>
      </w:pPr>
      <w:r w:rsidRPr="00FB6BBB">
        <w:rPr>
          <w:b/>
          <w:bCs/>
          <w:highlight w:val="yellow"/>
        </w:rPr>
        <w:t>Milestone 2 –</w:t>
      </w:r>
      <w:r w:rsidRPr="00FB6BBB">
        <w:rPr>
          <w:highlight w:val="yellow"/>
        </w:rPr>
        <w:t xml:space="preserve"> 58,8881.00 USD due on July 30, 2016</w:t>
      </w:r>
    </w:p>
    <w:p w14:paraId="544BF2E4" w14:textId="77777777" w:rsidR="00E66277" w:rsidRPr="00B1514F" w:rsidRDefault="00E66277" w:rsidP="00E66277">
      <w:pPr>
        <w:pStyle w:val="ListParagraph"/>
        <w:numPr>
          <w:ilvl w:val="0"/>
          <w:numId w:val="4"/>
        </w:numPr>
        <w:spacing w:before="240" w:after="240"/>
        <w:contextualSpacing w:val="0"/>
        <w:rPr>
          <w:b/>
        </w:rPr>
      </w:pPr>
      <w:r w:rsidRPr="00B1514F">
        <w:rPr>
          <w:b/>
          <w:bCs/>
        </w:rPr>
        <w:t>Payment Terms</w:t>
      </w:r>
    </w:p>
    <w:p w14:paraId="00B20034" w14:textId="696FC974" w:rsidR="00E66277" w:rsidRPr="00B1514F" w:rsidRDefault="00E66277" w:rsidP="00E66277">
      <w:pPr>
        <w:spacing w:before="240" w:after="240"/>
        <w:ind w:left="504"/>
      </w:pPr>
      <w:r w:rsidRPr="00B1514F">
        <w:t>Payments are due NET 30 following the receipt of each invoice</w:t>
      </w:r>
      <w:r w:rsidR="00DE4812">
        <w:t xml:space="preserve"> by the Client</w:t>
      </w:r>
      <w:r w:rsidRPr="00B1514F">
        <w:t>.</w:t>
      </w:r>
    </w:p>
    <w:p w14:paraId="47BE8988" w14:textId="77777777" w:rsidR="00E66277" w:rsidRPr="00B1514F" w:rsidRDefault="00E66277" w:rsidP="00E66277">
      <w:pPr>
        <w:pStyle w:val="ListParagraph"/>
        <w:spacing w:before="240" w:after="240"/>
        <w:ind w:left="0"/>
      </w:pPr>
      <w:r w:rsidRPr="00B1514F">
        <w:rPr>
          <w:b/>
          <w:bCs/>
        </w:rPr>
        <w:t>c) Expenses</w:t>
      </w:r>
    </w:p>
    <w:p w14:paraId="1ACED7DB" w14:textId="672D7D35" w:rsidR="00E66277" w:rsidRPr="00B1514F" w:rsidRDefault="00DF5712" w:rsidP="00E66277">
      <w:pPr>
        <w:spacing w:before="240" w:after="240"/>
      </w:pPr>
      <w:commentRangeStart w:id="4"/>
      <w:commentRangeEnd w:id="4"/>
      <w:r>
        <w:rPr>
          <w:rStyle w:val="CommentReference"/>
        </w:rPr>
        <w:commentReference w:id="4"/>
      </w:r>
      <w:r w:rsidR="00E66277" w:rsidRPr="00B1514F">
        <w:t xml:space="preserve">All expenses over $1,000 shall be pre-approved by </w:t>
      </w:r>
      <w:r w:rsidRPr="00B1514F">
        <w:t>C</w:t>
      </w:r>
      <w:r>
        <w:t>lient</w:t>
      </w:r>
      <w:r w:rsidR="00E66277" w:rsidRPr="00B1514F">
        <w:t>.</w:t>
      </w:r>
    </w:p>
    <w:p w14:paraId="0C3B9DF1" w14:textId="77777777" w:rsidR="00E66277" w:rsidRPr="00B1514F" w:rsidRDefault="00E66277" w:rsidP="00E66277">
      <w:pPr>
        <w:spacing w:before="240" w:after="240"/>
      </w:pPr>
      <w:r w:rsidRPr="00B1514F">
        <w:rPr>
          <w:b/>
          <w:bCs/>
        </w:rPr>
        <w:t xml:space="preserve">Section. 6 </w:t>
      </w:r>
      <w:r w:rsidRPr="00B1514F">
        <w:rPr>
          <w:b/>
          <w:bCs/>
        </w:rPr>
        <w:tab/>
        <w:t>Non-Solicitation</w:t>
      </w:r>
    </w:p>
    <w:p w14:paraId="3BCEDAA8" w14:textId="66A2E1A4" w:rsidR="00E66277" w:rsidRPr="00B1514F" w:rsidRDefault="00E66277" w:rsidP="00E66277">
      <w:pPr>
        <w:spacing w:before="240" w:after="240"/>
      </w:pPr>
      <w:r w:rsidRPr="00B1514F">
        <w:t>The parties to this Agreement agree that no effort shall be made to solicit</w:t>
      </w:r>
      <w:r w:rsidR="00DE4812">
        <w:t>, encourage, or attempt to solicit or encourage any</w:t>
      </w:r>
      <w:r w:rsidRPr="00B1514F">
        <w:t xml:space="preserve"> employees</w:t>
      </w:r>
      <w:r w:rsidR="00DE4812">
        <w:t>, independent contractors, or consultants</w:t>
      </w:r>
      <w:r w:rsidRPr="00B1514F">
        <w:t xml:space="preserve"> from the other party, during and after termination or expiration of this Agreement, directly or indirectly, and that no</w:t>
      </w:r>
      <w:r w:rsidR="00DE4812">
        <w:t xml:space="preserve"> </w:t>
      </w:r>
      <w:r w:rsidRPr="00B1514F">
        <w:t xml:space="preserve">compensation of any kind may be offered or provided to any </w:t>
      </w:r>
      <w:r w:rsidR="00DE4812">
        <w:t>employee, independent contractor, or consultant</w:t>
      </w:r>
      <w:r w:rsidR="00DE4812" w:rsidRPr="00B1514F">
        <w:t xml:space="preserve"> </w:t>
      </w:r>
      <w:r w:rsidRPr="00B1514F">
        <w:t>currently compensated by the other party without prior written consent by the prior compensation provider, for the term of this agreement as described below.</w:t>
      </w:r>
    </w:p>
    <w:p w14:paraId="09A72F95" w14:textId="77777777" w:rsidR="00E66277" w:rsidRPr="00B1514F" w:rsidRDefault="00E66277" w:rsidP="00E66277">
      <w:pPr>
        <w:spacing w:before="240" w:after="240"/>
        <w:rPr>
          <w:b/>
        </w:rPr>
      </w:pPr>
      <w:r w:rsidRPr="00B1514F">
        <w:rPr>
          <w:b/>
          <w:bCs/>
        </w:rPr>
        <w:lastRenderedPageBreak/>
        <w:t>Section. 7</w:t>
      </w:r>
      <w:r w:rsidRPr="00B1514F">
        <w:rPr>
          <w:b/>
          <w:bCs/>
        </w:rPr>
        <w:tab/>
        <w:t xml:space="preserve"> </w:t>
      </w:r>
      <w:r w:rsidRPr="00B1514F">
        <w:rPr>
          <w:b/>
        </w:rPr>
        <w:t>IP Ownership</w:t>
      </w:r>
    </w:p>
    <w:p w14:paraId="6DD924B8" w14:textId="0BA5F047" w:rsidR="00E66277" w:rsidRPr="00B1514F" w:rsidRDefault="00E66277" w:rsidP="00E66277">
      <w:pPr>
        <w:spacing w:before="240" w:after="240"/>
        <w:jc w:val="both"/>
      </w:pPr>
      <w:r w:rsidRPr="00B1514F">
        <w:t xml:space="preserve">Supplier retains ownership of the Services and Deliverables, and grants the Client a nonexclusive, </w:t>
      </w:r>
      <w:r w:rsidR="00DE4812">
        <w:t>non-assignable</w:t>
      </w:r>
      <w:r w:rsidR="00663643">
        <w:t xml:space="preserve">, </w:t>
      </w:r>
      <w:r w:rsidRPr="00B1514F">
        <w:t>revocable license to copy, use and distribute any of the Services and Deliverables</w:t>
      </w:r>
      <w:r w:rsidR="00663643">
        <w:t xml:space="preserve"> with Client’s game </w:t>
      </w:r>
      <w:commentRangeStart w:id="5"/>
      <w:r w:rsidR="00663643">
        <w:t>engines</w:t>
      </w:r>
      <w:commentRangeEnd w:id="5"/>
      <w:r w:rsidR="00663643">
        <w:rPr>
          <w:rStyle w:val="CommentReference"/>
        </w:rPr>
        <w:commentReference w:id="5"/>
      </w:r>
      <w:r w:rsidRPr="00B1514F">
        <w:t xml:space="preserve">. No changes to the Deliverables shall be made without Client’s prior written consent, which shall not be unreasonably withheld. </w:t>
      </w:r>
    </w:p>
    <w:p w14:paraId="555083E4" w14:textId="77777777" w:rsidR="00821E90" w:rsidRDefault="00E66277" w:rsidP="00E66277">
      <w:pPr>
        <w:spacing w:before="240" w:after="240"/>
        <w:rPr>
          <w:b/>
          <w:bCs/>
        </w:rPr>
      </w:pPr>
      <w:r w:rsidRPr="00B1514F">
        <w:rPr>
          <w:b/>
          <w:bCs/>
        </w:rPr>
        <w:t>Section. 8</w:t>
      </w:r>
      <w:r w:rsidRPr="00B1514F">
        <w:rPr>
          <w:b/>
          <w:bCs/>
        </w:rPr>
        <w:tab/>
      </w:r>
      <w:r w:rsidR="00821E90">
        <w:rPr>
          <w:b/>
          <w:bCs/>
        </w:rPr>
        <w:t>Confidentiality</w:t>
      </w:r>
    </w:p>
    <w:p w14:paraId="43683E5A" w14:textId="11B749E4" w:rsidR="00821E90" w:rsidRDefault="00821E90" w:rsidP="00E66277">
      <w:pPr>
        <w:spacing w:before="240" w:after="240"/>
        <w:rPr>
          <w:b/>
          <w:bCs/>
        </w:rPr>
      </w:pPr>
      <w:r w:rsidRPr="00821E90">
        <w:t xml:space="preserve">None of the parties shall disclose to any person or use for any purpose any confidential information of the other as a result of entering into this Agreement. </w:t>
      </w:r>
      <w:r w:rsidR="00A1370A">
        <w:t>Confidential Information means all information whether of a technical, business, financial, or other nature (including trade secrets, know-how and information relating to the technology</w:t>
      </w:r>
      <w:r w:rsidR="003728BC">
        <w:t xml:space="preserve">, customers, business plan, copyrights, trademarks, patents, finances and other business affairs) that is or may be disclosed or imparted by one Party to the other. </w:t>
      </w:r>
      <w:r w:rsidRPr="00821E90">
        <w:t>This restriction shall continue to apply</w:t>
      </w:r>
      <w:r w:rsidR="00663643">
        <w:t xml:space="preserve"> for ten years</w:t>
      </w:r>
      <w:r w:rsidRPr="00821E90">
        <w:t xml:space="preserve"> after the expiration or termination of this agreement</w:t>
      </w:r>
      <w:commentRangeStart w:id="6"/>
      <w:commentRangeEnd w:id="6"/>
      <w:r w:rsidR="00663643">
        <w:rPr>
          <w:rStyle w:val="CommentReference"/>
        </w:rPr>
        <w:commentReference w:id="6"/>
      </w:r>
      <w:r w:rsidR="00663643">
        <w:t>.</w:t>
      </w:r>
    </w:p>
    <w:p w14:paraId="3E628C86" w14:textId="5396480B" w:rsidR="00E66277" w:rsidRPr="00B1514F" w:rsidRDefault="00821E90" w:rsidP="00E66277">
      <w:pPr>
        <w:spacing w:before="240" w:after="240"/>
      </w:pPr>
      <w:r>
        <w:rPr>
          <w:b/>
          <w:bCs/>
        </w:rPr>
        <w:t>Section 9.</w:t>
      </w:r>
      <w:r>
        <w:rPr>
          <w:b/>
          <w:bCs/>
        </w:rPr>
        <w:tab/>
      </w:r>
      <w:r w:rsidR="00E66277" w:rsidRPr="00B1514F">
        <w:rPr>
          <w:b/>
          <w:bCs/>
        </w:rPr>
        <w:t>Advertising/Publications</w:t>
      </w:r>
    </w:p>
    <w:p w14:paraId="65B5B6E3" w14:textId="38739202" w:rsidR="00E66277" w:rsidRPr="00B1514F" w:rsidRDefault="00E66277" w:rsidP="00E66277">
      <w:pPr>
        <w:spacing w:before="240" w:after="240"/>
      </w:pPr>
      <w:r w:rsidRPr="00B1514F">
        <w:t>Client hereby grants Supplier permission to release information with respect to the existence of the above referenced project in advertising, marketing, public relations or similar publications (such as, but not limited to, marketing brochures, press releases, case studies or references).</w:t>
      </w:r>
      <w:r w:rsidR="007C5511">
        <w:t xml:space="preserve">  The released information will not include Confidential Information, as defined in Section 8.</w:t>
      </w:r>
    </w:p>
    <w:p w14:paraId="073603E0" w14:textId="77777777" w:rsidR="00E66277" w:rsidRPr="00B1514F" w:rsidRDefault="00E66277" w:rsidP="00E66277">
      <w:pPr>
        <w:pStyle w:val="Heading2"/>
        <w:keepNext w:val="0"/>
        <w:spacing w:before="299" w:after="299"/>
        <w:jc w:val="center"/>
        <w:rPr>
          <w:rFonts w:ascii="Calibri" w:hAnsi="Calibri"/>
          <w:sz w:val="22"/>
          <w:szCs w:val="24"/>
        </w:rPr>
      </w:pPr>
    </w:p>
    <w:p w14:paraId="3E3F60F2" w14:textId="77777777" w:rsidR="00E66277" w:rsidRPr="00B1514F" w:rsidRDefault="00E66277" w:rsidP="00E66277">
      <w:pPr>
        <w:rPr>
          <w:b/>
        </w:rPr>
      </w:pPr>
      <w:r w:rsidRPr="00B1514F">
        <w:rPr>
          <w:b/>
        </w:rPr>
        <w:t>AGREED AND ACCEPTED BY:</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1855"/>
        <w:gridCol w:w="66"/>
        <w:gridCol w:w="1742"/>
      </w:tblGrid>
      <w:tr w:rsidR="00E66277" w:rsidRPr="00B1514F" w14:paraId="0AFC36C5" w14:textId="77777777" w:rsidTr="00B221C0">
        <w:trPr>
          <w:tblCellSpacing w:w="15" w:type="dxa"/>
        </w:trPr>
        <w:tc>
          <w:tcPr>
            <w:tcW w:w="0" w:type="auto"/>
            <w:tcMar>
              <w:top w:w="15" w:type="dxa"/>
              <w:left w:w="15" w:type="dxa"/>
              <w:bottom w:w="15" w:type="dxa"/>
              <w:right w:w="15" w:type="dxa"/>
            </w:tcMar>
            <w:vAlign w:val="center"/>
          </w:tcPr>
          <w:p w14:paraId="20770313" w14:textId="77777777" w:rsidR="00E66277" w:rsidRPr="00B1514F" w:rsidRDefault="00E66277" w:rsidP="00B221C0">
            <w:r w:rsidRPr="00B1514F">
              <w:t>[Supplier]</w:t>
            </w:r>
          </w:p>
        </w:tc>
        <w:tc>
          <w:tcPr>
            <w:tcW w:w="0" w:type="auto"/>
            <w:tcMar>
              <w:top w:w="15" w:type="dxa"/>
              <w:left w:w="15" w:type="dxa"/>
              <w:bottom w:w="15" w:type="dxa"/>
              <w:right w:w="15" w:type="dxa"/>
            </w:tcMar>
            <w:vAlign w:val="center"/>
          </w:tcPr>
          <w:p w14:paraId="10BDBD9B" w14:textId="77777777" w:rsidR="00E66277" w:rsidRPr="00B1514F" w:rsidRDefault="00E66277" w:rsidP="00B221C0"/>
        </w:tc>
        <w:tc>
          <w:tcPr>
            <w:tcW w:w="0" w:type="auto"/>
            <w:tcMar>
              <w:top w:w="15" w:type="dxa"/>
              <w:left w:w="15" w:type="dxa"/>
              <w:bottom w:w="15" w:type="dxa"/>
              <w:right w:w="15" w:type="dxa"/>
            </w:tcMar>
            <w:vAlign w:val="center"/>
          </w:tcPr>
          <w:p w14:paraId="5A1FA4A5" w14:textId="77777777" w:rsidR="00E66277" w:rsidRPr="00B1514F" w:rsidRDefault="00E66277" w:rsidP="00B221C0">
            <w:r w:rsidRPr="00B1514F">
              <w:t>[CLIENT]</w:t>
            </w:r>
          </w:p>
        </w:tc>
      </w:tr>
      <w:tr w:rsidR="00E66277" w:rsidRPr="00B1514F" w14:paraId="56DA82C7" w14:textId="77777777" w:rsidTr="00B221C0">
        <w:trPr>
          <w:tblCellSpacing w:w="15" w:type="dxa"/>
        </w:trPr>
        <w:tc>
          <w:tcPr>
            <w:tcW w:w="0" w:type="auto"/>
            <w:tcMar>
              <w:top w:w="15" w:type="dxa"/>
              <w:left w:w="15" w:type="dxa"/>
              <w:bottom w:w="15" w:type="dxa"/>
              <w:right w:w="15" w:type="dxa"/>
            </w:tcMar>
            <w:vAlign w:val="center"/>
          </w:tcPr>
          <w:p w14:paraId="08CDDB77" w14:textId="77777777" w:rsidR="00E66277" w:rsidRPr="00B1514F" w:rsidRDefault="00E66277" w:rsidP="00B221C0">
            <w:r w:rsidRPr="00B1514F">
              <w:t>[Supplier REP]</w:t>
            </w:r>
          </w:p>
        </w:tc>
        <w:tc>
          <w:tcPr>
            <w:tcW w:w="0" w:type="auto"/>
            <w:tcMar>
              <w:top w:w="15" w:type="dxa"/>
              <w:left w:w="15" w:type="dxa"/>
              <w:bottom w:w="15" w:type="dxa"/>
              <w:right w:w="15" w:type="dxa"/>
            </w:tcMar>
            <w:vAlign w:val="center"/>
          </w:tcPr>
          <w:p w14:paraId="5C692B09" w14:textId="77777777" w:rsidR="00E66277" w:rsidRPr="00B1514F" w:rsidRDefault="00E66277" w:rsidP="00B221C0"/>
        </w:tc>
        <w:tc>
          <w:tcPr>
            <w:tcW w:w="0" w:type="auto"/>
            <w:tcMar>
              <w:top w:w="15" w:type="dxa"/>
              <w:left w:w="15" w:type="dxa"/>
              <w:bottom w:w="15" w:type="dxa"/>
              <w:right w:w="15" w:type="dxa"/>
            </w:tcMar>
            <w:vAlign w:val="center"/>
          </w:tcPr>
          <w:p w14:paraId="49A4EB0F" w14:textId="77777777" w:rsidR="00E66277" w:rsidRPr="00B1514F" w:rsidRDefault="00E66277" w:rsidP="00B221C0">
            <w:r w:rsidRPr="00B1514F">
              <w:t>[CLIENT REP]</w:t>
            </w:r>
          </w:p>
        </w:tc>
      </w:tr>
      <w:tr w:rsidR="00E66277" w:rsidRPr="00B1514F" w14:paraId="2D4C10C6" w14:textId="77777777" w:rsidTr="00B221C0">
        <w:trPr>
          <w:tblCellSpacing w:w="15" w:type="dxa"/>
        </w:trPr>
        <w:tc>
          <w:tcPr>
            <w:tcW w:w="0" w:type="auto"/>
            <w:tcMar>
              <w:top w:w="15" w:type="dxa"/>
              <w:left w:w="15" w:type="dxa"/>
              <w:bottom w:w="15" w:type="dxa"/>
              <w:right w:w="15" w:type="dxa"/>
            </w:tcMar>
            <w:vAlign w:val="center"/>
          </w:tcPr>
          <w:p w14:paraId="17D7EE74" w14:textId="77777777" w:rsidR="00E66277" w:rsidRPr="00B1514F" w:rsidRDefault="00E66277" w:rsidP="00B221C0">
            <w:r w:rsidRPr="00B1514F">
              <w:t>[Supplier REP TITLE]</w:t>
            </w:r>
          </w:p>
        </w:tc>
        <w:tc>
          <w:tcPr>
            <w:tcW w:w="0" w:type="auto"/>
            <w:tcMar>
              <w:top w:w="15" w:type="dxa"/>
              <w:left w:w="15" w:type="dxa"/>
              <w:bottom w:w="15" w:type="dxa"/>
              <w:right w:w="15" w:type="dxa"/>
            </w:tcMar>
            <w:vAlign w:val="center"/>
          </w:tcPr>
          <w:p w14:paraId="51E389AB" w14:textId="77777777" w:rsidR="00E66277" w:rsidRPr="00B1514F" w:rsidRDefault="00E66277" w:rsidP="00B221C0"/>
        </w:tc>
        <w:tc>
          <w:tcPr>
            <w:tcW w:w="0" w:type="auto"/>
            <w:tcMar>
              <w:top w:w="15" w:type="dxa"/>
              <w:left w:w="15" w:type="dxa"/>
              <w:bottom w:w="15" w:type="dxa"/>
              <w:right w:w="15" w:type="dxa"/>
            </w:tcMar>
            <w:vAlign w:val="center"/>
          </w:tcPr>
          <w:p w14:paraId="2125416F" w14:textId="77777777" w:rsidR="00E66277" w:rsidRPr="00B1514F" w:rsidRDefault="00E66277" w:rsidP="00B221C0">
            <w:r w:rsidRPr="00B1514F">
              <w:t>[CLIENT REP TITLE]</w:t>
            </w:r>
          </w:p>
        </w:tc>
      </w:tr>
      <w:tr w:rsidR="00E66277" w:rsidRPr="00B1514F" w14:paraId="7D7686A8" w14:textId="77777777" w:rsidTr="00B221C0">
        <w:trPr>
          <w:tblCellSpacing w:w="15" w:type="dxa"/>
        </w:trPr>
        <w:tc>
          <w:tcPr>
            <w:tcW w:w="0" w:type="auto"/>
            <w:tcMar>
              <w:top w:w="15" w:type="dxa"/>
              <w:left w:w="15" w:type="dxa"/>
              <w:bottom w:w="15" w:type="dxa"/>
              <w:right w:w="15" w:type="dxa"/>
            </w:tcMar>
            <w:vAlign w:val="center"/>
          </w:tcPr>
          <w:p w14:paraId="5A2C406A" w14:textId="77777777" w:rsidR="00E66277" w:rsidRPr="00B1514F" w:rsidRDefault="00E66277" w:rsidP="00B221C0"/>
        </w:tc>
        <w:tc>
          <w:tcPr>
            <w:tcW w:w="0" w:type="auto"/>
            <w:tcMar>
              <w:top w:w="15" w:type="dxa"/>
              <w:left w:w="15" w:type="dxa"/>
              <w:bottom w:w="15" w:type="dxa"/>
              <w:right w:w="15" w:type="dxa"/>
            </w:tcMar>
            <w:vAlign w:val="center"/>
          </w:tcPr>
          <w:p w14:paraId="6EAFFD18" w14:textId="77777777" w:rsidR="00E66277" w:rsidRPr="00B1514F" w:rsidRDefault="00E66277" w:rsidP="00B221C0"/>
        </w:tc>
        <w:tc>
          <w:tcPr>
            <w:tcW w:w="0" w:type="auto"/>
            <w:tcMar>
              <w:top w:w="15" w:type="dxa"/>
              <w:left w:w="15" w:type="dxa"/>
              <w:bottom w:w="15" w:type="dxa"/>
              <w:right w:w="15" w:type="dxa"/>
            </w:tcMar>
            <w:vAlign w:val="center"/>
          </w:tcPr>
          <w:p w14:paraId="708D72B5" w14:textId="77777777" w:rsidR="00E66277" w:rsidRPr="00B1514F" w:rsidRDefault="00E66277" w:rsidP="00B221C0"/>
        </w:tc>
      </w:tr>
      <w:tr w:rsidR="00E66277" w:rsidRPr="00B1514F" w14:paraId="3EAA3893" w14:textId="77777777" w:rsidTr="00B221C0">
        <w:trPr>
          <w:tblCellSpacing w:w="15" w:type="dxa"/>
        </w:trPr>
        <w:tc>
          <w:tcPr>
            <w:tcW w:w="0" w:type="auto"/>
            <w:tcMar>
              <w:top w:w="15" w:type="dxa"/>
              <w:left w:w="15" w:type="dxa"/>
              <w:bottom w:w="15" w:type="dxa"/>
              <w:right w:w="15" w:type="dxa"/>
            </w:tcMar>
            <w:vAlign w:val="center"/>
          </w:tcPr>
          <w:p w14:paraId="4718D371" w14:textId="77777777" w:rsidR="00E66277" w:rsidRPr="00B1514F" w:rsidRDefault="00E66277" w:rsidP="00B221C0"/>
        </w:tc>
        <w:tc>
          <w:tcPr>
            <w:tcW w:w="0" w:type="auto"/>
            <w:tcMar>
              <w:top w:w="15" w:type="dxa"/>
              <w:left w:w="15" w:type="dxa"/>
              <w:bottom w:w="15" w:type="dxa"/>
              <w:right w:w="15" w:type="dxa"/>
            </w:tcMar>
            <w:vAlign w:val="center"/>
          </w:tcPr>
          <w:p w14:paraId="1E746BFF" w14:textId="77777777" w:rsidR="00E66277" w:rsidRPr="00B1514F" w:rsidRDefault="00E66277" w:rsidP="00B221C0"/>
        </w:tc>
        <w:tc>
          <w:tcPr>
            <w:tcW w:w="0" w:type="auto"/>
            <w:tcMar>
              <w:top w:w="15" w:type="dxa"/>
              <w:left w:w="15" w:type="dxa"/>
              <w:bottom w:w="15" w:type="dxa"/>
              <w:right w:w="15" w:type="dxa"/>
            </w:tcMar>
            <w:vAlign w:val="center"/>
          </w:tcPr>
          <w:p w14:paraId="735FD639" w14:textId="77777777" w:rsidR="00E66277" w:rsidRPr="00B1514F" w:rsidRDefault="00E66277" w:rsidP="00B221C0"/>
        </w:tc>
      </w:tr>
    </w:tbl>
    <w:p w14:paraId="23494096" w14:textId="76E38D94" w:rsidR="00E66277" w:rsidRDefault="00E66277" w:rsidP="00E66277"/>
    <w:p w14:paraId="12BB4C4C" w14:textId="77777777" w:rsidR="00E66277" w:rsidRDefault="00E66277">
      <w:pPr>
        <w:spacing w:after="160" w:line="278" w:lineRule="auto"/>
      </w:pPr>
      <w:r>
        <w:br w:type="page"/>
      </w:r>
    </w:p>
    <w:p w14:paraId="4EED48FD" w14:textId="6BD9E951" w:rsidR="00E66277" w:rsidRDefault="00E66277" w:rsidP="00E66277">
      <w:r w:rsidRPr="00E66277">
        <w:rPr>
          <w:b/>
          <w:bCs/>
          <w:u w:val="single"/>
        </w:rPr>
        <w:lastRenderedPageBreak/>
        <w:t>Exhibit A:</w:t>
      </w:r>
      <w:r w:rsidRPr="00B1514F">
        <w:t xml:space="preserve"> Title Page of the Master Agreement (signed) – no review necessary, use it for checking relevant information listed in the </w:t>
      </w:r>
      <w:commentRangeStart w:id="7"/>
      <w:r w:rsidRPr="00B1514F">
        <w:t>SOW</w:t>
      </w:r>
      <w:commentRangeEnd w:id="7"/>
      <w:r w:rsidR="004D1838">
        <w:rPr>
          <w:rStyle w:val="CommentReference"/>
        </w:rPr>
        <w:commentReference w:id="7"/>
      </w:r>
      <w:r w:rsidRPr="00B1514F">
        <w:t>.</w:t>
      </w:r>
    </w:p>
    <w:p w14:paraId="627DE7E1" w14:textId="13358F64" w:rsidR="00E66277" w:rsidRPr="00B1514F" w:rsidRDefault="00E66277" w:rsidP="00E66277">
      <w:r>
        <w:rPr>
          <w:noProof/>
          <w:lang w:val="en-US" w:eastAsia="en-US"/>
        </w:rPr>
        <w:drawing>
          <wp:anchor distT="0" distB="0" distL="114300" distR="114300" simplePos="0" relativeHeight="251658240" behindDoc="0" locked="0" layoutInCell="1" allowOverlap="1" wp14:anchorId="08CA989E" wp14:editId="5545A50E">
            <wp:simplePos x="0" y="0"/>
            <wp:positionH relativeFrom="column">
              <wp:posOffset>0</wp:posOffset>
            </wp:positionH>
            <wp:positionV relativeFrom="paragraph">
              <wp:posOffset>170815</wp:posOffset>
            </wp:positionV>
            <wp:extent cx="5943600" cy="7486650"/>
            <wp:effectExtent l="0" t="0" r="0" b="0"/>
            <wp:wrapSquare wrapText="bothSides"/>
            <wp:docPr id="1" name="Picture 1" descr="A document with text and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ocument with text and a black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486650"/>
                    </a:xfrm>
                    <a:prstGeom prst="rect">
                      <a:avLst/>
                    </a:prstGeom>
                    <a:noFill/>
                    <a:ln>
                      <a:noFill/>
                    </a:ln>
                  </pic:spPr>
                </pic:pic>
              </a:graphicData>
            </a:graphic>
          </wp:anchor>
        </w:drawing>
      </w:r>
    </w:p>
    <w:p w14:paraId="297D6DB7" w14:textId="34E77516" w:rsidR="00E66277" w:rsidRDefault="00E66277" w:rsidP="00E66277"/>
    <w:sectPr w:rsidR="00E662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q Mannan" w:date="2024-09-11T13:40:00Z" w:initials="MM">
    <w:p w14:paraId="00FD82FF" w14:textId="77777777" w:rsidR="004D1838" w:rsidRDefault="004D1838" w:rsidP="004D1838">
      <w:pPr>
        <w:pStyle w:val="CommentText"/>
      </w:pPr>
      <w:r>
        <w:rPr>
          <w:rStyle w:val="CommentReference"/>
        </w:rPr>
        <w:annotationRef/>
      </w:r>
      <w:r>
        <w:t>The MSA says this same thing, that the MSA controls if there is a conflict.</w:t>
      </w:r>
    </w:p>
  </w:comment>
  <w:comment w:id="1" w:author="Maq Mannan" w:date="2024-09-11T13:41:00Z" w:initials="MM">
    <w:p w14:paraId="2EC82ED8" w14:textId="77777777" w:rsidR="004D1838" w:rsidRDefault="004D1838" w:rsidP="004D1838">
      <w:pPr>
        <w:pStyle w:val="CommentText"/>
      </w:pPr>
      <w:r>
        <w:rPr>
          <w:rStyle w:val="CommentReference"/>
        </w:rPr>
        <w:annotationRef/>
      </w:r>
      <w:r>
        <w:t>There is an issue because the MSA expires on June 30, 2016, 3 months before the SOW is expected to end.</w:t>
      </w:r>
    </w:p>
  </w:comment>
  <w:comment w:id="2" w:author="Maq Mannan" w:date="2024-09-11T13:17:00Z" w:initials="MM">
    <w:p w14:paraId="386C60C2" w14:textId="14546B42" w:rsidR="00DE4812" w:rsidRDefault="00DE4812" w:rsidP="00DE4812">
      <w:pPr>
        <w:pStyle w:val="CommentText"/>
      </w:pPr>
      <w:r>
        <w:rPr>
          <w:rStyle w:val="CommentReference"/>
        </w:rPr>
        <w:annotationRef/>
      </w:r>
      <w:r>
        <w:t>Revised to match Section 5(b)</w:t>
      </w:r>
    </w:p>
  </w:comment>
  <w:comment w:id="3" w:author="Maq Mannan" w:date="2024-09-11T13:49:00Z" w:initials="MM">
    <w:p w14:paraId="5EAA11F6" w14:textId="77777777" w:rsidR="006516A2" w:rsidRDefault="006516A2" w:rsidP="006516A2">
      <w:pPr>
        <w:pStyle w:val="CommentText"/>
      </w:pPr>
      <w:r>
        <w:rPr>
          <w:rStyle w:val="CommentReference"/>
        </w:rPr>
        <w:annotationRef/>
      </w:r>
      <w:r>
        <w:t>This term conflicts with Section 9.</w:t>
      </w:r>
    </w:p>
  </w:comment>
  <w:comment w:id="4" w:author="Maq Mannan" w:date="2024-09-11T13:59:00Z" w:initials="MM">
    <w:p w14:paraId="42857FFA" w14:textId="77777777" w:rsidR="00FB6BBB" w:rsidRDefault="00DF5712" w:rsidP="00FB6BBB">
      <w:pPr>
        <w:pStyle w:val="CommentText"/>
      </w:pPr>
      <w:r>
        <w:rPr>
          <w:rStyle w:val="CommentReference"/>
        </w:rPr>
        <w:annotationRef/>
      </w:r>
      <w:r w:rsidR="00FB6BBB">
        <w:t>This term conflicts with the MSA.</w:t>
      </w:r>
    </w:p>
  </w:comment>
  <w:comment w:id="5" w:author="Maq Mannan" w:date="2024-09-11T13:28:00Z" w:initials="MM">
    <w:p w14:paraId="79CA596A" w14:textId="39E8CE01" w:rsidR="00FB6BBB" w:rsidRDefault="00663643" w:rsidP="00FB6BBB">
      <w:pPr>
        <w:pStyle w:val="CommentText"/>
      </w:pPr>
      <w:r>
        <w:rPr>
          <w:rStyle w:val="CommentReference"/>
        </w:rPr>
        <w:annotationRef/>
      </w:r>
      <w:r w:rsidR="00FB6BBB">
        <w:t>This license is very broad and should be narrowed to apply to Client’s game engines only.</w:t>
      </w:r>
    </w:p>
    <w:p w14:paraId="62D52F64" w14:textId="77777777" w:rsidR="00FB6BBB" w:rsidRDefault="00FB6BBB" w:rsidP="00FB6BBB">
      <w:pPr>
        <w:pStyle w:val="CommentText"/>
      </w:pPr>
    </w:p>
    <w:p w14:paraId="05B7DC72" w14:textId="77777777" w:rsidR="00FB6BBB" w:rsidRDefault="00FB6BBB" w:rsidP="00FB6BBB">
      <w:pPr>
        <w:pStyle w:val="CommentText"/>
      </w:pPr>
      <w:r>
        <w:t>Alternatively, if you want the Client to own everything, you can dd the following work for hire language:</w:t>
      </w:r>
      <w:r>
        <w:br/>
      </w:r>
      <w:r>
        <w:br/>
      </w:r>
      <w:r>
        <w:rPr>
          <w:color w:val="15232B"/>
        </w:rPr>
        <w:t>The Supplier agrees that the Services and Deliverables, including all tasks, duties, results, inventions and intellectual property developed or performed pursuant to this Agreement, are considered "work made for hire" as defined in 17 U.S.C. Section 101, and that any such work is by virtue of this Agreement assigned to the Client and shall be the sole property of Client for all purposes, including, without limitation, all copyrights, trademarks, trade secrets, patents, industrial rights and all other intellectual property and proprietary rights related thereto, whether existing now or in the future. In the event that any work created by the Supplier does not qualify as a work made for hire, the Supplier hereby irrevocably assigns and agrees to assign, without additional consideration, all right, title and interest in and to all such works, whether currently existing or created or developed later, including, without limitation, all copyrights, trademarks, trade secrets, patents, industrial rights and all other intellectual property and proprietary rights related thereto, whether existing now or in the future, effective immediately upon the inception, conception, creation or development thereof.</w:t>
      </w:r>
      <w:r>
        <w:t xml:space="preserve"> </w:t>
      </w:r>
    </w:p>
  </w:comment>
  <w:comment w:id="6" w:author="Maq Mannan" w:date="2024-09-11T13:35:00Z" w:initials="MM">
    <w:p w14:paraId="2630F15D" w14:textId="27A0BEE9" w:rsidR="005924BB" w:rsidRDefault="00663643" w:rsidP="005924BB">
      <w:pPr>
        <w:pStyle w:val="CommentText"/>
      </w:pPr>
      <w:r>
        <w:rPr>
          <w:rStyle w:val="CommentReference"/>
        </w:rPr>
        <w:annotationRef/>
      </w:r>
      <w:r w:rsidR="005924BB">
        <w:t>Confidential Information should be defined.</w:t>
      </w:r>
    </w:p>
    <w:p w14:paraId="3EA851E7" w14:textId="77777777" w:rsidR="005924BB" w:rsidRDefault="005924BB" w:rsidP="005924BB">
      <w:pPr>
        <w:pStyle w:val="CommentText"/>
      </w:pPr>
    </w:p>
    <w:p w14:paraId="1E16C9D3" w14:textId="77777777" w:rsidR="005924BB" w:rsidRDefault="005924BB" w:rsidP="005924BB">
      <w:pPr>
        <w:pStyle w:val="CommentText"/>
      </w:pPr>
      <w:r>
        <w:t>Not having a limit for keeping confidential information confidential is uncommon.  There should be a time limit of 5-10 years.</w:t>
      </w:r>
    </w:p>
  </w:comment>
  <w:comment w:id="7" w:author="Maq Mannan" w:date="2024-09-11T13:40:00Z" w:initials="MM">
    <w:p w14:paraId="1DA1808A" w14:textId="6E00A162" w:rsidR="004D1838" w:rsidRDefault="004D1838" w:rsidP="004D1838">
      <w:pPr>
        <w:pStyle w:val="CommentText"/>
      </w:pPr>
      <w:r>
        <w:rPr>
          <w:rStyle w:val="CommentReference"/>
        </w:rPr>
        <w:annotationRef/>
      </w:r>
      <w:r>
        <w:t>This MSA expires on June 30, 2016, but the SOW End Date is September 30, 2016.  Therefore, the MSA needs to be amended to extend its term.</w:t>
      </w:r>
    </w:p>
    <w:p w14:paraId="57CCE5E1" w14:textId="77777777" w:rsidR="004D1838" w:rsidRDefault="004D1838" w:rsidP="004D1838">
      <w:pPr>
        <w:pStyle w:val="CommentText"/>
      </w:pPr>
    </w:p>
    <w:p w14:paraId="6292A7CB" w14:textId="77777777" w:rsidR="004D1838" w:rsidRDefault="004D1838" w:rsidP="004D1838">
      <w:pPr>
        <w:pStyle w:val="CommentText"/>
      </w:pPr>
      <w:r>
        <w:t>If the MSA expires before the SOW, then the SOW might be invalid.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FD82FF" w15:done="1"/>
  <w15:commentEx w15:paraId="2EC82ED8" w15:done="1"/>
  <w15:commentEx w15:paraId="386C60C2" w15:done="1"/>
  <w15:commentEx w15:paraId="5EAA11F6" w15:done="1"/>
  <w15:commentEx w15:paraId="42857FFA" w15:done="1"/>
  <w15:commentEx w15:paraId="05B7DC72" w15:done="1"/>
  <w15:commentEx w15:paraId="1E16C9D3" w15:done="1"/>
  <w15:commentEx w15:paraId="6292A7C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ABCD34D" w16cex:dateUtc="2024-09-11T20:40:00Z"/>
  <w16cex:commentExtensible w16cex:durableId="65DEFEAE" w16cex:dateUtc="2024-09-11T20:41:00Z"/>
  <w16cex:commentExtensible w16cex:durableId="1DD72DB9" w16cex:dateUtc="2024-09-11T20:17:00Z"/>
  <w16cex:commentExtensible w16cex:durableId="238C39B6" w16cex:dateUtc="2024-09-11T20:49:00Z"/>
  <w16cex:commentExtensible w16cex:durableId="331346A7" w16cex:dateUtc="2024-09-11T20:59:00Z"/>
  <w16cex:commentExtensible w16cex:durableId="65FD855B" w16cex:dateUtc="2024-09-11T20:28:00Z">
    <w16cex:extLst>
      <w16:ext w16:uri="{CE6994B0-6A32-4C9F-8C6B-6E91EDA988CE}">
        <cr:reactions xmlns:cr="http://schemas.microsoft.com/office/comments/2020/reactions">
          <cr:reaction reactionType="1">
            <cr:reactionInfo dateUtc="2024-09-20T18:06:50Z">
              <cr:user userId="ecdc13a1e270ae77" userProvider="Windows Live" userName="Maq Mannan"/>
            </cr:reactionInfo>
          </cr:reaction>
        </cr:reactions>
      </w16:ext>
    </w16cex:extLst>
  </w16cex:commentExtensible>
  <w16cex:commentExtensible w16cex:durableId="7138622B" w16cex:dateUtc="2024-09-11T20:35:00Z"/>
  <w16cex:commentExtensible w16cex:durableId="435E624D" w16cex:dateUtc="2024-09-11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FD82FF" w16cid:durableId="1ABCD34D"/>
  <w16cid:commentId w16cid:paraId="2EC82ED8" w16cid:durableId="65DEFEAE"/>
  <w16cid:commentId w16cid:paraId="386C60C2" w16cid:durableId="1DD72DB9"/>
  <w16cid:commentId w16cid:paraId="5EAA11F6" w16cid:durableId="238C39B6"/>
  <w16cid:commentId w16cid:paraId="42857FFA" w16cid:durableId="331346A7"/>
  <w16cid:commentId w16cid:paraId="05B7DC72" w16cid:durableId="65FD855B"/>
  <w16cid:commentId w16cid:paraId="1E16C9D3" w16cid:durableId="7138622B"/>
  <w16cid:commentId w16cid:paraId="6292A7CB" w16cid:durableId="435E62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F15ABD40">
      <w:start w:val="1"/>
      <w:numFmt w:val="bullet"/>
      <w:lvlText w:val=""/>
      <w:lvlJc w:val="left"/>
      <w:pPr>
        <w:ind w:left="1300" w:hanging="360"/>
      </w:pPr>
      <w:rPr>
        <w:rFonts w:ascii="Symbol" w:hAnsi="Symbol"/>
      </w:rPr>
    </w:lvl>
    <w:lvl w:ilvl="1" w:tplc="E070A732">
      <w:start w:val="1"/>
      <w:numFmt w:val="bullet"/>
      <w:lvlText w:val="o"/>
      <w:lvlJc w:val="left"/>
      <w:pPr>
        <w:tabs>
          <w:tab w:val="num" w:pos="2020"/>
        </w:tabs>
        <w:ind w:left="2020" w:hanging="360"/>
      </w:pPr>
      <w:rPr>
        <w:rFonts w:ascii="Courier New" w:hAnsi="Courier New"/>
      </w:rPr>
    </w:lvl>
    <w:lvl w:ilvl="2" w:tplc="A7A627D0">
      <w:start w:val="1"/>
      <w:numFmt w:val="bullet"/>
      <w:lvlText w:val=""/>
      <w:lvlJc w:val="left"/>
      <w:pPr>
        <w:tabs>
          <w:tab w:val="num" w:pos="2740"/>
        </w:tabs>
        <w:ind w:left="2740" w:hanging="360"/>
      </w:pPr>
      <w:rPr>
        <w:rFonts w:ascii="Wingdings" w:hAnsi="Wingdings"/>
      </w:rPr>
    </w:lvl>
    <w:lvl w:ilvl="3" w:tplc="D68080FA">
      <w:start w:val="1"/>
      <w:numFmt w:val="bullet"/>
      <w:lvlText w:val=""/>
      <w:lvlJc w:val="left"/>
      <w:pPr>
        <w:tabs>
          <w:tab w:val="num" w:pos="3460"/>
        </w:tabs>
        <w:ind w:left="3460" w:hanging="360"/>
      </w:pPr>
      <w:rPr>
        <w:rFonts w:ascii="Symbol" w:hAnsi="Symbol"/>
      </w:rPr>
    </w:lvl>
    <w:lvl w:ilvl="4" w:tplc="6EC016F2">
      <w:start w:val="1"/>
      <w:numFmt w:val="bullet"/>
      <w:lvlText w:val="o"/>
      <w:lvlJc w:val="left"/>
      <w:pPr>
        <w:tabs>
          <w:tab w:val="num" w:pos="4180"/>
        </w:tabs>
        <w:ind w:left="4180" w:hanging="360"/>
      </w:pPr>
      <w:rPr>
        <w:rFonts w:ascii="Courier New" w:hAnsi="Courier New"/>
      </w:rPr>
    </w:lvl>
    <w:lvl w:ilvl="5" w:tplc="C7F0BE6A">
      <w:start w:val="1"/>
      <w:numFmt w:val="bullet"/>
      <w:lvlText w:val=""/>
      <w:lvlJc w:val="left"/>
      <w:pPr>
        <w:tabs>
          <w:tab w:val="num" w:pos="4900"/>
        </w:tabs>
        <w:ind w:left="4900" w:hanging="360"/>
      </w:pPr>
      <w:rPr>
        <w:rFonts w:ascii="Wingdings" w:hAnsi="Wingdings"/>
      </w:rPr>
    </w:lvl>
    <w:lvl w:ilvl="6" w:tplc="866C42CA">
      <w:start w:val="1"/>
      <w:numFmt w:val="bullet"/>
      <w:lvlText w:val=""/>
      <w:lvlJc w:val="left"/>
      <w:pPr>
        <w:tabs>
          <w:tab w:val="num" w:pos="5620"/>
        </w:tabs>
        <w:ind w:left="5620" w:hanging="360"/>
      </w:pPr>
      <w:rPr>
        <w:rFonts w:ascii="Symbol" w:hAnsi="Symbol"/>
      </w:rPr>
    </w:lvl>
    <w:lvl w:ilvl="7" w:tplc="9D58A098">
      <w:start w:val="1"/>
      <w:numFmt w:val="bullet"/>
      <w:lvlText w:val="o"/>
      <w:lvlJc w:val="left"/>
      <w:pPr>
        <w:tabs>
          <w:tab w:val="num" w:pos="6340"/>
        </w:tabs>
        <w:ind w:left="6340" w:hanging="360"/>
      </w:pPr>
      <w:rPr>
        <w:rFonts w:ascii="Courier New" w:hAnsi="Courier New"/>
      </w:rPr>
    </w:lvl>
    <w:lvl w:ilvl="8" w:tplc="7AF6A29C">
      <w:start w:val="1"/>
      <w:numFmt w:val="bullet"/>
      <w:lvlText w:val=""/>
      <w:lvlJc w:val="left"/>
      <w:pPr>
        <w:tabs>
          <w:tab w:val="num" w:pos="7060"/>
        </w:tabs>
        <w:ind w:left="7060" w:hanging="360"/>
      </w:pPr>
      <w:rPr>
        <w:rFonts w:ascii="Wingdings" w:hAnsi="Wingdings"/>
      </w:rPr>
    </w:lvl>
  </w:abstractNum>
  <w:abstractNum w:abstractNumId="1" w15:restartNumberingAfterBreak="0">
    <w:nsid w:val="00000002"/>
    <w:multiLevelType w:val="hybridMultilevel"/>
    <w:tmpl w:val="00000002"/>
    <w:lvl w:ilvl="0" w:tplc="DB2CC7A8">
      <w:start w:val="1"/>
      <w:numFmt w:val="bullet"/>
      <w:lvlText w:val=""/>
      <w:lvlJc w:val="left"/>
      <w:pPr>
        <w:ind w:left="720" w:hanging="360"/>
      </w:pPr>
      <w:rPr>
        <w:rFonts w:ascii="Symbol" w:hAnsi="Symbol"/>
      </w:rPr>
    </w:lvl>
    <w:lvl w:ilvl="1" w:tplc="3656F0A6">
      <w:start w:val="1"/>
      <w:numFmt w:val="bullet"/>
      <w:lvlText w:val="o"/>
      <w:lvlJc w:val="left"/>
      <w:pPr>
        <w:tabs>
          <w:tab w:val="num" w:pos="1440"/>
        </w:tabs>
        <w:ind w:left="1440" w:hanging="360"/>
      </w:pPr>
      <w:rPr>
        <w:rFonts w:ascii="Courier New" w:hAnsi="Courier New"/>
      </w:rPr>
    </w:lvl>
    <w:lvl w:ilvl="2" w:tplc="ABC63D02">
      <w:start w:val="1"/>
      <w:numFmt w:val="bullet"/>
      <w:lvlText w:val=""/>
      <w:lvlJc w:val="left"/>
      <w:pPr>
        <w:tabs>
          <w:tab w:val="num" w:pos="2160"/>
        </w:tabs>
        <w:ind w:left="2160" w:hanging="360"/>
      </w:pPr>
      <w:rPr>
        <w:rFonts w:ascii="Wingdings" w:hAnsi="Wingdings"/>
      </w:rPr>
    </w:lvl>
    <w:lvl w:ilvl="3" w:tplc="09C8897C">
      <w:start w:val="1"/>
      <w:numFmt w:val="bullet"/>
      <w:lvlText w:val=""/>
      <w:lvlJc w:val="left"/>
      <w:pPr>
        <w:tabs>
          <w:tab w:val="num" w:pos="2880"/>
        </w:tabs>
        <w:ind w:left="2880" w:hanging="360"/>
      </w:pPr>
      <w:rPr>
        <w:rFonts w:ascii="Symbol" w:hAnsi="Symbol"/>
      </w:rPr>
    </w:lvl>
    <w:lvl w:ilvl="4" w:tplc="EA9E5F12">
      <w:start w:val="1"/>
      <w:numFmt w:val="bullet"/>
      <w:lvlText w:val="o"/>
      <w:lvlJc w:val="left"/>
      <w:pPr>
        <w:tabs>
          <w:tab w:val="num" w:pos="3600"/>
        </w:tabs>
        <w:ind w:left="3600" w:hanging="360"/>
      </w:pPr>
      <w:rPr>
        <w:rFonts w:ascii="Courier New" w:hAnsi="Courier New"/>
      </w:rPr>
    </w:lvl>
    <w:lvl w:ilvl="5" w:tplc="9040831C">
      <w:start w:val="1"/>
      <w:numFmt w:val="bullet"/>
      <w:lvlText w:val=""/>
      <w:lvlJc w:val="left"/>
      <w:pPr>
        <w:tabs>
          <w:tab w:val="num" w:pos="4320"/>
        </w:tabs>
        <w:ind w:left="4320" w:hanging="360"/>
      </w:pPr>
      <w:rPr>
        <w:rFonts w:ascii="Wingdings" w:hAnsi="Wingdings"/>
      </w:rPr>
    </w:lvl>
    <w:lvl w:ilvl="6" w:tplc="2A36B0EE">
      <w:start w:val="1"/>
      <w:numFmt w:val="bullet"/>
      <w:lvlText w:val=""/>
      <w:lvlJc w:val="left"/>
      <w:pPr>
        <w:tabs>
          <w:tab w:val="num" w:pos="5040"/>
        </w:tabs>
        <w:ind w:left="5040" w:hanging="360"/>
      </w:pPr>
      <w:rPr>
        <w:rFonts w:ascii="Symbol" w:hAnsi="Symbol"/>
      </w:rPr>
    </w:lvl>
    <w:lvl w:ilvl="7" w:tplc="0D969C24">
      <w:start w:val="1"/>
      <w:numFmt w:val="bullet"/>
      <w:lvlText w:val="o"/>
      <w:lvlJc w:val="left"/>
      <w:pPr>
        <w:tabs>
          <w:tab w:val="num" w:pos="5760"/>
        </w:tabs>
        <w:ind w:left="5760" w:hanging="360"/>
      </w:pPr>
      <w:rPr>
        <w:rFonts w:ascii="Courier New" w:hAnsi="Courier New"/>
      </w:rPr>
    </w:lvl>
    <w:lvl w:ilvl="8" w:tplc="B86EE9FE">
      <w:start w:val="1"/>
      <w:numFmt w:val="bullet"/>
      <w:lvlText w:val=""/>
      <w:lvlJc w:val="left"/>
      <w:pPr>
        <w:tabs>
          <w:tab w:val="num" w:pos="6480"/>
        </w:tabs>
        <w:ind w:left="6480" w:hanging="360"/>
      </w:pPr>
      <w:rPr>
        <w:rFonts w:ascii="Wingdings" w:hAnsi="Wingdings"/>
      </w:rPr>
    </w:lvl>
  </w:abstractNum>
  <w:abstractNum w:abstractNumId="2" w15:restartNumberingAfterBreak="0">
    <w:nsid w:val="0A2D2047"/>
    <w:multiLevelType w:val="hybridMultilevel"/>
    <w:tmpl w:val="6638E5A4"/>
    <w:lvl w:ilvl="0" w:tplc="9DC29916">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B31FA6"/>
    <w:multiLevelType w:val="hybridMultilevel"/>
    <w:tmpl w:val="CDC0EBD6"/>
    <w:lvl w:ilvl="0" w:tplc="01B6EF14">
      <w:start w:val="1"/>
      <w:numFmt w:val="lowerLetter"/>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5393371">
    <w:abstractNumId w:val="2"/>
  </w:num>
  <w:num w:numId="2" w16cid:durableId="1312755659">
    <w:abstractNumId w:val="0"/>
  </w:num>
  <w:num w:numId="3" w16cid:durableId="2001695901">
    <w:abstractNumId w:val="1"/>
  </w:num>
  <w:num w:numId="4" w16cid:durableId="4246205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q Mannan">
    <w15:presenceInfo w15:providerId="Windows Live" w15:userId="ecdc13a1e270a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77"/>
    <w:rsid w:val="000D05FE"/>
    <w:rsid w:val="00107153"/>
    <w:rsid w:val="003728BC"/>
    <w:rsid w:val="004D1838"/>
    <w:rsid w:val="005924BB"/>
    <w:rsid w:val="006516A2"/>
    <w:rsid w:val="00663643"/>
    <w:rsid w:val="0079421A"/>
    <w:rsid w:val="007C5511"/>
    <w:rsid w:val="00821E90"/>
    <w:rsid w:val="008B66B3"/>
    <w:rsid w:val="008F268F"/>
    <w:rsid w:val="009333D9"/>
    <w:rsid w:val="00A1370A"/>
    <w:rsid w:val="00C670F5"/>
    <w:rsid w:val="00CD5E0A"/>
    <w:rsid w:val="00DE4812"/>
    <w:rsid w:val="00DF5712"/>
    <w:rsid w:val="00E66277"/>
    <w:rsid w:val="00F67D57"/>
    <w:rsid w:val="00FB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D952"/>
  <w15:chartTrackingRefBased/>
  <w15:docId w15:val="{088B82A6-F74D-4954-9A96-DB30C702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277"/>
    <w:pPr>
      <w:spacing w:after="0" w:line="240" w:lineRule="auto"/>
    </w:pPr>
    <w:rPr>
      <w:rFonts w:ascii="Calibri" w:eastAsia="Times New Roman" w:hAnsi="Calibri" w:cs="Times New Roman"/>
      <w:kern w:val="0"/>
      <w:sz w:val="22"/>
      <w:lang w:val="en-GB" w:eastAsia="en-GB"/>
      <w14:ligatures w14:val="none"/>
    </w:rPr>
  </w:style>
  <w:style w:type="paragraph" w:styleId="Heading1">
    <w:name w:val="heading 1"/>
    <w:basedOn w:val="Normal"/>
    <w:next w:val="Normal"/>
    <w:link w:val="Heading1Char"/>
    <w:uiPriority w:val="9"/>
    <w:qFormat/>
    <w:rsid w:val="00E66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66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2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2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2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2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2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2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2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E66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277"/>
    <w:rPr>
      <w:rFonts w:eastAsiaTheme="majorEastAsia" w:cstheme="majorBidi"/>
      <w:color w:val="272727" w:themeColor="text1" w:themeTint="D8"/>
    </w:rPr>
  </w:style>
  <w:style w:type="paragraph" w:styleId="Title">
    <w:name w:val="Title"/>
    <w:basedOn w:val="Normal"/>
    <w:next w:val="Normal"/>
    <w:link w:val="TitleChar"/>
    <w:uiPriority w:val="10"/>
    <w:qFormat/>
    <w:rsid w:val="00E662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2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277"/>
    <w:pPr>
      <w:spacing w:before="160"/>
      <w:jc w:val="center"/>
    </w:pPr>
    <w:rPr>
      <w:i/>
      <w:iCs/>
      <w:color w:val="404040" w:themeColor="text1" w:themeTint="BF"/>
    </w:rPr>
  </w:style>
  <w:style w:type="character" w:customStyle="1" w:styleId="QuoteChar">
    <w:name w:val="Quote Char"/>
    <w:basedOn w:val="DefaultParagraphFont"/>
    <w:link w:val="Quote"/>
    <w:uiPriority w:val="29"/>
    <w:rsid w:val="00E66277"/>
    <w:rPr>
      <w:i/>
      <w:iCs/>
      <w:color w:val="404040" w:themeColor="text1" w:themeTint="BF"/>
    </w:rPr>
  </w:style>
  <w:style w:type="paragraph" w:styleId="ListParagraph">
    <w:name w:val="List Paragraph"/>
    <w:basedOn w:val="Normal"/>
    <w:link w:val="ListParagraphChar"/>
    <w:uiPriority w:val="34"/>
    <w:qFormat/>
    <w:rsid w:val="00E66277"/>
    <w:pPr>
      <w:ind w:left="720"/>
      <w:contextualSpacing/>
    </w:pPr>
  </w:style>
  <w:style w:type="character" w:styleId="IntenseEmphasis">
    <w:name w:val="Intense Emphasis"/>
    <w:basedOn w:val="DefaultParagraphFont"/>
    <w:uiPriority w:val="21"/>
    <w:qFormat/>
    <w:rsid w:val="00E66277"/>
    <w:rPr>
      <w:i/>
      <w:iCs/>
      <w:color w:val="0F4761" w:themeColor="accent1" w:themeShade="BF"/>
    </w:rPr>
  </w:style>
  <w:style w:type="paragraph" w:styleId="IntenseQuote">
    <w:name w:val="Intense Quote"/>
    <w:basedOn w:val="Normal"/>
    <w:next w:val="Normal"/>
    <w:link w:val="IntenseQuoteChar"/>
    <w:uiPriority w:val="30"/>
    <w:qFormat/>
    <w:rsid w:val="00E66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277"/>
    <w:rPr>
      <w:i/>
      <w:iCs/>
      <w:color w:val="0F4761" w:themeColor="accent1" w:themeShade="BF"/>
    </w:rPr>
  </w:style>
  <w:style w:type="character" w:styleId="IntenseReference">
    <w:name w:val="Intense Reference"/>
    <w:basedOn w:val="DefaultParagraphFont"/>
    <w:uiPriority w:val="32"/>
    <w:qFormat/>
    <w:rsid w:val="00E66277"/>
    <w:rPr>
      <w:b/>
      <w:bCs/>
      <w:smallCaps/>
      <w:color w:val="0F4761" w:themeColor="accent1" w:themeShade="BF"/>
      <w:spacing w:val="5"/>
    </w:rPr>
  </w:style>
  <w:style w:type="character" w:customStyle="1" w:styleId="ListParagraphChar">
    <w:name w:val="List Paragraph Char"/>
    <w:link w:val="ListParagraph"/>
    <w:uiPriority w:val="34"/>
    <w:locked/>
    <w:rsid w:val="00E66277"/>
  </w:style>
  <w:style w:type="character" w:styleId="CommentReference">
    <w:name w:val="annotation reference"/>
    <w:basedOn w:val="DefaultParagraphFont"/>
    <w:uiPriority w:val="99"/>
    <w:semiHidden/>
    <w:unhideWhenUsed/>
    <w:rsid w:val="00E66277"/>
    <w:rPr>
      <w:sz w:val="16"/>
      <w:szCs w:val="16"/>
    </w:rPr>
  </w:style>
  <w:style w:type="paragraph" w:styleId="CommentText">
    <w:name w:val="annotation text"/>
    <w:basedOn w:val="Normal"/>
    <w:link w:val="CommentTextChar"/>
    <w:uiPriority w:val="99"/>
    <w:unhideWhenUsed/>
    <w:rsid w:val="00E66277"/>
    <w:rPr>
      <w:sz w:val="20"/>
      <w:szCs w:val="20"/>
    </w:rPr>
  </w:style>
  <w:style w:type="character" w:customStyle="1" w:styleId="CommentTextChar">
    <w:name w:val="Comment Text Char"/>
    <w:basedOn w:val="DefaultParagraphFont"/>
    <w:link w:val="CommentText"/>
    <w:uiPriority w:val="99"/>
    <w:rsid w:val="00E66277"/>
    <w:rPr>
      <w:rFonts w:ascii="Calibri" w:eastAsia="Times New Roman" w:hAnsi="Calibri" w:cs="Times New Roman"/>
      <w:kern w:val="0"/>
      <w:sz w:val="20"/>
      <w:szCs w:val="20"/>
      <w:lang w:val="en-GB" w:eastAsia="en-GB"/>
      <w14:ligatures w14:val="none"/>
    </w:rPr>
  </w:style>
  <w:style w:type="paragraph" w:styleId="Revision">
    <w:name w:val="Revision"/>
    <w:hidden/>
    <w:uiPriority w:val="99"/>
    <w:semiHidden/>
    <w:rsid w:val="00CD5E0A"/>
    <w:pPr>
      <w:spacing w:after="0" w:line="240" w:lineRule="auto"/>
    </w:pPr>
    <w:rPr>
      <w:rFonts w:ascii="Calibri" w:eastAsia="Times New Roman" w:hAnsi="Calibri" w:cs="Times New Roman"/>
      <w:kern w:val="0"/>
      <w:sz w:val="22"/>
      <w:lang w:val="en-GB" w:eastAsia="en-GB"/>
      <w14:ligatures w14:val="none"/>
    </w:rPr>
  </w:style>
  <w:style w:type="paragraph" w:styleId="CommentSubject">
    <w:name w:val="annotation subject"/>
    <w:basedOn w:val="CommentText"/>
    <w:next w:val="CommentText"/>
    <w:link w:val="CommentSubjectChar"/>
    <w:uiPriority w:val="99"/>
    <w:semiHidden/>
    <w:unhideWhenUsed/>
    <w:rsid w:val="00DE4812"/>
    <w:rPr>
      <w:b/>
      <w:bCs/>
    </w:rPr>
  </w:style>
  <w:style w:type="character" w:customStyle="1" w:styleId="CommentSubjectChar">
    <w:name w:val="Comment Subject Char"/>
    <w:basedOn w:val="CommentTextChar"/>
    <w:link w:val="CommentSubject"/>
    <w:uiPriority w:val="99"/>
    <w:semiHidden/>
    <w:rsid w:val="00DE4812"/>
    <w:rPr>
      <w:rFonts w:ascii="Calibri" w:eastAsia="Times New Roman" w:hAnsi="Calibri" w:cs="Times New Roman"/>
      <w:b/>
      <w:bCs/>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22</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Bhuiyan (INTEGREON MANAGED SOLUTIONS IN)</dc:creator>
  <cp:keywords/>
  <dc:description/>
  <cp:lastModifiedBy>Maq Mannan</cp:lastModifiedBy>
  <cp:revision>10</cp:revision>
  <dcterms:created xsi:type="dcterms:W3CDTF">2024-09-11T20:45:00Z</dcterms:created>
  <dcterms:modified xsi:type="dcterms:W3CDTF">2024-09-20T18:08:00Z</dcterms:modified>
</cp:coreProperties>
</file>