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df" ContentType="application/pdf"/>
  <Override PartName="/word/media/rId23.pdf" ContentType="application/pdf"/>
  <Override PartName="/word/media/rId17.pdf" ContentType="application/pdf"/>
  <Override PartName="/word/media/rId2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Evaluation and Fair Backtesting</w:t>
      </w:r>
    </w:p>
    <w:p>
      <w:pPr>
        <w:pStyle w:val="Author"/>
      </w:pPr>
      <w:r>
        <w:t xml:space="preserve">[Rohit Edward Martires] (Independent researcher, [Goa, India]). Email: [rohitmartires14@gmail.com].</w:t>
      </w:r>
    </w:p>
    <w:p>
      <w:pPr>
        <w:pStyle w:val="Date"/>
      </w:pPr>
      <w:r>
        <w:t xml:space="preserve">29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Large language models are increasingly used in financial decision pipelines, yet published agent stacks are often hard to reproduce and rarely evaluated under distinct market conditions on historical as-of dates.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point-in-time data access,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exogenous bear and bull windows</w:t>
      </w:r>
      <w:r>
        <w:t xml:space="preserve"> </w:t>
      </w:r>
      <w:r>
        <w:t xml:space="preserve">(per-ticker underlying return at most -10% or at least +10%), each from $100,000 paper cash. In</w:t>
      </w:r>
      <w:r>
        <w:t xml:space="preserve"> </w:t>
      </w:r>
      <w:r>
        <w:rPr>
          <w:b/>
          <w:bCs/>
        </w:rPr>
        <w:t xml:space="preserve">both bear windows</w:t>
      </w:r>
      <w:r>
        <w:t xml:space="preserve">, the agent loses less than buy-and-hold; in</w:t>
      </w:r>
      <w:r>
        <w:t xml:space="preserve"> </w:t>
      </w:r>
      <w:r>
        <w:rPr>
          <w:b/>
          <w:bCs/>
        </w:rPr>
        <w:t xml:space="preserve">bull windows</w:t>
      </w:r>
      <w:r>
        <w:t xml:space="preserve">, outcomes diverge (RELIANCE lags B&amp;H; TCS nearly tracks it). Frozen CSV artifacts reproduce tables and figures.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LLMs inside trading workflows, but rarely report how the</w:t>
      </w:r>
      <w:r>
        <w:t xml:space="preserve"> </w:t>
      </w:r>
      <w:r>
        <w:rPr>
          <w:b/>
          <w:bCs/>
        </w:rPr>
        <w:t xml:space="preserve">same stack</w:t>
      </w:r>
      <w:r>
        <w:t xml:space="preserve"> </w:t>
      </w:r>
      <w:r>
        <w:t xml:space="preserve">behaves across</w:t>
      </w:r>
      <w:r>
        <w:t xml:space="preserve"> </w:t>
      </w:r>
      <w:r>
        <w:rPr>
          <w:b/>
          <w:bCs/>
        </w:rPr>
        <w:t xml:space="preserve">different underlying trends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 than one issuer</w:t>
      </w:r>
      <w:r>
        <w:t xml:space="preserve">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implementation with structured outputs, optional anonymization, a simulation end date, and a paper backtest.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 four independent runs (bear and bull per ticker). Section 2 surveys related work; Section 3 the system; Section 4 results; Section 5 concludes; Section 6 lists contributions.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trading agents</w:t>
      </w:r>
      <w:r>
        <w:t xml:space="preserve"> </w:t>
      </w:r>
      <w:r>
        <w:t xml:space="preserve">motivate multi-role graphs (Xiao et al., 2024; Yu et al., 2023; Yang et al., 2023). We emphasize reproducible engineering: one codepath, schema-constrained outputs, temporal controls, CSV artifacts.</w:t>
      </w:r>
    </w:p>
    <w:p>
      <w:pPr>
        <w:pStyle w:val="BodyText"/>
      </w:pPr>
      <w:r>
        <w:rPr>
          <w:b/>
          <w:bCs/>
        </w:rPr>
        <w:t xml:space="preserve">Point-in-time data and leakage</w:t>
      </w:r>
      <w:r>
        <w:t xml:space="preserve"> </w:t>
      </w:r>
      <w:r>
        <w:t xml:space="preserve">require explicit simulation horizons and optional anonymization.</w:t>
      </w:r>
    </w:p>
    <w:p>
      <w:pPr>
        <w:pStyle w:val="BodyText"/>
      </w:pPr>
      <w:r>
        <w:rPr>
          <w:b/>
          <w:bCs/>
        </w:rPr>
        <w:t xml:space="preserve">Regime-split evaluation</w:t>
      </w:r>
      <w:r>
        <w:t xml:space="preserve"> </w:t>
      </w:r>
      <w:r>
        <w:t xml:space="preserve">on the same implementation is uncommon; we report four frozen runs with</w:t>
      </w:r>
      <w:r>
        <w:t xml:space="preserve"> </w:t>
      </w:r>
      <w:r>
        <w:rPr>
          <w:b/>
          <w:bCs/>
        </w:rPr>
        <w:t xml:space="preserve">per-ticker calendars</w:t>
      </w:r>
      <w:r>
        <w:t xml:space="preserve">, not regime prediction.</w:t>
      </w:r>
    </w:p>
    <w:p>
      <w:pPr>
        <w:pStyle w:val="BodyText"/>
      </w:pPr>
      <w:r>
        <w:rPr>
          <w:b/>
          <w:bCs/>
        </w:rPr>
        <w:t xml:space="preserve">Execution realism</w:t>
      </w:r>
      <w:r>
        <w:t xml:space="preserve"> </w:t>
      </w:r>
      <w:r>
        <w:t xml:space="preserve">via a paper ledger with stated fees.</w:t>
      </w:r>
    </w:p>
    <w:bookmarkEnd w:id="10"/>
    <w:bookmarkStart w:id="11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TradingAgentsGraph</w:t>
      </w:r>
      <w:r>
        <w:t xml:space="preserve"> </w:t>
      </w:r>
      <w:r>
        <w:t xml:space="preserve">composes analysts, bull/bear</w:t>
      </w:r>
      <w:r>
        <w:t xml:space="preserve"> </w:t>
      </w:r>
      <w:r>
        <w:rPr>
          <w:b/>
          <w:bCs/>
        </w:rPr>
        <w:t xml:space="preserve">debate roles</w:t>
      </w:r>
      <w:r>
        <w:t xml:space="preserve"> </w:t>
      </w:r>
      <w:r>
        <w:t xml:space="preserve">(internal agents, distinct from market regimes), trader, and risk. 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backtest_mvp.py --dates-csv</w:t>
      </w:r>
      <w:r>
        <w:t xml:space="preserve"> </w:t>
      </w:r>
      <w:r>
        <w:t xml:space="preserve">produces wide schedule CSVs.</w:t>
      </w:r>
    </w:p>
    <w:bookmarkEnd w:id="11"/>
    <w:bookmarkStart w:id="27" w:name="experiments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Experiments</w:t>
      </w:r>
    </w:p>
    <w:bookmarkStart w:id="12" w:name="regime-definition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Regime definition</w:t>
      </w:r>
    </w:p>
    <w:p>
      <w:pPr>
        <w:pStyle w:val="FirstParagraph"/>
      </w:pPr>
      <w:r>
        <w:t xml:space="preserve">For each ticker, calendar windows in</w:t>
      </w:r>
      <w:r>
        <w:t xml:space="preserve"> </w:t>
      </w:r>
      <w:r>
        <w:rPr>
          <w:rStyle w:val="VerbatimChar"/>
          <w:b/>
          <w:bCs/>
        </w:rPr>
        <w:t xml:space="preserve">regime-timeranges</w:t>
      </w:r>
      <w:r>
        <w:t xml:space="preserve"> </w:t>
      </w:r>
      <w:r>
        <w:t xml:space="preserve">are labeled</w:t>
      </w:r>
      <w:r>
        <w:t xml:space="preserve"> </w:t>
      </w:r>
      <w:r>
        <w:rPr>
          <w:b/>
          <w:bCs/>
        </w:rPr>
        <w:t xml:space="preserve">bear</w:t>
      </w:r>
      <w:r>
        <w:t xml:space="preserve"> </w:t>
      </w:r>
      <w:r>
        <w:t xml:space="preserve">if underlying buy-and-hold return is at most</w:t>
      </w:r>
      <w:r>
        <w:t xml:space="preserve"> </w:t>
      </w:r>
      <w:r>
        <w:rPr>
          <w:b/>
          <w:bCs/>
        </w:rPr>
        <w:t xml:space="preserve">-10%</w:t>
      </w:r>
      <w:r>
        <w:t xml:space="preserve">,</w:t>
      </w:r>
      <w:r>
        <w:t xml:space="preserve"> </w:t>
      </w:r>
      <w:r>
        <w:rPr>
          <w:b/>
          <w:bCs/>
        </w:rPr>
        <w:t xml:space="preserve">bull</w:t>
      </w:r>
      <w:r>
        <w:t xml:space="preserve"> </w:t>
      </w:r>
      <w:r>
        <w:t xml:space="preserve">if at least</w:t>
      </w:r>
      <w:r>
        <w:t xml:space="preserve"> </w:t>
      </w:r>
      <w:r>
        <w:rPr>
          <w:b/>
          <w:bCs/>
        </w:rPr>
        <w:t xml:space="preserve">+10%</w:t>
      </w:r>
      <w:r>
        <w:t xml:space="preserve"> </w:t>
      </w:r>
      <w:r>
        <w:t xml:space="preserve">over the processed window. Each run starts from</w:t>
      </w:r>
      <w:r>
        <w:t xml:space="preserve"> </w:t>
      </w:r>
      <w:r>
        <w:rPr>
          <w:b/>
          <w:bCs/>
        </w:rPr>
        <w:t xml:space="preserve">$100,000</w:t>
      </w:r>
      <w:r>
        <w:t xml:space="preserve"> </w:t>
      </w:r>
      <w:r>
        <w:t xml:space="preserve">fresh cash. Windows differ by ticker.</w:t>
      </w:r>
    </w:p>
    <w:bookmarkEnd w:id="12"/>
    <w:bookmarkStart w:id="13" w:name="protocol-and-results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Protocol and results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Four frozen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8"/>
        <w:gridCol w:w="1038"/>
        <w:gridCol w:w="1038"/>
        <w:gridCol w:w="779"/>
        <w:gridCol w:w="649"/>
        <w:gridCol w:w="908"/>
        <w:gridCol w:w="1558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B&amp;H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End equity</w:t>
            </w:r>
          </w:p>
        </w:tc>
        <w:tc>
          <w:tcPr/>
          <w:p>
            <w:pPr>
              <w:pStyle w:val="Compact"/>
            </w:pPr>
            <w:r>
              <w:t xml:space="preserve">B/H/S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RELIANCE</w:t>
            </w:r>
          </w:p>
        </w:tc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2024-08-01 .. 2025-01-03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-17.4%</w:t>
            </w:r>
          </w:p>
        </w:tc>
        <w:tc>
          <w:tcPr/>
          <w:p>
            <w:pPr>
              <w:pStyle w:val="Compact"/>
            </w:pPr>
            <w:r>
              <w:t xml:space="preserve">-7.5%</w:t>
            </w:r>
          </w:p>
        </w:tc>
        <w:tc>
          <w:tcPr/>
          <w:p>
            <w:pPr>
              <w:pStyle w:val="Compact"/>
            </w:pPr>
            <w:r>
              <w:t xml:space="preserve">92,459</w:t>
            </w:r>
          </w:p>
        </w:tc>
        <w:tc>
          <w:tcPr/>
          <w:p>
            <w:pPr>
              <w:pStyle w:val="Compact"/>
            </w:pPr>
            <w:r>
              <w:t xml:space="preserve">7/28/76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RELIANCE</w:t>
            </w:r>
          </w:p>
        </w:tc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2025-01-01 .. 2025-06-03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+15.1%</w:t>
            </w:r>
          </w:p>
        </w:tc>
        <w:tc>
          <w:tcPr/>
          <w:p>
            <w:pPr>
              <w:pStyle w:val="Compact"/>
            </w:pPr>
            <w:r>
              <w:t xml:space="preserve">+5.6%</w:t>
            </w:r>
          </w:p>
        </w:tc>
        <w:tc>
          <w:tcPr/>
          <w:p>
            <w:pPr>
              <w:pStyle w:val="Compact"/>
            </w:pPr>
            <w:r>
              <w:t xml:space="preserve">105,559</w:t>
            </w:r>
          </w:p>
        </w:tc>
        <w:tc>
          <w:tcPr/>
          <w:p>
            <w:pPr>
              <w:pStyle w:val="Compact"/>
            </w:pPr>
            <w:r>
              <w:t xml:space="preserve">9/25/74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</w:t>
            </w:r>
          </w:p>
        </w:tc>
        <w:tc>
          <w:tcPr/>
          <w:p>
            <w:pPr>
              <w:pStyle w:val="Compact"/>
            </w:pPr>
            <w:r>
              <w:t xml:space="preserve">Bear</w:t>
            </w:r>
          </w:p>
        </w:tc>
        <w:tc>
          <w:tcPr/>
          <w:p>
            <w:pPr>
              <w:pStyle w:val="Compact"/>
            </w:pPr>
            <w:r>
              <w:t xml:space="preserve">2024-12-02 .. 2025-04-03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-20.4%</w:t>
            </w:r>
          </w:p>
        </w:tc>
        <w:tc>
          <w:tcPr/>
          <w:p>
            <w:pPr>
              <w:pStyle w:val="Compact"/>
            </w:pPr>
            <w:r>
              <w:t xml:space="preserve">-4.8%</w:t>
            </w:r>
          </w:p>
        </w:tc>
        <w:tc>
          <w:tcPr/>
          <w:p>
            <w:pPr>
              <w:pStyle w:val="Compact"/>
            </w:pPr>
            <w:r>
              <w:t xml:space="preserve">95,166</w:t>
            </w:r>
          </w:p>
        </w:tc>
        <w:tc>
          <w:tcPr/>
          <w:p>
            <w:pPr>
              <w:pStyle w:val="Compact"/>
            </w:pPr>
            <w:r>
              <w:t xml:space="preserve">12/24/52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TCS</w:t>
            </w:r>
          </w:p>
        </w:tc>
        <w:tc>
          <w:tcPr/>
          <w:p>
            <w:pPr>
              <w:pStyle w:val="Compact"/>
            </w:pPr>
            <w:r>
              <w:t xml:space="preserve">Bull</w:t>
            </w:r>
          </w:p>
        </w:tc>
        <w:tc>
          <w:tcPr/>
          <w:p>
            <w:pPr>
              <w:pStyle w:val="Compact"/>
            </w:pPr>
            <w:r>
              <w:t xml:space="preserve">2024-06-03 .. 2024-09-03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+21.9%</w:t>
            </w:r>
          </w:p>
        </w:tc>
        <w:tc>
          <w:tcPr/>
          <w:p>
            <w:pPr>
              <w:pStyle w:val="Compact"/>
            </w:pPr>
            <w:r>
              <w:t xml:space="preserve">+19.6%</w:t>
            </w:r>
          </w:p>
        </w:tc>
        <w:tc>
          <w:tcPr/>
          <w:p>
            <w:pPr>
              <w:pStyle w:val="Compact"/>
            </w:pPr>
            <w:r>
              <w:t xml:space="preserve">119,607</w:t>
            </w:r>
          </w:p>
        </w:tc>
        <w:tc>
          <w:tcPr/>
          <w:p>
            <w:pPr>
              <w:pStyle w:val="Compact"/>
            </w:pPr>
            <w:r>
              <w:t xml:space="preserve">13/14/40</w:t>
            </w:r>
          </w:p>
        </w:tc>
      </w:tr>
    </w:tbl>
    <w:p>
      <w:pPr>
        <w:pStyle w:val="BodyText"/>
      </w:pPr>
      <w:r>
        <w:rPr>
          <w:b/>
          <w:bCs/>
        </w:rPr>
        <w:t xml:space="preserve">Bear (2/2):</w:t>
      </w:r>
      <w:r>
        <w:t xml:space="preserve"> </w:t>
      </w:r>
      <w:r>
        <w:t xml:space="preserve">agent loses less than buy-and-hold.</w:t>
      </w:r>
      <w:r>
        <w:t xml:space="preserve"> </w:t>
      </w:r>
      <w:r>
        <w:rPr>
          <w:b/>
          <w:bCs/>
        </w:rPr>
        <w:t xml:space="preserve">Bull:</w:t>
      </w:r>
      <w:r>
        <w:t xml:space="preserve"> </w:t>
      </w:r>
      <w:r>
        <w:t xml:space="preserve">RELIANCE lags B&amp;H; TCS nearly tracks B&amp;H. Final signals remain SELL-heavy in most runs.</w:t>
      </w:r>
    </w:p>
    <w:bookmarkEnd w:id="13"/>
    <w:bookmarkStart w:id="26" w:name="figure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Figures</w:t>
      </w:r>
    </w:p>
    <w:p>
      <w:pPr>
        <w:pStyle w:val="CaptionedFigure"/>
      </w:pPr>
      <w:r>
        <w:drawing>
          <wp:inline>
            <wp:extent cx="5334000" cy="3639084"/>
            <wp:effectExtent b="0" l="0" r="0" t="0"/>
            <wp:docPr descr="Figure 1. Agent vs buy-and-hold equity (2x2 grid)." title="" id="15" name="Picture"/>
            <a:graphic>
              <a:graphicData uri="http://schemas.openxmlformats.org/drawingml/2006/picture">
                <pic:pic>
                  <pic:nvPicPr>
                    <pic:cNvPr descr="figures/fig_regime_equity_grid.pdf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9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Agent vs buy-and-hold equity (2x2 grid).</w:t>
      </w:r>
    </w:p>
    <w:p>
      <w:pPr>
        <w:pStyle w:val="CaptionedFigure"/>
      </w:pPr>
      <w:r>
        <w:drawing>
          <wp:inline>
            <wp:extent cx="5334000" cy="2217505"/>
            <wp:effectExtent b="0" l="0" r="0" t="0"/>
            <wp:docPr descr="Figure 2. Total returns (four runs)." title="" id="18" name="Picture"/>
            <a:graphic>
              <a:graphicData uri="http://schemas.openxmlformats.org/drawingml/2006/picture">
                <pic:pic>
                  <pic:nvPicPr>
                    <pic:cNvPr descr="figures/fig_regime_returns_by_ticker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Total returns (four runs).</w:t>
      </w:r>
    </w:p>
    <w:p>
      <w:pPr>
        <w:pStyle w:val="CaptionedFigure"/>
      </w:pPr>
      <w:r>
        <w:drawing>
          <wp:inline>
            <wp:extent cx="5334000" cy="2217505"/>
            <wp:effectExtent b="0" l="0" r="0" t="0"/>
            <wp:docPr descr="Figure 3. Signal counts." title="" id="21" name="Picture"/>
            <a:graphic>
              <a:graphicData uri="http://schemas.openxmlformats.org/drawingml/2006/picture">
                <pic:pic>
                  <pic:nvPicPr>
                    <pic:cNvPr descr="figures/fig_regime_signals_by_ticker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Signal counts.</w:t>
      </w:r>
    </w:p>
    <w:p>
      <w:pPr>
        <w:pStyle w:val="CaptionedFigure"/>
      </w:pPr>
      <w:r>
        <w:drawing>
          <wp:inline>
            <wp:extent cx="5334000" cy="2184000"/>
            <wp:effectExtent b="0" l="0" r="0" t="0"/>
            <wp:docPr descr="Figure 4. Bullish analyst-outlook share." title="" id="24" name="Picture"/>
            <a:graphic>
              <a:graphicData uri="http://schemas.openxmlformats.org/drawingml/2006/picture">
                <pic:pic>
                  <pic:nvPicPr>
                    <pic:cNvPr descr="figures/fig_regime_outlook_bullish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Bullish analyst-outlook share.</w:t>
      </w:r>
    </w:p>
    <w:bookmarkEnd w:id="26"/>
    <w:bookmarkEnd w:id="27"/>
    <w:bookmarkStart w:id="28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an open LangGraph stack and</w:t>
      </w:r>
      <w:r>
        <w:t xml:space="preserve"> </w:t>
      </w:r>
      <w:r>
        <w:rPr>
          <w:b/>
          <w:bCs/>
        </w:rPr>
        <w:t xml:space="preserve">multi-ticker regime-conditioned</w:t>
      </w:r>
      <w:r>
        <w:t xml:space="preserve"> </w:t>
      </w:r>
      <w:r>
        <w:t xml:space="preserve">evaluation. Bear windows show relative downside protection; bull outcomes are heterogeneous.</w:t>
      </w:r>
      <w:r>
        <w:t xml:space="preserve"> </w:t>
      </w:r>
      <w:r>
        <w:rPr>
          <w:b/>
          <w:bCs/>
        </w:rPr>
        <w:t xml:space="preserve">Limitations:</w:t>
      </w:r>
      <w:r>
        <w:t xml:space="preserve"> </w:t>
      </w:r>
      <w:r>
        <w:t xml:space="preserve">two tickers, per-ticker calendars, one LLM.</w:t>
      </w:r>
    </w:p>
    <w:bookmarkEnd w:id="28"/>
    <w:bookmarkStart w:id="29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Multi-agent decision graph.</w:t>
      </w:r>
    </w:p>
    <w:p>
      <w:pPr>
        <w:pStyle w:val="Compact"/>
        <w:numPr>
          <w:ilvl w:val="0"/>
          <w:numId w:val="1001"/>
        </w:numPr>
      </w:pPr>
      <w:r>
        <w:t xml:space="preserve">Multi-ticker regime-conditioned evaluation (four frozen CSVs).</w:t>
      </w:r>
    </w:p>
    <w:p>
      <w:pPr>
        <w:pStyle w:val="Compact"/>
        <w:numPr>
          <w:ilvl w:val="0"/>
          <w:numId w:val="1001"/>
        </w:numPr>
      </w:pPr>
      <w:r>
        <w:t xml:space="preserve">Structured stage outputs.</w:t>
      </w:r>
    </w:p>
    <w:p>
      <w:pPr>
        <w:pStyle w:val="Compact"/>
        <w:numPr>
          <w:ilvl w:val="0"/>
          <w:numId w:val="1001"/>
        </w:numPr>
      </w:pPr>
      <w:r>
        <w:t xml:space="preserve">Point-in-time policy and anonymization.</w:t>
      </w:r>
    </w:p>
    <w:p>
      <w:pPr>
        <w:pStyle w:val="Compact"/>
        <w:numPr>
          <w:ilvl w:val="0"/>
          <w:numId w:val="1001"/>
        </w:numPr>
      </w:pPr>
      <w:r>
        <w:t xml:space="preserve">Backtest harness and analysis artifacts.</w: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Not applicable.</w:t>
      </w:r>
    </w:p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arXiv:2412.20138 [q-fin.TR]. Available at: https://arxiv.org/abs/2412.20138 (Accessed: 29 May 2026).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arXiv:2306.06031 [q-fin.ST]. Available at: https://arxiv.org/abs/2306.06031 (Accessed: 29 May 2026).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arXiv:2311.13743 [q-fin.CP]. Available at: https://arxiv.org/abs/2311.13743 (Accessed: 29 May 2026).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df" /><Relationship Type="http://schemas.openxmlformats.org/officeDocument/2006/relationships/image" Id="rId23" Target="media/rId23.pdf" /><Relationship Type="http://schemas.openxmlformats.org/officeDocument/2006/relationships/image" Id="rId17" Target="media/rId17.pdf" /><Relationship Type="http://schemas.openxmlformats.org/officeDocument/2006/relationships/image" Id="rId20" Target="media/rId20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Evaluation and Fair Backtesting</dc:title>
  <dc:creator>[Rohit Edward Martires] (Independent researcher, [Goa, India]). Email: [rohitmartires14@gmail.com].</dc:creator>
  <cp:keywords/>
  <dcterms:created xsi:type="dcterms:W3CDTF">2026-05-29T13:10:12Z</dcterms:created>
  <dcterms:modified xsi:type="dcterms:W3CDTF">2026-05-29T13:10:12Z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Large language models are increasingly used in financial decision pipelines, yet published agent stacks are often hard to reproduce and rarely evaluated under distinct market conditions on historical as-of dates. We present Hindsight 20/20, an open LangGraph stack with structured Pydantic outputs, point-in-time data access, optional ticker anonymization, and a fee-aware paper backtest. We evaluate the full pipeline on RELIANCE.NS and TCS.NS in exogenous bear and bull windows (per-ticker underlying return at most -10% or at least +10%), each from $100,000 paper cash. In both bear windows, the agent loses less than buy-and-hold; in bull windows, outcomes diverge (RELIANCE lags B&amp;H; TCS nearly tracks it). Frozen CSV artifacts reproduce tables and figures.</vt:lpwstr>
  </property>
  <property fmtid="{D5CDD505-2E9C-101B-9397-08002B2CF9AE}" pid="3" name="date">
    <vt:lpwstr>29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