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Point-in-Time Multi-Agent LLM Trading: A Reproducible LangGraph Stack with Regime-Conditioned Case Study Evaluation and Fair Backtesting</w:t>
      </w:r>
    </w:p>
    <w:p>
      <w:pPr>
        <w:pStyle w:val="Date"/>
      </w:pPr>
      <w:r>
        <w:t xml:space="preserve">29 May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Published LLM trading stacks are often hard to reproduce, rarely enforce temporal data boundaries, and seldom report net returns after fees. We present</w:t>
      </w:r>
      <w:r>
        <w:t xml:space="preserve"> </w:t>
      </w:r>
      <w:r>
        <w:rPr>
          <w:b/>
          <w:bCs/>
        </w:rPr>
        <w:t xml:space="preserve">Hindsight 20/20</w:t>
      </w:r>
      <w:r>
        <w:t xml:space="preserve">, an open</w:t>
      </w:r>
      <w:r>
        <w:t xml:space="preserve"> </w:t>
      </w:r>
      <w:r>
        <w:rPr>
          <w:b/>
          <w:bCs/>
        </w:rPr>
        <w:t xml:space="preserve">LangGraph</w:t>
      </w:r>
      <w:r>
        <w:t xml:space="preserve"> </w:t>
      </w:r>
      <w:r>
        <w:t xml:space="preserve">stack with structured</w:t>
      </w:r>
      <w:r>
        <w:t xml:space="preserve"> </w:t>
      </w:r>
      <w:r>
        <w:rPr>
          <w:b/>
          <w:bCs/>
        </w:rPr>
        <w:t xml:space="preserve">Pydantic</w:t>
      </w:r>
      <w:r>
        <w:t xml:space="preserve"> </w:t>
      </w:r>
      <w:r>
        <w:t xml:space="preserve">outputs, point-in-time data access, optional</w:t>
      </w:r>
      <w:r>
        <w:t xml:space="preserve"> </w:t>
      </w:r>
      <w:r>
        <w:rPr>
          <w:b/>
          <w:bCs/>
        </w:rPr>
        <w:t xml:space="preserve">ticker anonymization</w:t>
      </w:r>
      <w:r>
        <w:t xml:space="preserve">, and a fee-aware</w:t>
      </w:r>
      <w:r>
        <w:t xml:space="preserve"> </w:t>
      </w:r>
      <w:r>
        <w:rPr>
          <w:b/>
          <w:bCs/>
        </w:rPr>
        <w:t xml:space="preserve">paper backtest</w:t>
      </w:r>
      <w:r>
        <w:t xml:space="preserve">. The primary contribution is reproducible systems engineering with frozen CSV artifacts—not a universe-scale alpha benchmark. As an illustrative case study, we evaluate the</w:t>
      </w:r>
      <w: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t xml:space="preserve">pipeline on</w:t>
      </w:r>
      <w:r>
        <w:t xml:space="preserve"> </w:t>
      </w:r>
      <w:r>
        <w:rPr>
          <w:b/>
          <w:bCs/>
        </w:rPr>
        <w:t xml:space="preserve">RELIANCE.NS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TCS.NS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four pre-specified regime windows</w:t>
      </w:r>
      <w:r>
        <w:t xml:space="preserve"> </w:t>
      </w:r>
      <w:r>
        <w:t xml:space="preserve">(two tickers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exogenous bear/bull labels;</w:t>
      </w:r>
      <w:r>
        <w:t xml:space="preserve"> </w:t>
      </w:r>
      <w:r>
        <w:rPr>
          <w:b/>
          <w:bCs/>
        </w:rPr>
        <w:t xml:space="preserve">one trajectory per window</w:t>
      </w:r>
      <w:r>
        <w:t xml:space="preserve">, no seed averaging). In both bear windows, the agent loses less than buy-and-hold with lower drawdown; bull outcomes diverge (RELIANCE lags B&amp;H; TCS nearly tracks it). We interpret heterogeneous bull results as an architectural boundary of defensive multi-stage coordination. Code: https://github.com/RMartires/hindsight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algorithmic trading; large language models; multi-agent systems; reproducibility; point-in-time data; market regimes.</w:t>
      </w:r>
    </w:p>
    <w:bookmarkStart w:id="9" w:name="introduction"/>
    <w:p>
      <w:pPr>
        <w:pStyle w:val="Heading2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Researchers are experimenting with LLMs inside trading workflows amid rapid growth in LLM-driven agent systems (B</w:t>
      </w:r>
      <w:r>
        <w:t xml:space="preserve">dic</w:t>
      </w:r>
      <w:r>
        <w:t xml:space="preserve"> </w:t>
      </w:r>
      <w:r>
        <w:t xml:space="preserve">et al., 2025), but rarely report how the</w:t>
      </w:r>
      <w:r>
        <w:t xml:space="preserve"> </w:t>
      </w:r>
      <w:r>
        <w:rPr>
          <w:b/>
          <w:bCs/>
        </w:rPr>
        <w:t xml:space="preserve">same stack</w:t>
      </w:r>
      <w:r>
        <w:t xml:space="preserve"> </w:t>
      </w:r>
      <w:r>
        <w:t xml:space="preserve">behaves across</w:t>
      </w:r>
      <w:r>
        <w:t xml:space="preserve"> </w:t>
      </w:r>
      <w:r>
        <w:rPr>
          <w:b/>
          <w:bCs/>
        </w:rPr>
        <w:t xml:space="preserve">different underlying trends</w:t>
      </w:r>
      <w:r>
        <w:t xml:space="preserve">, enforce point-in-time data at the adapter layer, or report</w:t>
      </w:r>
      <w:r>
        <w:t xml:space="preserve"> </w:t>
      </w:r>
      <w:r>
        <w:rPr>
          <w:b/>
          <w:bCs/>
        </w:rPr>
        <w:t xml:space="preserve">net</w:t>
      </w:r>
      <w:r>
        <w:t xml:space="preserve"> </w:t>
      </w:r>
      <w:r>
        <w:t xml:space="preserve">returns after stated fees.</w:t>
      </w:r>
    </w:p>
    <w:p>
      <w:pPr>
        <w:pStyle w:val="BodyText"/>
      </w:pPr>
      <w:r>
        <w:rPr>
          <w:b/>
          <w:bCs/>
        </w:rPr>
        <w:t xml:space="preserve">What this paper is.</w:t>
      </w:r>
      <w:r>
        <w:t xml:space="preserve"> </w:t>
      </w:r>
      <w:r>
        <w:rPr>
          <w:b/>
          <w:bCs/>
        </w:rPr>
        <w:t xml:space="preserve">Hindsight 20/20</w:t>
      </w:r>
      <w:r>
        <w:t xml:space="preserve"> </w:t>
      </w:r>
      <w:r>
        <w:t xml:space="preserve">extends</w:t>
      </w:r>
      <w:r>
        <w:t xml:space="preserve"> </w:t>
      </w:r>
      <w:r>
        <w:rPr>
          <w:b/>
          <w:bCs/>
        </w:rPr>
        <w:t xml:space="preserve">TradingAgents</w:t>
      </w:r>
      <w:r>
        <w:t xml:space="preserve"> </w:t>
      </w:r>
      <w:r>
        <w:t xml:space="preserve">(Xiao et al., 2024) with schema-constrained outputs, a simulation end date, optional ticker anonymization, and a scriptable fee-aware backtest tied to</w:t>
      </w:r>
      <w:r>
        <w:t xml:space="preserve"> </w:t>
      </w:r>
      <w:r>
        <w:rPr>
          <w:b/>
          <w:bCs/>
        </w:rPr>
        <w:t xml:space="preserve">frozen CSV artifacts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this paper is not.</w:t>
      </w:r>
      <w:r>
        <w:t xml:space="preserve"> </w:t>
      </w: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state-of-the-art risk-adjusted returns, regime prediction, or generalization from a broad universe. Each regime window is</w:t>
      </w:r>
      <w:r>
        <w:t xml:space="preserve"> </w:t>
      </w:r>
      <w:r>
        <w:rPr>
          <w:b/>
          <w:bCs/>
        </w:rPr>
        <w:t xml:space="preserve">N=1</w:t>
      </w:r>
      <w:r>
        <w:t xml:space="preserve"> </w:t>
      </w:r>
      <w:r>
        <w:t xml:space="preserve">(no multi-seed variance). Frontier benchmarks (Jeon and Lee, 2026; Miyazaki et al., 2026) average many seeds across index universes; our scope is narrower and labeled as such (Section 4.1).</w:t>
      </w:r>
    </w:p>
    <w:p>
      <w:pPr>
        <w:pStyle w:val="BodyText"/>
      </w:pPr>
      <w:r>
        <w:t xml:space="preserve">We evaluate the</w:t>
      </w:r>
      <w: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t xml:space="preserve">pipeline on</w:t>
      </w:r>
      <w:r>
        <w:t xml:space="preserve"> </w:t>
      </w:r>
      <w:r>
        <w:rPr>
          <w:b/>
          <w:bCs/>
        </w:rPr>
        <w:t xml:space="preserve">RELIANCE.NS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TCS.NS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four pre-specified regime windows</w:t>
      </w:r>
      <w:r>
        <w:t xml:space="preserve"> </w:t>
      </w:r>
      <w:r>
        <w:t xml:space="preserve">(bear and bull per ticker), each from $100,000 paper cash.</w:t>
      </w:r>
    </w:p>
    <w:bookmarkEnd w:id="9"/>
    <w:bookmarkStart w:id="10" w:name="related-work"/>
    <w:p>
      <w:pPr>
        <w:pStyle w:val="Heading2"/>
      </w:pPr>
      <w:r>
        <w:rPr>
          <w:rStyle w:val="SectionNumber"/>
        </w:rPr>
        <w:t xml:space="preserve">2</w:t>
      </w:r>
      <w:r>
        <w:tab/>
      </w:r>
      <w:r>
        <w:t xml:space="preserve">Related Work</w:t>
      </w:r>
    </w:p>
    <w:p>
      <w:pPr>
        <w:pStyle w:val="FirstParagraph"/>
      </w:pPr>
      <w:r>
        <w:rPr>
          <w:b/>
          <w:bCs/>
        </w:rPr>
        <w:t xml:space="preserve">LLM agents and classic MAS.</w:t>
      </w:r>
      <w:r>
        <w:t xml:space="preserve"> </w:t>
      </w:r>
      <w:r>
        <w:t xml:space="preserve">Multi-agent trading frameworks orchestrate specialist roles (Xiao et al., 2024; Yu et al., 2023; Yang et al., 2023). B</w:t>
      </w:r>
      <w:r>
        <w:t xml:space="preserve">dic</w:t>
      </w:r>
      <w:r>
        <w:t xml:space="preserve"> </w:t>
      </w:r>
      <w:r>
        <w:t xml:space="preserve">et al. (2025) contrast emergent LLM agents with classic BDI multi-agent systems.</w:t>
      </w:r>
      <w:r>
        <w:t xml:space="preserve"> </w:t>
      </w:r>
      <w:r>
        <w:rPr>
          <w:b/>
          <w:bCs/>
        </w:rPr>
        <w:t xml:space="preserve">TradingAgents</w:t>
      </w:r>
      <w:r>
        <w:t xml:space="preserve"> </w:t>
      </w:r>
      <w:r>
        <w:t xml:space="preserve">supplies our graph skeleton;</w:t>
      </w:r>
      <w:r>
        <w:t xml:space="preserve"> </w:t>
      </w:r>
      <w:r>
        <w:rPr>
          <w:b/>
          <w:bCs/>
        </w:rPr>
        <w:t xml:space="preserve">AlphaAgents</w:t>
      </w:r>
      <w:r>
        <w:t xml:space="preserve"> </w:t>
      </w:r>
      <w:r>
        <w:t xml:space="preserve">(Zhao et al., 2025) validates institution-style role separation;</w:t>
      </w:r>
      <w:r>
        <w:t xml:space="preserve"> </w:t>
      </w:r>
      <w:r>
        <w:rPr>
          <w:b/>
          <w:bCs/>
        </w:rPr>
        <w:t xml:space="preserve">QuantAgents</w:t>
      </w:r>
      <w:r>
        <w:t xml:space="preserve"> </w:t>
      </w:r>
      <w:r>
        <w:t xml:space="preserve">(Li et al., 2025) emphasizes manager-led meetings—comparators for our debate loop, but neither foregrounds adapter-level point-in-time routing or frozen schedule CSVs.</w:t>
      </w:r>
    </w:p>
    <w:p>
      <w:pPr>
        <w:pStyle w:val="BodyText"/>
      </w:pPr>
      <w:r>
        <w:rPr>
          <w:b/>
          <w:bCs/>
        </w:rPr>
        <w:t xml:space="preserve">Methodological standards and bias control.</w:t>
      </w:r>
      <w:r>
        <w:t xml:space="preserve"> </w:t>
      </w:r>
      <w:r>
        <w:t xml:space="preserve">Nguyen and Pham (2026) propose Consolidated Minimum Standards for LLM financial multi-agent evaluation—contamination control, net-of-cost returns, and regime awareness—and introduce the Coordination Breakeven Spread (CBS). Bailey et al. (2014) warn that undisclosed configuration search makes strong backtests easy to overfit; we respond with pre-specified windows and frozen artifacts. While TradingAgents provides the foundational graph, Hindsight 20/20 implements the point-in-time policy and net-cost ledger those standards recommend.</w:t>
      </w:r>
    </w:p>
    <w:p>
      <w:pPr>
        <w:pStyle w:val="BodyText"/>
      </w:pPr>
      <w:r>
        <w:rPr>
          <w:b/>
          <w:bCs/>
        </w:rPr>
        <w:t xml:space="preserve">Anonymization and fine-grained tasks.</w:t>
      </w:r>
      <w:r>
        <w:t xml:space="preserve"> </w:t>
      </w:r>
      <w:r>
        <w:t xml:space="preserve">Jeon and Lee (2026) (</w:t>
      </w:r>
      <w:r>
        <w:rPr>
          <w:i/>
          <w:iCs/>
        </w:rPr>
        <w:t xml:space="preserve">BlindTrade</w:t>
      </w:r>
      <w:r>
        <w:t xml:space="preserve">) show that identifiers such as</w:t>
      </w:r>
      <w:r>
        <w:t xml:space="preserve"> </w:t>
      </w:r>
      <w:r>
        <w:t xml:space="preserve"> </w:t>
      </w:r>
      <w:r>
        <w:t xml:space="preserve">can trigger memorized pretraining rather than active reasoning; they anonymize S&amp;P~500 names and report Sharpe 1.40,</w:t>
      </w:r>
      <m:oMath>
        <m:r>
          <m:rPr>
            <m:sty m:val="p"/>
          </m:rPr>
          <m:t>±</m:t>
        </m:r>
      </m:oMath>
      <w:r>
        <w:t xml:space="preserve">,0.22 across 20 seeds. Hindsight’s optional</w:t>
      </w:r>
      <w:r>
        <w:t xml:space="preserve"> </w:t>
      </w:r>
      <w:r>
        <w:t xml:space="preserve"> </w:t>
      </w:r>
      <w:r>
        <w:t xml:space="preserve">aliases pursue the same goal in a LangGraph replication stack. Miyazaki et al. (2026) prove fine-grained analyst sub-tasks outperform coarse prompts; our analysts are tool-bound to indicators and statements (Section~3.2). Dewansh (2026) defines</w:t>
      </w:r>
      <w:r>
        <w:t xml:space="preserve"> </w:t>
      </w:r>
      <w:r>
        <w:t xml:space="preserve"> </w:t>
      </w:r>
      <w:r>
        <w:t xml:space="preserve">and rationale persistence; our Pydantic stage outputs support audit trails from outlook to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Benchmarks and simulation realism.</w:t>
      </w:r>
      <w:r>
        <w:t xml:space="preserve"> </w:t>
      </w:r>
      <w:r>
        <w:t xml:space="preserve">Qian et al. (2026) (</w:t>
      </w:r>
      <w:r>
        <w:rPr>
          <w:i/>
          <w:iCs/>
        </w:rPr>
        <w:t xml:space="preserve">Agent Market Arena</w:t>
      </w:r>
      <w:r>
        <w:t xml:space="preserve">) show agent architecture often matters more than LLM backbone—motivating our fixed-model, regime-varying case study. Papadakis et al. (2025) (</w:t>
      </w:r>
      <w:r>
        <w:rPr>
          <w:i/>
          <w:iCs/>
        </w:rPr>
        <w:t xml:space="preserve">StockSim</w:t>
      </w:r>
      <w:r>
        <w:t xml:space="preserve">) define order-level simulation with latency and slippage; our candlestick ledger with stated fees is deliberately simpler, with StockSim-class realism as future work.</w:t>
      </w:r>
    </w:p>
    <w:p>
      <w:pPr>
        <w:pStyle w:val="BodyText"/>
      </w:pPr>
      <w:r>
        <w:rPr>
          <w:b/>
          <w:bCs/>
        </w:rPr>
        <w:t xml:space="preserve">Scope contrast.</w:t>
      </w:r>
      <w:r>
        <w:t xml:space="preserve"> </w:t>
      </w:r>
      <w:r>
        <w:t xml:space="preserve">Jeon and Lee (2026), Li et al. (2025), and Miyazaki et al. (2026) stress multi-seed index evaluation; Hindsight stresses reproducible temporal integrity on four pre-specified windows (Table 2).</w:t>
      </w:r>
    </w:p>
    <w:bookmarkEnd w:id="10"/>
    <w:bookmarkStart w:id="14" w:name="method-system"/>
    <w:p>
      <w:pPr>
        <w:pStyle w:val="Heading2"/>
      </w:pPr>
      <w:r>
        <w:rPr>
          <w:rStyle w:val="SectionNumber"/>
        </w:rPr>
        <w:t xml:space="preserve">3</w:t>
      </w:r>
      <w:r>
        <w:tab/>
      </w:r>
      <w:r>
        <w:t xml:space="preserve">Method / System</w:t>
      </w:r>
    </w:p>
    <w:p>
      <w:pPr>
        <w:pStyle w:val="FirstParagraph"/>
      </w:pPr>
      <w:r>
        <w:rPr>
          <w:b/>
          <w:bCs/>
        </w:rPr>
        <w:t xml:space="preserve">TradingAgentsGraph</w:t>
      </w:r>
      <w:r>
        <w:t xml:space="preserve">: analysts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bull/bear debate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trader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risk. Section 4 uses</w:t>
      </w:r>
      <w:r>
        <w:t xml:space="preserve"> </w:t>
      </w:r>
      <w:r>
        <w:rPr>
          <w:rStyle w:val="VerbatimChar"/>
          <w:b/>
          <w:bCs/>
        </w:rPr>
        <w:t xml:space="preserve">PAPER_ABLATION=full</w:t>
      </w:r>
      <w:r>
        <w:t xml:space="preserve">.</w:t>
      </w:r>
      <w:r>
        <w:t xml:space="preserve"> </w:t>
      </w:r>
      <w:r>
        <w:rPr>
          <w:rStyle w:val="VerbatimChar"/>
          <w:b/>
          <w:bCs/>
        </w:rPr>
        <w:t xml:space="preserve">backtest_mvp.py --dates-csv</w:t>
      </w:r>
      <w:r>
        <w:t xml:space="preserve"> </w:t>
      </w:r>
      <w:r>
        <w:t xml:space="preserve">produces wide schedule CSVs.</w:t>
      </w:r>
    </w:p>
    <w:bookmarkStart w:id="11" w:name="analyst-task-decomposition"/>
    <w:p>
      <w:pPr>
        <w:pStyle w:val="Heading3"/>
      </w:pPr>
      <w:r>
        <w:rPr>
          <w:rStyle w:val="SectionNumber"/>
        </w:rPr>
        <w:t xml:space="preserve">3.1</w:t>
      </w:r>
      <w:r>
        <w:tab/>
      </w:r>
      <w:r>
        <w:t xml:space="preserve">Analyst task decomposition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get_stock_data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get_indicators</w:t>
            </w:r>
          </w:p>
        </w:tc>
        <w:tc>
          <w:tcPr/>
          <w:p>
            <w:pPr>
              <w:pStyle w:val="Compact"/>
            </w:pPr>
            <w:r>
              <w:t xml:space="preserve">OHLCV + up to 8 Tier-1 indicators (SMA, EMA, MACD, RSI, Bollinger, ATR, VWMA, MFI)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Fundamentals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get_fundamentals</w:t>
            </w:r>
            <w:r>
              <w:t xml:space="preserve">, statements</w:t>
            </w:r>
          </w:p>
        </w:tc>
        <w:tc>
          <w:tcPr/>
          <w:p>
            <w:pPr>
              <w:pStyle w:val="Compact"/>
            </w:pPr>
            <w:r>
              <w:t xml:space="preserve">Revenue, margins, balance-sheet trends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 / Sentiment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get_news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get_global_news</w:t>
            </w:r>
          </w:p>
        </w:tc>
        <w:tc>
          <w:tcPr/>
          <w:p>
            <w:pPr>
              <w:pStyle w:val="Compact"/>
            </w:pPr>
            <w:r>
              <w:t xml:space="preserve">Company and macro news synthesis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Debate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Structured stances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BUY/HOLD/SELL</w:t>
            </w:r>
          </w:p>
        </w:tc>
      </w:tr>
    </w:tbl>
    <w:bookmarkEnd w:id="11"/>
    <w:bookmarkStart w:id="12" w:name="ticker-anonymization"/>
    <w:p>
      <w:pPr>
        <w:pStyle w:val="Heading3"/>
      </w:pPr>
      <w:r>
        <w:rPr>
          <w:rStyle w:val="SectionNumber"/>
        </w:rPr>
        <w:t xml:space="preserve">3.2</w:t>
      </w:r>
      <w:r>
        <w:tab/>
      </w:r>
      <w:r>
        <w:t xml:space="preserve">Ticker anonymization</w:t>
      </w:r>
    </w:p>
    <w:p>
      <w:pPr>
        <w:pStyle w:val="FirstParagraph"/>
      </w:pPr>
      <w:r>
        <w:t xml:space="preserve">Deterministic</w:t>
      </w:r>
      <w:r>
        <w:t xml:space="preserve"> </w:t>
      </w:r>
      <w:r>
        <w:t xml:space="preserve"> </w:t>
      </w:r>
      <w:r>
        <w:t xml:space="preserve">aliases for LLM I/O; vendor round-trip de-anonymization; news proper-noun scrubbing. Frozen E1:</w:t>
      </w:r>
      <w:r>
        <w:t xml:space="preserve"> </w:t>
      </w:r>
      <w:r>
        <w:t xml:space="preserve">.</w:t>
      </w:r>
    </w:p>
    <w:bookmarkEnd w:id="12"/>
    <w:bookmarkStart w:id="13" w:name="backtest-metrics"/>
    <w:p>
      <w:pPr>
        <w:pStyle w:val="Heading3"/>
      </w:pPr>
      <w:r>
        <w:rPr>
          <w:rStyle w:val="SectionNumber"/>
        </w:rPr>
        <w:t xml:space="preserve">3.3</w:t>
      </w:r>
      <w:r>
        <w:tab/>
      </w:r>
      <w:r>
        <w:t xml:space="preserve">Backtest metrics</w:t>
      </w:r>
    </w:p>
    <w:p>
      <w:pPr>
        <w:pStyle w:val="FirstParagraph"/>
      </w:pPr>
      <w:r>
        <w:t xml:space="preserve">We emphasize</w:t>
      </w:r>
      <w:r>
        <w:t xml:space="preserve"> </w:t>
      </w:r>
      <w:r>
        <w:rPr>
          <w:b/>
          <w:bCs/>
        </w:rPr>
        <w:t xml:space="preserve">net return</w:t>
      </w:r>
      <w:r>
        <w:t xml:space="preserve">,</w:t>
      </w:r>
      <w:r>
        <w:t xml:space="preserve"> </w:t>
      </w:r>
      <w:r>
        <w:rPr>
          <w:b/>
          <w:bCs/>
        </w:rPr>
        <w:t xml:space="preserve">MDD</w:t>
      </w:r>
      <w:r>
        <w:t xml:space="preserve">,</w:t>
      </w:r>
      <w:r>
        <w:t xml:space="preserve"> </w:t>
      </w:r>
      <w:r>
        <w:rPr>
          <w:b/>
          <w:bCs/>
        </w:rPr>
        <w:t xml:space="preserve">fee drag</w:t>
      </w:r>
      <w:r>
        <w:t xml:space="preserve">, and</w:t>
      </w:r>
      <w:r>
        <w:t xml:space="preserve"> </w:t>
      </w:r>
      <w:r>
        <w:rPr>
          <w:b/>
          <w:bCs/>
        </w:rPr>
        <w:t xml:space="preserve">alpha vs buy-and-hold</w:t>
      </w:r>
      <w:r>
        <w:t xml:space="preserve">.</w:t>
      </w:r>
      <w:r>
        <w:t xml:space="preserve"> </w:t>
      </w:r>
      <w:r>
        <w:rPr>
          <w:b/>
          <w:bCs/>
        </w:rPr>
        <w:t xml:space="preserve">Excess Sharpe</w:t>
      </w:r>
      <w:r>
        <w:t xml:space="preserve"> </w:t>
      </w:r>
      <w:r>
        <w:t xml:space="preserve">uses daily equity from frozen CSVs with a</w:t>
      </w:r>
      <w:r>
        <w:t xml:space="preserve"> </w:t>
      </w:r>
      <w:r>
        <w:rPr>
          <w:b/>
          <w:bCs/>
        </w:rPr>
        <w:t xml:space="preserve">6.5% p.a.</w:t>
      </w:r>
      <w:r>
        <w:t xml:space="preserve"> </w:t>
      </w:r>
      <w:r>
        <w:t xml:space="preserve">risk-free rate (India short-rate proxy)</w:t>
      </w:r>
      <w:r>
        <w:t xml:space="preserve">. Sortino and Calmar are secondary on short windows (67–111 days).</w:t>
      </w:r>
    </w:p>
    <w:bookmarkEnd w:id="13"/>
    <w:bookmarkEnd w:id="14"/>
    <w:bookmarkStart w:id="19" w:name="case-study-evaluation"/>
    <w:p>
      <w:pPr>
        <w:pStyle w:val="Heading2"/>
      </w:pPr>
      <w:r>
        <w:rPr>
          <w:rStyle w:val="SectionNumber"/>
        </w:rPr>
        <w:t xml:space="preserve">4</w:t>
      </w:r>
      <w:r>
        <w:tab/>
      </w:r>
      <w:r>
        <w:t xml:space="preserve">Case Study Evaluation</w:t>
      </w:r>
    </w:p>
    <w:bookmarkStart w:id="15" w:name="scope-and-limits-section-4.1"/>
    <w:p>
      <w:pPr>
        <w:pStyle w:val="Heading3"/>
      </w:pPr>
      <w:r>
        <w:rPr>
          <w:rStyle w:val="SectionNumber"/>
        </w:rPr>
        <w:t xml:space="preserve">4.1</w:t>
      </w:r>
      <w:r>
        <w:tab/>
      </w:r>
      <w:r>
        <w:t xml:space="preserve">Scope and limits (Section 4.1)</w:t>
      </w:r>
    </w:p>
    <w:p>
      <w:pPr>
        <w:pStyle w:val="FirstParagraph"/>
      </w:pPr>
      <w:r>
        <w:t xml:space="preserve">Two liquid NSE large-caps;</w:t>
      </w:r>
      <w:r>
        <w:t xml:space="preserve"> </w:t>
      </w:r>
      <w:r>
        <w:rPr>
          <w:b/>
          <w:bCs/>
        </w:rPr>
        <w:t xml:space="preserve">four regime windows</w:t>
      </w:r>
      <w:r>
        <w:t xml:space="preserve">;</w:t>
      </w:r>
      <w:r>
        <w:t xml:space="preserve"> </w:t>
      </w:r>
      <w:r>
        <w:rPr>
          <w:b/>
          <w:bCs/>
        </w:rPr>
        <w:t xml:space="preserve">N=1 trajectory per window</w:t>
      </w:r>
      <w:r>
        <w:t xml:space="preserve">; exogenous bear/bull labels ($</w:t>
      </w:r>
      <w:r>
        <w:t xml:space="preserve">$10% underlying B&amp;H); pre-specified calendars in</w:t>
      </w:r>
      <w:r>
        <w:t xml:space="preserve"> </w:t>
      </w:r>
      <w:r>
        <w:rPr>
          <w:rStyle w:val="VerbatimChar"/>
          <w:b/>
          <w:bCs/>
        </w:rPr>
        <w:t xml:space="preserve">regime-timeranges</w:t>
      </w:r>
      <w:r>
        <w:t xml:space="preserve">. Not a hypothesis test about expected alpha.</w:t>
      </w:r>
    </w:p>
    <w:bookmarkEnd w:id="15"/>
    <w:bookmarkStart w:id="16" w:name="positioning-table-2"/>
    <w:p>
      <w:pPr>
        <w:pStyle w:val="Heading3"/>
      </w:pPr>
      <w:r>
        <w:rPr>
          <w:rStyle w:val="SectionNumber"/>
        </w:rPr>
        <w:t xml:space="preserve">4.2</w:t>
      </w:r>
      <w:r>
        <w:tab/>
      </w:r>
      <w:r>
        <w:t xml:space="preserve">Positioning (Table 2)</w:t>
      </w:r>
    </w:p>
    <w:bookmarkEnd w:id="16"/>
    <w:bookmarkStart w:id="17" w:name="results"/>
    <w:p>
      <w:pPr>
        <w:pStyle w:val="Heading3"/>
      </w:pPr>
      <w:r>
        <w:rPr>
          <w:rStyle w:val="SectionNumber"/>
        </w:rPr>
        <w:t xml:space="preserve">4.3</w:t>
      </w:r>
      <w:r>
        <w:tab/>
      </w:r>
      <w:r>
        <w:t xml:space="preserve">Results</w:t>
      </w:r>
    </w:p>
    <w:p>
      <w:pPr>
        <w:pStyle w:val="FirstParagraph"/>
      </w:pPr>
      <w:r>
        <w:rPr>
          <w:b/>
          <w:bCs/>
        </w:rPr>
        <w:t xml:space="preserve">Table 1.</w:t>
      </w:r>
      <w:r>
        <w:t xml:space="preserve"> </w:t>
      </w:r>
      <w:r>
        <w:t xml:space="preserve">Primary metrics from frozen CSVs ($100,000 start).</w:t>
      </w:r>
    </w:p>
    <w:p>
      <w:pPr>
        <w:pStyle w:val="BodyText"/>
      </w:pPr>
      <w:r>
        <w:rPr>
          <w:b/>
          <w:bCs/>
        </w:rPr>
        <w:t xml:space="preserve">Table 3.</w:t>
      </w:r>
      <w:r>
        <w:t xml:space="preserve"> </w:t>
      </w:r>
      <w:r>
        <w:t xml:space="preserve">Excess Sharpe (6.5% p.a. 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), Sortino, Calmar (post-hoc on frozen equity).</w:t>
      </w:r>
    </w:p>
    <w:p>
      <w:pPr>
        <w:pStyle w:val="BodyText"/>
      </w:pPr>
      <w:r>
        <w:rPr>
          <w:b/>
          <w:bCs/>
        </w:rPr>
        <w:t xml:space="preserve">Patterns.</w:t>
      </w:r>
      <w:r>
        <w:t xml:space="preserve"> </w:t>
      </w:r>
      <w:r>
        <w:t xml:space="preserve">Bear (2/2): smaller loss and lower MDD than B&amp;H; SELL-heavy signals. Bull: TCS nearly tracks B&amp;H; RELIANCE lags despite positive return (+5.6%)—fee drag ($</w:t>
      </w:r>
      <w:r>
        <w:t xml:space="preserve">$0.6pp) does not explain the $</w:t>
      </w:r>
      <w:r>
        <w:t xml:space="preserve">$9.5pp alpha gap; defensive final policy (74 SELL days) is the plausible binding constraint. Internal bull stances can remain buy-leaning while final signals stay defensive.</w:t>
      </w:r>
    </w:p>
    <w:bookmarkEnd w:id="17"/>
    <w:bookmarkStart w:id="18" w:name="figures"/>
    <w:p>
      <w:pPr>
        <w:pStyle w:val="Heading3"/>
      </w:pPr>
      <w:r>
        <w:rPr>
          <w:rStyle w:val="SectionNumber"/>
        </w:rPr>
        <w:t xml:space="preserve">4.4</w:t>
      </w:r>
      <w:r>
        <w:tab/>
      </w:r>
      <w:r>
        <w:t xml:space="preserve">Figures</w:t>
      </w:r>
    </w:p>
    <w:bookmarkEnd w:id="18"/>
    <w:bookmarkEnd w:id="19"/>
    <w:bookmarkStart w:id="20" w:name="conclusion"/>
    <w:p>
      <w:pPr>
        <w:pStyle w:val="Heading2"/>
      </w:pPr>
      <w:r>
        <w:rPr>
          <w:rStyle w:val="SectionNumber"/>
        </w:rPr>
        <w:t xml:space="preserve">5</w:t>
      </w:r>
      <w:r>
        <w:tab/>
      </w:r>
      <w:r>
        <w:t xml:space="preserve">Conclusion</w:t>
      </w:r>
    </w:p>
    <w:p>
      <w:pPr>
        <w:pStyle w:val="FirstParagraph"/>
      </w:pPr>
      <w:r>
        <w:t xml:space="preserve">We presented a reproducible point-in-time LangGraph stack and a</w:t>
      </w:r>
      <w:r>
        <w:t xml:space="preserve"> </w:t>
      </w:r>
      <w:r>
        <w:rPr>
          <w:b/>
          <w:bCs/>
        </w:rPr>
        <w:t xml:space="preserve">scoped four-window case study</w:t>
      </w:r>
      <w:r>
        <w:t xml:space="preserve">. Bear windows show lower loss and drawdown than B&amp;H; bull outcomes are heterogeneous—an</w:t>
      </w:r>
      <w:r>
        <w:t xml:space="preserve"> </w:t>
      </w:r>
      <w:r>
        <w:rPr>
          <w:b/>
          <w:bCs/>
        </w:rPr>
        <w:t xml:space="preserve">architectural boundary</w:t>
      </w:r>
      <w:r>
        <w:t xml:space="preserve"> </w:t>
      </w:r>
      <w:r>
        <w:t xml:space="preserve">of defensive coordination, not a universal alpha claim.</w:t>
      </w:r>
    </w:p>
    <w:p>
      <w:pPr>
        <w:pStyle w:val="BodyText"/>
      </w:pPr>
      <w:r>
        <w:rPr>
          <w:b/>
          <w:bCs/>
        </w:rPr>
        <w:t xml:space="preserve">Limitations:</w:t>
      </w:r>
      <w:r>
        <w:t xml:space="preserve"> </w:t>
      </w:r>
      <w:r>
        <w:t xml:space="preserve">N=1 per window; two tickers; one LLM; anonymization not ablated; no multi-seed or index-universe evaluation; no latency CBS.</w:t>
      </w:r>
      <w:r>
        <w:t xml:space="preserve"> </w:t>
      </w:r>
      <w:r>
        <w:rPr>
          <w:b/>
          <w:bCs/>
        </w:rPr>
        <w:t xml:space="preserve">Future work:</w:t>
      </w:r>
      <w:r>
        <w:t xml:space="preserve"> </w:t>
      </w:r>
      <w:r>
        <w:t xml:space="preserve">seeds, broader PIT universes, anonymization ablations.</w:t>
      </w:r>
    </w:p>
    <w:bookmarkEnd w:id="20"/>
    <w:bookmarkStart w:id="21" w:name="contributions"/>
    <w:p>
      <w:pPr>
        <w:pStyle w:val="Heading2"/>
      </w:pPr>
      <w:r>
        <w:rPr>
          <w:rStyle w:val="SectionNumber"/>
        </w:rPr>
        <w:t xml:space="preserve">6</w:t>
      </w:r>
      <w:r>
        <w:tab/>
      </w:r>
      <w:r>
        <w:t xml:space="preserve">Contributions</w:t>
      </w:r>
    </w:p>
    <w:p>
      <w:pPr>
        <w:pStyle w:val="Compact"/>
        <w:numPr>
          <w:ilvl w:val="0"/>
          <w:numId w:val="1001"/>
        </w:numPr>
      </w:pPr>
      <w:r>
        <w:t xml:space="preserve">Reproducible backtest harness and frozen CSV artifacts.</w:t>
      </w:r>
    </w:p>
    <w:p>
      <w:pPr>
        <w:pStyle w:val="Compact"/>
        <w:numPr>
          <w:ilvl w:val="0"/>
          <w:numId w:val="1001"/>
        </w:numPr>
      </w:pPr>
      <w:r>
        <w:t xml:space="preserve">Point-in-time policy and optional anonymization.</w:t>
      </w:r>
    </w:p>
    <w:p>
      <w:pPr>
        <w:pStyle w:val="Compact"/>
        <w:numPr>
          <w:ilvl w:val="0"/>
          <w:numId w:val="1001"/>
        </w:numPr>
      </w:pPr>
      <w:r>
        <w:t xml:space="preserve">Structured Pydantic stage outputs.</w:t>
      </w:r>
    </w:p>
    <w:p>
      <w:pPr>
        <w:pStyle w:val="Compact"/>
        <w:numPr>
          <w:ilvl w:val="0"/>
          <w:numId w:val="1001"/>
        </w:numPr>
      </w:pPr>
      <w:r>
        <w:t xml:space="preserve">Multi-agent graph with tool-bound analyst decomposition.</w:t>
      </w:r>
    </w:p>
    <w:p>
      <w:pPr>
        <w:pStyle w:val="Compact"/>
        <w:numPr>
          <w:ilvl w:val="0"/>
          <w:numId w:val="1001"/>
        </w:numPr>
      </w:pPr>
      <w:r>
        <w:t xml:space="preserve">Honest regime-conditioned case study with documented limits.</w:t>
      </w:r>
    </w:p>
    <w:bookmarkEnd w:id="21"/>
    <w:bookmarkStart w:id="22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The agent graph implementation builds on</w:t>
      </w:r>
      <w:r>
        <w:t xml:space="preserve"> </w:t>
      </w:r>
      <w:r>
        <w:rPr>
          <w:b/>
          <w:bCs/>
        </w:rPr>
        <w:t xml:space="preserve">TradingAgents</w:t>
      </w:r>
      <w:r>
        <w:t xml:space="preserve"> </w:t>
      </w:r>
      <w:r>
        <w:t xml:space="preserve">(Xiao et al., 2024; Tauric Research, Apache License 2.0).</w:t>
      </w:r>
    </w:p>
    <w:bookmarkEnd w:id="22"/>
    <w:bookmarkStart w:id="23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B</w:t>
      </w:r>
      <w:r>
        <w:t xml:space="preserve">dic</w:t>
      </w:r>
      <w:r>
        <w:t xml:space="preserve">, C., B</w:t>
      </w:r>
      <w:r>
        <w:t xml:space="preserve">dic</w:t>
      </w:r>
      <w:r>
        <w:t xml:space="preserve">, A., Ganzha, M., Ivanovi'c, M., Paprzycki, M., Seli</w:t>
      </w:r>
      <w:r>
        <w:t xml:space="preserve">teanu, D. and Wrona, Z., 2025. Contemporary Agent Technology: LLM-Driven Advancements vs Classic Multi-Agent Systems.</w:t>
      </w:r>
      <w:r>
        <w:t xml:space="preserve"> </w:t>
      </w:r>
      <w:r>
        <w:t xml:space="preserve"> </w:t>
      </w:r>
      <w:r>
        <w:t xml:space="preserve">arXiv:2509.02515 [cs.MA].</w:t>
      </w:r>
      <w:r>
        <w:t xml:space="preserve"> </w:t>
      </w:r>
    </w:p>
    <w:p>
      <w:pPr>
        <w:pStyle w:val="BodyText"/>
      </w:pPr>
      <w:r>
        <w:t xml:space="preserve">Bailey, D.H., Borwein, J.M., L'opez de Prado, M. and Zhu, Q.J., 2014. Pseudo-Mathematics and Financial Charlatanism: The Effects of Backtest Overfitting on Out-of-Sample Performance.</w:t>
      </w:r>
      <w:r>
        <w:t xml:space="preserve"> </w:t>
      </w:r>
      <w:r>
        <w:t xml:space="preserve">, 61(5), pp.458–471.</w:t>
      </w:r>
      <w:r>
        <w:t xml:space="preserve"> </w:t>
      </w:r>
    </w:p>
    <w:p>
      <w:pPr>
        <w:pStyle w:val="BodyText"/>
      </w:pPr>
      <w:r>
        <w:t xml:space="preserve">Dewansh, S., 2026. Policy Convergence and Explainable Stability in Orchestrated Multi-Agent LLM Trading Frameworks.</w:t>
      </w:r>
      <w:r>
        <w:t xml:space="preserve"> </w:t>
      </w:r>
      <w:r>
        <w:t xml:space="preserve">, 12(2), pp.058–064.</w:t>
      </w:r>
      <w:r>
        <w:t xml:space="preserve"> </w:t>
      </w:r>
    </w:p>
    <w:p>
      <w:pPr>
        <w:pStyle w:val="BodyText"/>
      </w:pPr>
      <w:r>
        <w:t xml:space="preserve">Jeon, J. and Lee, H., 2026. Can Blindfolded LLMs Still Trade? An Anonymization-First Framework for Portfolio Optimization.</w:t>
      </w:r>
      <w:r>
        <w:t xml:space="preserve"> </w:t>
      </w:r>
      <w:r>
        <w:t xml:space="preserve"> </w:t>
      </w:r>
      <w:r>
        <w:t xml:space="preserve">arXiv:2603.17692 [cs.LG].</w:t>
      </w:r>
      <w:r>
        <w:t xml:space="preserve"> </w:t>
      </w:r>
    </w:p>
    <w:p>
      <w:pPr>
        <w:pStyle w:val="BodyText"/>
      </w:pPr>
      <w:r>
        <w:t xml:space="preserve">Li, X., Zeng, Y., Xing, X., Xu, J. and Xu, X., 2025. QuantAgents: Towards Multi-agent Financial System via Simulated Trading. In</w:t>
      </w:r>
      <w:r>
        <w:t xml:space="preserve"> </w:t>
      </w:r>
      <w:r>
        <w:t xml:space="preserve">, pp.17438–17464, Suzhou, China.</w:t>
      </w:r>
      <w:r>
        <w:t xml:space="preserve"> </w:t>
      </w:r>
    </w:p>
    <w:p>
      <w:pPr>
        <w:pStyle w:val="BodyText"/>
      </w:pPr>
      <w:r>
        <w:t xml:space="preserve">Miyazaki, K., Kawahara, T., Roberts, S. and Zohren, S., 2026. Toward Expert Investment Teams: A Multi-Agent LLM System with Fine-Grained Trading Tasks.</w:t>
      </w:r>
      <w:r>
        <w:t xml:space="preserve"> </w:t>
      </w:r>
      <w:r>
        <w:t xml:space="preserve"> </w:t>
      </w:r>
      <w:r>
        <w:t xml:space="preserve">arXiv:2602.23330 [cs.AI].</w:t>
      </w:r>
      <w:r>
        <w:t xml:space="preserve"> </w:t>
      </w:r>
    </w:p>
    <w:p>
      <w:pPr>
        <w:pStyle w:val="BodyText"/>
      </w:pPr>
      <w:r>
        <w:t xml:space="preserve">Nguyen, P. and Pham, T., 2026. Toward Reliable Evaluation of LLM-Based Financial Multi-Agent Systems: Taxonomy, Coordination Primacy, and Cost Awareness.</w:t>
      </w:r>
      <w:r>
        <w:t xml:space="preserve"> </w:t>
      </w:r>
      <w:r>
        <w:t xml:space="preserve"> </w:t>
      </w:r>
      <w:r>
        <w:t xml:space="preserve">arXiv:2603.27539 [cs.MA].</w:t>
      </w:r>
      <w:r>
        <w:t xml:space="preserve"> </w:t>
      </w:r>
    </w:p>
    <w:p>
      <w:pPr>
        <w:pStyle w:val="BodyText"/>
      </w:pPr>
      <w:r>
        <w:t xml:space="preserve">Papadakis, C., Filandrianos, G., Dimitriou, A., Lymperaiou, M., Thomas, K. and Stamou, G., 2025. StockSim: A Dual-Mode Order-Level Simulator for Evaluating Multi-Agent LLMs in Financial Markets.</w:t>
      </w:r>
      <w:r>
        <w:t xml:space="preserve"> </w:t>
      </w:r>
      <w:r>
        <w:t xml:space="preserve"> </w:t>
      </w:r>
      <w:r>
        <w:t xml:space="preserve">arXiv:2507.09255 [cs.CE].</w:t>
      </w:r>
      <w:r>
        <w:t xml:space="preserve"> </w:t>
      </w:r>
    </w:p>
    <w:p>
      <w:pPr>
        <w:pStyle w:val="BodyText"/>
      </w:pPr>
      <w:r>
        <w:t xml:space="preserve">Qian, L., Peng, X., Wang, Y., Zhang, V.J., He, H., Li, Z., Smith, H., Han, Y., He, Y., Li, H., Cao, Y., Yu, Y., Lopez-Lira, A., Lu, P., Nie, J.-Y., Xiong, G., Huang, J. and Ananiadou, S., 2026. When Agents Trade: Live Multi-Market Trading Arena for LLM Agents. In</w:t>
      </w:r>
      <w:r>
        <w:t xml:space="preserve"> 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Xiao, Y., Sun, E., Luo, D. and Wang, W., 2024. TradingAgents: Multi-Agents LLM Financial Trading Framework.</w:t>
      </w:r>
      <w:r>
        <w:t xml:space="preserve"> </w:t>
      </w:r>
      <w:r>
        <w:t xml:space="preserve"> </w:t>
      </w:r>
      <w:r>
        <w:t xml:space="preserve">arXiv:2412.20138 [q-fin.TR].</w:t>
      </w:r>
      <w:r>
        <w:t xml:space="preserve"> </w:t>
      </w:r>
    </w:p>
    <w:p>
      <w:pPr>
        <w:pStyle w:val="BodyText"/>
      </w:pPr>
      <w:r>
        <w:t xml:space="preserve">Yang, H., Liu, X.-Y. and Wang, C.D., 2023. FinGPT: Open-Source Financial Large Language Models.</w:t>
      </w:r>
      <w:r>
        <w:t xml:space="preserve"> </w:t>
      </w:r>
      <w:r>
        <w:t xml:space="preserve"> </w:t>
      </w:r>
      <w:r>
        <w:t xml:space="preserve">arXiv:2306.06031 [q-fin.ST].</w:t>
      </w:r>
      <w:r>
        <w:t xml:space="preserve"> </w:t>
      </w:r>
    </w:p>
    <w:p>
      <w:pPr>
        <w:pStyle w:val="BodyText"/>
      </w:pPr>
      <w:r>
        <w:t xml:space="preserve">Yu, Y., Li, H., Chen, Z., Jiang, Y., Li, Y., Zhang, D., Liu, R., Suchow, J.W. and Khashanah, K., 2023. FinMem: A Performance-Enhanced LLM Trading Agent with Layered Memory and Character Design.</w:t>
      </w:r>
      <w:r>
        <w:t xml:space="preserve"> </w:t>
      </w:r>
      <w:r>
        <w:t xml:space="preserve"> </w:t>
      </w:r>
      <w:r>
        <w:t xml:space="preserve">arXiv:2311.13743 [q-fin.CP].</w:t>
      </w:r>
      <w:r>
        <w:t xml:space="preserve"> </w:t>
      </w:r>
    </w:p>
    <w:p>
      <w:pPr>
        <w:pStyle w:val="BodyText"/>
      </w:pPr>
      <w:r>
        <w:t xml:space="preserve">Zhao, T., Lyu, J., Jones, S., Garber, H., Pasquali, S. and Mehta, D., 2025. AlphaAgents: Large Language Model based Multi-Agents for Equity Portfolio Constructions.</w:t>
      </w:r>
      <w:r>
        <w:t xml:space="preserve"> </w:t>
      </w:r>
      <w:r>
        <w:t xml:space="preserve"> </w:t>
      </w:r>
      <w:r>
        <w:t xml:space="preserve">arXiv:2508.11152 [q-fin.ST].</w:t>
      </w:r>
      <w:r>
        <w:t xml:space="preserve"> 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Point-in-Time Multi-Agent LLM Trading: A Reproducible LangGraph Stack with Regime-Conditioned Case Study Evaluation and Fair Backtesting</dc:title>
  <dc:creator/>
  <cp:keywords/>
  <dcterms:created xsi:type="dcterms:W3CDTF">2026-05-29T14:27:38Z</dcterms:created>
  <dcterms:modified xsi:type="dcterms:W3CDTF">2026-05-29T14:27:38Z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Published LLM trading stacks are often hard to reproduce, rarely enforce temporal data boundaries, and seldom report net returns after fees. We present Hindsight 20/20, an open LangGraph stack with structured Pydantic outputs, point-in-time data access, optional ticker anonymization, and a fee-aware paper backtest. The primary contribution is reproducible systems engineering with frozen CSV artifacts—not a universe-scale alpha benchmark. As an illustrative case study, we evaluate the full pipeline on RELIANCE.NS and TCS.NS in four pre-specified regime windows (two tickers \times exogenous bear/bull labels; one trajectory per window, no seed averaging). In both bear windows, the agent loses less than buy-and-hold with lower drawdown; bull outcomes diverge (RELIANCE lags B&amp;H; TCS nearly tracks it). We interpret heterogeneous bull results as an architectural boundary of defensive multi-stage coordination. Code: https://github.com/RMartires/hindsight</vt:lpwstr>
  </property>
  <property fmtid="{D5CDD505-2E9C-101B-9397-08002B2CF9AE}" pid="3" name="date">
    <vt:lpwstr>29 May 2026</vt:lpwstr>
  </property>
  <property fmtid="{D5CDD505-2E9C-101B-9397-08002B2CF9AE}" pid="4" name="documentclass">
    <vt:lpwstr>article</vt:lpwstr>
  </property>
  <property fmtid="{D5CDD505-2E9C-101B-9397-08002B2CF9AE}" pid="5" name="fontsize">
    <vt:lpwstr>12pt</vt:lpwstr>
  </property>
  <property fmtid="{D5CDD505-2E9C-101B-9397-08002B2CF9AE}" pid="6" name="geometry">
    <vt:lpwstr>margin=1in</vt:lpwstr>
  </property>
  <property fmtid="{D5CDD505-2E9C-101B-9397-08002B2CF9AE}" pid="7" name="header-includes">
    <vt:lpwstr/>
  </property>
  <property fmtid="{D5CDD505-2E9C-101B-9397-08002B2CF9AE}" pid="8" name="numbersections">
    <vt:lpwstr>True</vt:lpwstr>
  </property>
</Properties>
</file>