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Point-in-Time Multi-Agent LLM Trading: A Reproducible LangGraph Stack with Regime-Conditioned Evaluation and Fair Backtesting</w:t>
      </w:r>
    </w:p>
    <w:p>
      <w:pPr>
        <w:pStyle w:val="Date"/>
      </w:pPr>
      <w:r>
        <w:t xml:space="preserve">29 May 2026</w:t>
      </w:r>
    </w:p>
    <w:p>
      <w:pPr>
        <w:pStyle w:val="AbstractTitle"/>
      </w:pPr>
      <w:r>
        <w:t xml:space="preserve">Abstract</w:t>
      </w:r>
    </w:p>
    <w:p>
      <w:pPr>
        <w:pStyle w:val="Abstract"/>
      </w:pPr>
      <w:r>
        <w:t xml:space="preserve">Large language models are increasingly used in financial decision pipelines, yet published agent stacks are often hard to reproduce and rarely evaluated under distinct market conditions on historical as-of dates. We present</w:t>
      </w:r>
      <w:r>
        <w:t xml:space="preserve"> </w:t>
      </w:r>
      <w:r>
        <w:rPr>
          <w:b/>
          <w:bCs/>
        </w:rPr>
        <w:t xml:space="preserve">Hindsight 20/20</w:t>
      </w:r>
      <w:r>
        <w:t xml:space="preserve">, an open</w:t>
      </w:r>
      <w:r>
        <w:t xml:space="preserve"> </w:t>
      </w:r>
      <w:r>
        <w:rPr>
          <w:b/>
          <w:bCs/>
        </w:rPr>
        <w:t xml:space="preserve">LangGraph</w:t>
      </w:r>
      <w:r>
        <w:t xml:space="preserve"> </w:t>
      </w:r>
      <w:r>
        <w:t xml:space="preserve">stack with structured</w:t>
      </w:r>
      <w:r>
        <w:t xml:space="preserve"> </w:t>
      </w:r>
      <w:r>
        <w:rPr>
          <w:b/>
          <w:bCs/>
        </w:rPr>
        <w:t xml:space="preserve">Pydantic</w:t>
      </w:r>
      <w:r>
        <w:t xml:space="preserve"> </w:t>
      </w:r>
      <w:r>
        <w:t xml:space="preserve">outputs, point-in-time data access, optional</w:t>
      </w:r>
      <w:r>
        <w:t xml:space="preserve"> </w:t>
      </w:r>
      <w:r>
        <w:rPr>
          <w:b/>
          <w:bCs/>
        </w:rPr>
        <w:t xml:space="preserve">ticker anonymization</w:t>
      </w:r>
      <w:r>
        <w:t xml:space="preserve">, and a fee-aware</w:t>
      </w:r>
      <w:r>
        <w:t xml:space="preserve"> </w:t>
      </w:r>
      <w:r>
        <w:rPr>
          <w:b/>
          <w:bCs/>
        </w:rPr>
        <w:t xml:space="preserve">paper backtest</w:t>
      </w:r>
      <w:r>
        <w:t xml:space="preserve">. We evaluate the</w:t>
      </w:r>
      <w:r>
        <w:t xml:space="preserve"> </w:t>
      </w:r>
      <w:r>
        <w:rPr>
          <w:b/>
          <w:bCs/>
        </w:rPr>
        <w:t xml:space="preserve">full</w:t>
      </w:r>
      <w:r>
        <w:t xml:space="preserve"> </w:t>
      </w:r>
      <w:r>
        <w:t xml:space="preserve">pipeline on</w:t>
      </w:r>
      <w:r>
        <w:t xml:space="preserve"> </w:t>
      </w:r>
      <w:r>
        <w:rPr>
          <w:b/>
          <w:bCs/>
        </w:rPr>
        <w:t xml:space="preserve">RELIANCE.NS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TCS.NS</w:t>
      </w:r>
      <w:r>
        <w:t xml:space="preserve"> </w:t>
      </w:r>
      <w:r>
        <w:t xml:space="preserve">in</w:t>
      </w:r>
      <w:r>
        <w:t xml:space="preserve"> </w:t>
      </w:r>
      <w:r>
        <w:rPr>
          <w:b/>
          <w:bCs/>
        </w:rPr>
        <w:t xml:space="preserve">exogenous bear and bull windows</w:t>
      </w:r>
      <w:r>
        <w:t xml:space="preserve"> </w:t>
      </w:r>
      <w:r>
        <w:t xml:space="preserve">(per-ticker underlying return at most -10% or at least +10%), each from $100,000 paper cash. In</w:t>
      </w:r>
      <w:r>
        <w:t xml:space="preserve"> </w:t>
      </w:r>
      <w:r>
        <w:rPr>
          <w:b/>
          <w:bCs/>
        </w:rPr>
        <w:t xml:space="preserve">both bear windows</w:t>
      </w:r>
      <w:r>
        <w:t xml:space="preserve">, the agent loses less than buy-and-hold; in</w:t>
      </w:r>
      <w:r>
        <w:t xml:space="preserve"> </w:t>
      </w:r>
      <w:r>
        <w:rPr>
          <w:b/>
          <w:bCs/>
        </w:rPr>
        <w:t xml:space="preserve">bull windows</w:t>
      </w:r>
      <w:r>
        <w:t xml:space="preserve">, outcomes diverge (RELIANCE lags B&amp;H; TCS nearly tracks it). Frozen CSV artifacts reproduce tables and figures. Code and artifacts: https://github.com/RMartires/hindsight</w:t>
      </w:r>
    </w:p>
    <w:p>
      <w:pPr>
        <w:pStyle w:val="FirstParagraph"/>
      </w:pPr>
      <w:r>
        <w:rPr>
          <w:b/>
          <w:bCs/>
        </w:rPr>
        <w:t xml:space="preserve">Keywords:</w:t>
      </w:r>
      <w:r>
        <w:t xml:space="preserve"> </w:t>
      </w:r>
      <w:r>
        <w:t xml:space="preserve">algorithmic trading; large language models; multi-agent systems; reproducibility; point-in-time data; market regimes.</w:t>
      </w:r>
    </w:p>
    <w:bookmarkStart w:id="9" w:name="introduction"/>
    <w:p>
      <w:pPr>
        <w:pStyle w:val="Heading2"/>
      </w:pPr>
      <w:r>
        <w:rPr>
          <w:rStyle w:val="SectionNumber"/>
        </w:rPr>
        <w:t xml:space="preserve">1</w:t>
      </w:r>
      <w:r>
        <w:tab/>
      </w:r>
      <w:r>
        <w:t xml:space="preserve">Introduction</w:t>
      </w:r>
    </w:p>
    <w:p>
      <w:pPr>
        <w:pStyle w:val="FirstParagraph"/>
      </w:pPr>
      <w:r>
        <w:t xml:space="preserve">Researchers are experimenting with LLMs inside trading workflows, but rarely report how the</w:t>
      </w:r>
      <w:r>
        <w:t xml:space="preserve"> </w:t>
      </w:r>
      <w:r>
        <w:rPr>
          <w:b/>
          <w:bCs/>
        </w:rPr>
        <w:t xml:space="preserve">same stack</w:t>
      </w:r>
      <w:r>
        <w:t xml:space="preserve"> </w:t>
      </w:r>
      <w:r>
        <w:t xml:space="preserve">behaves across</w:t>
      </w:r>
      <w:r>
        <w:t xml:space="preserve"> </w:t>
      </w:r>
      <w:r>
        <w:rPr>
          <w:b/>
          <w:bCs/>
        </w:rPr>
        <w:t xml:space="preserve">different underlying trends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more than one issuer</w:t>
      </w:r>
      <w:r>
        <w:t xml:space="preserve">.</w:t>
      </w:r>
      <w:r>
        <w:t xml:space="preserve"> </w:t>
      </w:r>
      <w:r>
        <w:rPr>
          <w:b/>
          <w:bCs/>
        </w:rPr>
        <w:t xml:space="preserve">Hindsight 20/20</w:t>
      </w:r>
      <w:r>
        <w:t xml:space="preserve"> </w:t>
      </w:r>
      <w:r>
        <w:t xml:space="preserve">extends the open-source</w:t>
      </w:r>
      <w:r>
        <w:t xml:space="preserve"> </w:t>
      </w:r>
      <w:r>
        <w:rPr>
          <w:b/>
          <w:bCs/>
        </w:rPr>
        <w:t xml:space="preserve">TradingAgents</w:t>
      </w:r>
      <w:r>
        <w:t xml:space="preserve"> </w:t>
      </w:r>
      <w:r>
        <w:t xml:space="preserve">multi-agent LangGraph framework (Xiao et al., 2024) with point-in-time data access, optional ticker anonymization, and a reproducible backtest harness; we evaluate this extended stack under exogenous bear and bull windows. We evaluate the</w:t>
      </w:r>
      <w:r>
        <w:t xml:space="preserve"> </w:t>
      </w:r>
      <w:r>
        <w:rPr>
          <w:b/>
          <w:bCs/>
        </w:rPr>
        <w:t xml:space="preserve">full</w:t>
      </w:r>
      <w:r>
        <w:t xml:space="preserve"> </w:t>
      </w:r>
      <w:r>
        <w:t xml:space="preserve">pipeline on</w:t>
      </w:r>
      <w:r>
        <w:t xml:space="preserve"> </w:t>
      </w:r>
      <w:r>
        <w:rPr>
          <w:b/>
          <w:bCs/>
        </w:rPr>
        <w:t xml:space="preserve">RELIANCE.NS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TCS.NS</w:t>
      </w:r>
      <w:r>
        <w:t xml:space="preserve"> </w:t>
      </w:r>
      <w:r>
        <w:t xml:space="preserve">in four independent runs (bear and bull per ticker). The implementation, frozen evaluation artifacts, and figure scripts are available at</w:t>
      </w:r>
      <w:r>
        <w:t xml:space="preserve"> </w:t>
      </w:r>
      <w:r>
        <w:t xml:space="preserve">. Section 2 surveys related work; Section 3 the system; Section 4 results; Section 5 concludes; Section 6 lists contributions.</w:t>
      </w:r>
    </w:p>
    <w:bookmarkEnd w:id="9"/>
    <w:bookmarkStart w:id="10" w:name="related-work"/>
    <w:p>
      <w:pPr>
        <w:pStyle w:val="Heading2"/>
      </w:pPr>
      <w:r>
        <w:rPr>
          <w:rStyle w:val="SectionNumber"/>
        </w:rPr>
        <w:t xml:space="preserve">2</w:t>
      </w:r>
      <w:r>
        <w:tab/>
      </w:r>
      <w:r>
        <w:t xml:space="preserve">Related Work</w:t>
      </w:r>
    </w:p>
    <w:p>
      <w:pPr>
        <w:pStyle w:val="FirstParagraph"/>
      </w:pPr>
      <w:r>
        <w:rPr>
          <w:b/>
          <w:bCs/>
        </w:rPr>
        <w:t xml:space="preserve">LLM trading agents</w:t>
      </w:r>
      <w:r>
        <w:t xml:space="preserve"> </w:t>
      </w:r>
      <w:r>
        <w:t xml:space="preserve">motivate multi-role graphs (Xiao et al., 2024; Yu et al., 2023; Yang et al., 2023). We emphasize reproducible engineering: one codepath, schema-constrained outputs, temporal controls, CSV artifacts.</w:t>
      </w:r>
    </w:p>
    <w:p>
      <w:pPr>
        <w:pStyle w:val="BodyText"/>
      </w:pPr>
      <w:r>
        <w:rPr>
          <w:b/>
          <w:bCs/>
        </w:rPr>
        <w:t xml:space="preserve">Point-in-time data and leakage</w:t>
      </w:r>
      <w:r>
        <w:t xml:space="preserve"> </w:t>
      </w:r>
      <w:r>
        <w:t xml:space="preserve">require explicit simulation horizons and optional anonymization.</w:t>
      </w:r>
    </w:p>
    <w:p>
      <w:pPr>
        <w:pStyle w:val="BodyText"/>
      </w:pPr>
      <w:r>
        <w:rPr>
          <w:b/>
          <w:bCs/>
        </w:rPr>
        <w:t xml:space="preserve">Regime-split evaluation</w:t>
      </w:r>
      <w:r>
        <w:t xml:space="preserve"> </w:t>
      </w:r>
      <w:r>
        <w:t xml:space="preserve">on the same implementation is uncommon; we report four frozen runs with</w:t>
      </w:r>
      <w:r>
        <w:t xml:space="preserve"> </w:t>
      </w:r>
      <w:r>
        <w:rPr>
          <w:b/>
          <w:bCs/>
        </w:rPr>
        <w:t xml:space="preserve">per-ticker calendars</w:t>
      </w:r>
      <w:r>
        <w:t xml:space="preserve">, not regime prediction.</w:t>
      </w:r>
    </w:p>
    <w:p>
      <w:pPr>
        <w:pStyle w:val="BodyText"/>
      </w:pPr>
      <w:r>
        <w:rPr>
          <w:b/>
          <w:bCs/>
        </w:rPr>
        <w:t xml:space="preserve">Execution realism</w:t>
      </w:r>
      <w:r>
        <w:t xml:space="preserve"> </w:t>
      </w:r>
      <w:r>
        <w:t xml:space="preserve">via a paper ledger with stated fees.</w:t>
      </w:r>
    </w:p>
    <w:bookmarkEnd w:id="10"/>
    <w:bookmarkStart w:id="13" w:name="method-system"/>
    <w:p>
      <w:pPr>
        <w:pStyle w:val="Heading2"/>
      </w:pPr>
      <w:r>
        <w:rPr>
          <w:rStyle w:val="SectionNumber"/>
        </w:rPr>
        <w:t xml:space="preserve">3</w:t>
      </w:r>
      <w:r>
        <w:tab/>
      </w:r>
      <w:r>
        <w:t xml:space="preserve">Method / System</w:t>
      </w:r>
    </w:p>
    <w:p>
      <w:pPr>
        <w:pStyle w:val="FirstParagraph"/>
      </w:pPr>
      <w:r>
        <w:rPr>
          <w:b/>
          <w:bCs/>
        </w:rPr>
        <w:t xml:space="preserve">TradingAgentsGraph</w:t>
      </w:r>
      <w:r>
        <w:t xml:space="preserve"> </w:t>
      </w:r>
      <w:r>
        <w:t xml:space="preserve">composes analysts, bull/bear</w:t>
      </w:r>
      <w:r>
        <w:t xml:space="preserve"> </w:t>
      </w:r>
      <w:r>
        <w:rPr>
          <w:b/>
          <w:bCs/>
        </w:rPr>
        <w:t xml:space="preserve">debate roles</w:t>
      </w:r>
      <w:r>
        <w:t xml:space="preserve"> </w:t>
      </w:r>
      <w:r>
        <w:t xml:space="preserve">(internal agents, distinct from market regimes), trader, and risk. Core analyst → debate → trader → risk routing follows</w:t>
      </w:r>
      <w:r>
        <w:t xml:space="preserve"> </w:t>
      </w:r>
      <w:r>
        <w:rPr>
          <w:b/>
          <w:bCs/>
        </w:rPr>
        <w:t xml:space="preserve">TradingAgents</w:t>
      </w:r>
      <w:r>
        <w:t xml:space="preserve"> </w:t>
      </w:r>
      <w:r>
        <w:t xml:space="preserve">(Xiao et al., 2024); our modifications focus on temporal data policy, schema-constrained outputs, and the backtest/evaluation pipeline described below. Section 4 uses</w:t>
      </w:r>
      <w:r>
        <w:t xml:space="preserve"> </w:t>
      </w:r>
      <w:r>
        <w:rPr>
          <w:rStyle w:val="VerbatimChar"/>
          <w:b/>
          <w:bCs/>
        </w:rPr>
        <w:t xml:space="preserve">PAPER_ABLATION=full</w:t>
      </w:r>
      <w:r>
        <w:t xml:space="preserve">.</w:t>
      </w:r>
      <w:r>
        <w:t xml:space="preserve"> </w:t>
      </w:r>
      <w:r>
        <w:rPr>
          <w:rStyle w:val="VerbatimChar"/>
          <w:b/>
          <w:bCs/>
        </w:rPr>
        <w:t xml:space="preserve">backtest_mvp.py --dates-csv</w:t>
      </w:r>
      <w:r>
        <w:t xml:space="preserve"> </w:t>
      </w:r>
      <w:r>
        <w:t xml:space="preserve">produces wide schedule CSVs.</w:t>
      </w:r>
    </w:p>
    <w:bookmarkStart w:id="11" w:name="ticker-anonymization"/>
    <w:p>
      <w:pPr>
        <w:pStyle w:val="Heading3"/>
      </w:pPr>
      <w:r>
        <w:rPr>
          <w:rStyle w:val="SectionNumber"/>
        </w:rPr>
        <w:t xml:space="preserve">3.1</w:t>
      </w:r>
      <w:r>
        <w:tab/>
      </w:r>
      <w:r>
        <w:t xml:space="preserve">Ticker anonymization</w:t>
      </w:r>
    </w:p>
    <w:p>
      <w:pPr>
        <w:pStyle w:val="FirstParagraph"/>
      </w:pPr>
      <w:r>
        <w:t xml:space="preserve">Large language models trained on public text often encode firm-specific narratives—brand reputation, sector themes, and historical events—tied to ticker symbols and company names. In a point-in-time backtest, that</w:t>
      </w:r>
      <w:r>
        <w:t xml:space="preserve"> </w:t>
      </w:r>
      <w:r>
        <w:rPr>
          <w:b/>
          <w:bCs/>
        </w:rPr>
        <w:t xml:space="preserve">pretraining leakage</w:t>
      </w:r>
      <w:r>
        <w:t xml:space="preserve"> </w:t>
      </w:r>
      <w:r>
        <w:t xml:space="preserve">can bias decisions: the same vendor data may elicit different agent behavior on</w:t>
      </w:r>
      <w:r>
        <w:t xml:space="preserve"> </w:t>
      </w:r>
      <w:r>
        <w:rPr>
          <w:rStyle w:val="VerbatimChar"/>
        </w:rPr>
        <w:t xml:space="preserve">RELIANCE.NS</w:t>
      </w:r>
      <w:r>
        <w:t xml:space="preserve"> </w:t>
      </w:r>
      <w:r>
        <w:t xml:space="preserve">versus an unseen alias. Hindsight 20/20 optionally</w:t>
      </w:r>
      <w:r>
        <w:t xml:space="preserve"> </w:t>
      </w:r>
      <w:r>
        <w:rPr>
          <w:b/>
          <w:bCs/>
        </w:rPr>
        <w:t xml:space="preserve">anonymizes the issuer</w:t>
      </w:r>
      <w:r>
        <w:t xml:space="preserve"> </w:t>
      </w:r>
      <w:r>
        <w:t xml:space="preserve">for all LLM-facing prompts and tool outputs: each real symbol maps to a deterministic synthetic id (</w:t>
      </w:r>
      <w:r>
        <w:rPr>
          <w:rStyle w:val="VerbatimChar"/>
        </w:rPr>
        <w:t xml:space="preserve">STOCK_####</w:t>
      </w:r>
      <w:r>
        <w:t xml:space="preserve">, hash-derived); tool wrappers</w:t>
      </w:r>
      <w:r>
        <w:t xml:space="preserve"> </w:t>
      </w:r>
      <w:r>
        <w:rPr>
          <w:b/>
          <w:bCs/>
        </w:rPr>
        <w:t xml:space="preserve">de-anonymize</w:t>
      </w:r>
      <w:r>
        <w:t xml:space="preserve"> </w:t>
      </w:r>
      <w:r>
        <w:t xml:space="preserve">before market-data API calls, then</w:t>
      </w:r>
      <w:r>
        <w:t xml:space="preserve"> </w:t>
      </w:r>
      <w:r>
        <w:rPr>
          <w:b/>
          <w:bCs/>
        </w:rPr>
        <w:t xml:space="preserve">re-scrub</w:t>
      </w:r>
      <w:r>
        <w:t xml:space="preserve"> </w:t>
      </w:r>
      <w:r>
        <w:t xml:space="preserve">responses; news headlines additionally pass through a lightweight proper-noun scrubber. Frozen E1 runs use</w:t>
      </w:r>
      <w:r>
        <w:t xml:space="preserve"> </w:t>
      </w:r>
      <w:r>
        <w:rPr>
          <w:rStyle w:val="VerbatimChar"/>
          <w:b/>
          <w:bCs/>
        </w:rPr>
        <w:t xml:space="preserve">enable_anonymization=True</w:t>
      </w:r>
      <w:r>
        <w:t xml:space="preserve"> </w:t>
      </w:r>
      <w:r>
        <w:t xml:space="preserve">(default in</w:t>
      </w:r>
      <w:r>
        <w:t xml:space="preserve"> </w:t>
      </w:r>
      <w:r>
        <w:rPr>
          <w:rStyle w:val="VerbatimChar"/>
        </w:rPr>
        <w:t xml:space="preserve">backtest_mvp.py</w:t>
      </w:r>
      <w:r>
        <w:t xml:space="preserve">). We do not ablate anonymization in Section 4—reporting with it</w:t>
      </w:r>
      <w:r>
        <w:t xml:space="preserve"> </w:t>
      </w:r>
      <w:r>
        <w:rPr>
          <w:b/>
          <w:bCs/>
        </w:rPr>
        <w:t xml:space="preserve">on</w:t>
      </w:r>
      <w:r>
        <w:t xml:space="preserve"> </w:t>
      </w:r>
      <w:r>
        <w:t xml:space="preserve">is a conservative choice that reduces name-based bias when comparing regimes and tickers.</w:t>
      </w:r>
    </w:p>
    <w:bookmarkEnd w:id="11"/>
    <w:bookmarkStart w:id="12" w:name="backtest-metrics"/>
    <w:p>
      <w:pPr>
        <w:pStyle w:val="Heading3"/>
      </w:pPr>
      <w:r>
        <w:rPr>
          <w:rStyle w:val="SectionNumber"/>
        </w:rPr>
        <w:t xml:space="preserve">3.2</w:t>
      </w:r>
      <w:r>
        <w:tab/>
      </w:r>
      <w:r>
        <w:t xml:space="preserve">Backtest metrics</w:t>
      </w:r>
    </w:p>
    <w:p>
      <w:pPr>
        <w:pStyle w:val="FirstParagraph"/>
      </w:pPr>
      <w:r>
        <w:t xml:space="preserve">The paper ledger records daily agent equity after fees. We report</w:t>
      </w:r>
      <w:r>
        <w:t xml:space="preserve"> </w:t>
      </w:r>
      <w:r>
        <w:rPr>
          <w:b/>
          <w:bCs/>
        </w:rPr>
        <w:t xml:space="preserve">total return</w:t>
      </w:r>
      <w:r>
        <w:t xml:space="preserve"> </w:t>
      </w:r>
      <w:r>
        <w:t xml:space="preserve">on agent equity;</w:t>
      </w:r>
      <w:r>
        <w:t xml:space="preserve"> </w:t>
      </w:r>
      <w:r>
        <w:rPr>
          <w:b/>
          <w:bCs/>
        </w:rPr>
        <w:t xml:space="preserve">maximum drawdown (MDD)</w:t>
      </w:r>
      <w:r>
        <w:t xml:space="preserve"> </w:t>
      </w:r>
      <w:r>
        <w:t xml:space="preserve">as peak-to-trough decline on the agent equity curve, with</w:t>
      </w:r>
      <w:r>
        <w:t xml:space="preserve"> </w:t>
      </w:r>
      <w:r>
        <w:rPr>
          <w:b/>
          <w:bCs/>
        </w:rPr>
        <w:t xml:space="preserve">buy-and-hold MDD</w:t>
      </w:r>
      <w:r>
        <w:t xml:space="preserve"> </w:t>
      </w:r>
      <w:r>
        <w:t xml:space="preserve">on the same underlying adjusted closes for comparison; and</w:t>
      </w:r>
      <w:r>
        <w:t xml:space="preserve"> </w:t>
      </w:r>
      <w:r>
        <w:rPr>
          <w:b/>
          <w:bCs/>
        </w:rPr>
        <w:t xml:space="preserve">Sharpe ratio</w:t>
      </w:r>
      <w:r>
        <w:t xml:space="preserve"> </w:t>
      </w:r>
      <w:r>
        <w:t xml:space="preserve">as mean daily simple return divided by its standard deviation, scaled by</w:t>
      </w:r>
      <w:r>
        <w:t xml:space="preserve"> </w:t>
      </w:r>
      <m:oMath>
        <m:rad>
          <m:radPr>
            <m:degHide m:val="on"/>
          </m:radPr>
          <m:deg/>
          <m:e>
            <m:r>
              <m:t>252</m:t>
            </m:r>
          </m:e>
        </m:rad>
      </m:oMath>
      <w:r>
        <w:t xml:space="preserve">.</w:t>
      </w:r>
      <w:r>
        <w:t xml:space="preserve"> </w:t>
      </w:r>
      <w:r>
        <w:rPr>
          <w:b/>
          <w:bCs/>
        </w:rPr>
        <w:t xml:space="preserve">No risk-free rate is subtracted</w:t>
      </w:r>
      <w:r>
        <w:t xml:space="preserve"> </w:t>
      </w:r>
      <w:r>
        <w:t xml:space="preserve">in Frozen E1 (excess Sharpe is future work). Short windows (67–111 trading days) yield noisy Sharpe estimates for discrete-signal agents.</w:t>
      </w:r>
    </w:p>
    <w:bookmarkEnd w:id="12"/>
    <w:bookmarkEnd w:id="13"/>
    <w:bookmarkStart w:id="17" w:name="experiments"/>
    <w:p>
      <w:pPr>
        <w:pStyle w:val="Heading2"/>
      </w:pPr>
      <w:r>
        <w:rPr>
          <w:rStyle w:val="SectionNumber"/>
        </w:rPr>
        <w:t xml:space="preserve">4</w:t>
      </w:r>
      <w:r>
        <w:tab/>
      </w:r>
      <w:r>
        <w:t xml:space="preserve">Experiments</w:t>
      </w:r>
    </w:p>
    <w:bookmarkStart w:id="14" w:name="regime-definition"/>
    <w:p>
      <w:pPr>
        <w:pStyle w:val="Heading3"/>
      </w:pPr>
      <w:r>
        <w:rPr>
          <w:rStyle w:val="SectionNumber"/>
        </w:rPr>
        <w:t xml:space="preserve">4.1</w:t>
      </w:r>
      <w:r>
        <w:tab/>
      </w:r>
      <w:r>
        <w:t xml:space="preserve">Regime definition</w:t>
      </w:r>
    </w:p>
    <w:p>
      <w:pPr>
        <w:pStyle w:val="FirstParagraph"/>
      </w:pPr>
      <w:r>
        <w:t xml:space="preserve">For each ticker, calendar windows in</w:t>
      </w:r>
      <w:r>
        <w:t xml:space="preserve"> </w:t>
      </w:r>
      <w:r>
        <w:rPr>
          <w:rStyle w:val="VerbatimChar"/>
          <w:b/>
          <w:bCs/>
        </w:rPr>
        <w:t xml:space="preserve">regime-timeranges</w:t>
      </w:r>
      <w:r>
        <w:t xml:space="preserve"> </w:t>
      </w:r>
      <w:r>
        <w:t xml:space="preserve">are labeled</w:t>
      </w:r>
      <w:r>
        <w:t xml:space="preserve"> </w:t>
      </w:r>
      <w:r>
        <w:rPr>
          <w:b/>
          <w:bCs/>
        </w:rPr>
        <w:t xml:space="preserve">bear</w:t>
      </w:r>
      <w:r>
        <w:t xml:space="preserve"> </w:t>
      </w:r>
      <w:r>
        <w:t xml:space="preserve">if underlying buy-and-hold return is at most</w:t>
      </w:r>
      <w:r>
        <w:t xml:space="preserve"> </w:t>
      </w:r>
      <w:r>
        <w:rPr>
          <w:b/>
          <w:bCs/>
        </w:rPr>
        <w:t xml:space="preserve">-10%</w:t>
      </w:r>
      <w:r>
        <w:t xml:space="preserve">,</w:t>
      </w:r>
      <w:r>
        <w:t xml:space="preserve"> </w:t>
      </w:r>
      <w:r>
        <w:rPr>
          <w:b/>
          <w:bCs/>
        </w:rPr>
        <w:t xml:space="preserve">bull</w:t>
      </w:r>
      <w:r>
        <w:t xml:space="preserve"> </w:t>
      </w:r>
      <w:r>
        <w:t xml:space="preserve">if at least</w:t>
      </w:r>
      <w:r>
        <w:t xml:space="preserve"> </w:t>
      </w:r>
      <w:r>
        <w:rPr>
          <w:b/>
          <w:bCs/>
        </w:rPr>
        <w:t xml:space="preserve">+10%</w:t>
      </w:r>
      <w:r>
        <w:t xml:space="preserve"> </w:t>
      </w:r>
      <w:r>
        <w:t xml:space="preserve">over the processed window. Each run starts from</w:t>
      </w:r>
      <w:r>
        <w:t xml:space="preserve"> </w:t>
      </w:r>
      <w:r>
        <w:rPr>
          <w:b/>
          <w:bCs/>
        </w:rPr>
        <w:t xml:space="preserve">$100,000</w:t>
      </w:r>
      <w:r>
        <w:t xml:space="preserve"> </w:t>
      </w:r>
      <w:r>
        <w:t xml:space="preserve">fresh cash. Windows differ by ticker.</w:t>
      </w:r>
    </w:p>
    <w:bookmarkEnd w:id="14"/>
    <w:bookmarkStart w:id="15" w:name="protocol-and-results"/>
    <w:p>
      <w:pPr>
        <w:pStyle w:val="Heading3"/>
      </w:pPr>
      <w:r>
        <w:rPr>
          <w:rStyle w:val="SectionNumber"/>
        </w:rPr>
        <w:t xml:space="preserve">4.2</w:t>
      </w:r>
      <w:r>
        <w:tab/>
      </w:r>
      <w:r>
        <w:t xml:space="preserve">Protocol and results</w:t>
      </w:r>
    </w:p>
    <w:p>
      <w:pPr>
        <w:pStyle w:val="FirstParagraph"/>
      </w:pPr>
      <w:r>
        <w:rPr>
          <w:b/>
          <w:bCs/>
        </w:rPr>
        <w:t xml:space="preserve">Table 1.</w:t>
      </w:r>
      <w:r>
        <w:t xml:space="preserve"> </w:t>
      </w:r>
      <w:r>
        <w:t xml:space="preserve">Four frozen runs. Sharpe is computed on</w:t>
      </w:r>
      <w:r>
        <w:t xml:space="preserve"> </w:t>
      </w:r>
      <w:r>
        <w:rPr>
          <w:b/>
          <w:bCs/>
        </w:rPr>
        <w:t xml:space="preserve">agent</w:t>
      </w:r>
      <w:r>
        <w:t xml:space="preserve"> </w:t>
      </w:r>
      <w:r>
        <w:t xml:space="preserve">daily equity returns (annualized; see footnote in Section 3.4;</w:t>
      </w:r>
      <w:r>
        <w:t xml:space="preserve"> </w:t>
      </w:r>
      <w:r>
        <w:rPr>
          <w:b/>
          <w:bCs/>
        </w:rPr>
        <w:t xml:space="preserve">no risk-free rate</w:t>
      </w:r>
      <w:r>
        <w:t xml:space="preserve"> </w:t>
      </w:r>
      <w:r>
        <w:t xml:space="preserve">subtracted).</w:t>
      </w:r>
    </w:p>
    <w:p>
      <w:pPr>
        <w:pStyle w:val="BodyText"/>
      </w:pPr>
      <w:r>
        <w:rPr>
          <w:b/>
          <w:bCs/>
        </w:rPr>
        <w:t xml:space="preserve">Bear (2/2):</w:t>
      </w:r>
      <w:r>
        <w:t xml:space="preserve"> </w:t>
      </w:r>
      <w:r>
        <w:t xml:space="preserve">agent loses less than buy-and-hold on</w:t>
      </w:r>
      <w:r>
        <w:t xml:space="preserve"> </w:t>
      </w:r>
      <w:r>
        <w:rPr>
          <w:b/>
          <w:bCs/>
        </w:rPr>
        <w:t xml:space="preserve">total return</w:t>
      </w:r>
      <w:r>
        <w:t xml:space="preserve"> </w:t>
      </w:r>
      <w:r>
        <w:t xml:space="preserve">and shows</w:t>
      </w:r>
      <w:r>
        <w:t xml:space="preserve"> </w:t>
      </w:r>
      <w:r>
        <w:rPr>
          <w:b/>
          <w:bCs/>
        </w:rPr>
        <w:t xml:space="preserve">lower path drawdown</w:t>
      </w:r>
      <w:r>
        <w:t xml:space="preserve"> </w:t>
      </w:r>
      <w:r>
        <w:t xml:space="preserve">(e.g., RELIANCE bear: agent MDD 5.1% vs B&amp;H MDD 21.0%), consistent with SELL-heavy signals and reduced long exposure.</w:t>
      </w:r>
      <w:r>
        <w:t xml:space="preserve"> </w:t>
      </w:r>
      <w:r>
        <w:rPr>
          <w:b/>
          <w:bCs/>
        </w:rPr>
        <w:t xml:space="preserve">Bull:</w:t>
      </w:r>
      <w:r>
        <w:t xml:space="preserve"> </w:t>
      </w:r>
      <w:r>
        <w:t xml:space="preserve">RELIANCE lags B&amp;H; TCS nearly tracks B&amp;H.</w:t>
      </w:r>
      <w:r>
        <w:t xml:space="preserve"> </w:t>
      </w:r>
      <w:r>
        <w:rPr>
          <w:b/>
          <w:bCs/>
        </w:rPr>
        <w:t xml:space="preserve">Sharpe</w:t>
      </w:r>
      <w:r>
        <w:t xml:space="preserve"> </w:t>
      </w:r>
      <w:r>
        <w:t xml:space="preserve">is negative in three of four runs—including RELIANCE bull (+5.6% return)—because daily equity volatility dominates on short windows; only TCS bull is Sharpe-positive (+4.25). Interpret Sharpe alongside total return and MDD, not in isolation.</w:t>
      </w:r>
    </w:p>
    <w:bookmarkEnd w:id="15"/>
    <w:bookmarkStart w:id="16" w:name="figures"/>
    <w:p>
      <w:pPr>
        <w:pStyle w:val="Heading3"/>
      </w:pPr>
      <w:r>
        <w:rPr>
          <w:rStyle w:val="SectionNumber"/>
        </w:rPr>
        <w:t xml:space="preserve">4.3</w:t>
      </w:r>
      <w:r>
        <w:tab/>
      </w:r>
      <w:r>
        <w:t xml:space="preserve">Figures</w:t>
      </w:r>
    </w:p>
    <w:bookmarkEnd w:id="16"/>
    <w:bookmarkEnd w:id="17"/>
    <w:bookmarkStart w:id="18" w:name="conclusion"/>
    <w:p>
      <w:pPr>
        <w:pStyle w:val="Heading2"/>
      </w:pPr>
      <w:r>
        <w:rPr>
          <w:rStyle w:val="SectionNumber"/>
        </w:rPr>
        <w:t xml:space="preserve">5</w:t>
      </w:r>
      <w:r>
        <w:tab/>
      </w:r>
      <w:r>
        <w:t xml:space="preserve">Conclusion</w:t>
      </w:r>
    </w:p>
    <w:p>
      <w:pPr>
        <w:pStyle w:val="FirstParagraph"/>
      </w:pPr>
      <w:r>
        <w:t xml:space="preserve">We presented an open LangGraph stack and</w:t>
      </w:r>
      <w:r>
        <w:t xml:space="preserve"> </w:t>
      </w:r>
      <w:r>
        <w:rPr>
          <w:b/>
          <w:bCs/>
        </w:rPr>
        <w:t xml:space="preserve">multi-ticker regime-conditioned</w:t>
      </w:r>
      <w:r>
        <w:t xml:space="preserve"> </w:t>
      </w:r>
      <w:r>
        <w:t xml:space="preserve">evaluation. Bear windows show relative downside protection on both</w:t>
      </w:r>
      <w:r>
        <w:t xml:space="preserve"> </w:t>
      </w:r>
      <w:r>
        <w:rPr>
          <w:b/>
          <w:bCs/>
        </w:rPr>
        <w:t xml:space="preserve">return and drawdown</w:t>
      </w:r>
      <w:r>
        <w:t xml:space="preserve">; bull outcomes are heterogeneous.</w:t>
      </w:r>
      <w:r>
        <w:t xml:space="preserve"> </w:t>
      </w:r>
      <w:r>
        <w:rPr>
          <w:b/>
          <w:bCs/>
        </w:rPr>
        <w:t xml:space="preserve">Limitations:</w:t>
      </w:r>
      <w:r>
        <w:t xml:space="preserve"> </w:t>
      </w:r>
      <w:r>
        <w:t xml:space="preserve">two tickers, per-ticker calendars, one LLM; anonymization enabled but not ablated; Sharpe without a risk-free benchmark and on short windows.</w:t>
      </w:r>
    </w:p>
    <w:bookmarkEnd w:id="18"/>
    <w:bookmarkStart w:id="19" w:name="contributions"/>
    <w:p>
      <w:pPr>
        <w:pStyle w:val="Heading2"/>
      </w:pPr>
      <w:r>
        <w:rPr>
          <w:rStyle w:val="SectionNumber"/>
        </w:rPr>
        <w:t xml:space="preserve">6</w:t>
      </w:r>
      <w:r>
        <w:tab/>
      </w:r>
      <w:r>
        <w:t xml:space="preserve">Contributions</w:t>
      </w:r>
    </w:p>
    <w:p>
      <w:pPr>
        <w:pStyle w:val="Compact"/>
        <w:numPr>
          <w:ilvl w:val="0"/>
          <w:numId w:val="1001"/>
        </w:numPr>
      </w:pPr>
      <w:r>
        <w:t xml:space="preserve">Multi-agent decision graph.</w:t>
      </w:r>
    </w:p>
    <w:p>
      <w:pPr>
        <w:pStyle w:val="Compact"/>
        <w:numPr>
          <w:ilvl w:val="0"/>
          <w:numId w:val="1001"/>
        </w:numPr>
      </w:pPr>
      <w:r>
        <w:t xml:space="preserve">Multi-ticker regime-conditioned evaluation (four frozen CSVs).</w:t>
      </w:r>
    </w:p>
    <w:p>
      <w:pPr>
        <w:pStyle w:val="Compact"/>
        <w:numPr>
          <w:ilvl w:val="0"/>
          <w:numId w:val="1001"/>
        </w:numPr>
      </w:pPr>
      <w:r>
        <w:t xml:space="preserve">Structured stage outputs.</w:t>
      </w:r>
    </w:p>
    <w:p>
      <w:pPr>
        <w:pStyle w:val="Compact"/>
        <w:numPr>
          <w:ilvl w:val="0"/>
          <w:numId w:val="1001"/>
        </w:numPr>
      </w:pPr>
      <w:r>
        <w:t xml:space="preserve">Point-in-time policy and anonymization.</w:t>
      </w:r>
    </w:p>
    <w:p>
      <w:pPr>
        <w:pStyle w:val="Compact"/>
        <w:numPr>
          <w:ilvl w:val="0"/>
          <w:numId w:val="1001"/>
        </w:numPr>
      </w:pPr>
      <w:r>
        <w:t xml:space="preserve">Backtest harness and analysis artifacts.</w:t>
      </w:r>
    </w:p>
    <w:bookmarkEnd w:id="19"/>
    <w:bookmarkStart w:id="20" w:name="acknowledgements"/>
    <w:p>
      <w:pPr>
        <w:pStyle w:val="Heading2"/>
      </w:pPr>
      <w:r>
        <w:t xml:space="preserve">Acknowledgements</w:t>
      </w:r>
    </w:p>
    <w:p>
      <w:pPr>
        <w:pStyle w:val="FirstParagraph"/>
      </w:pPr>
      <w:r>
        <w:t xml:space="preserve">The agent graph implementation builds on</w:t>
      </w:r>
      <w:r>
        <w:t xml:space="preserve"> </w:t>
      </w:r>
      <w:r>
        <w:rPr>
          <w:b/>
          <w:bCs/>
        </w:rPr>
        <w:t xml:space="preserve">TradingAgents</w:t>
      </w:r>
      <w:r>
        <w:t xml:space="preserve"> </w:t>
      </w:r>
      <w:r>
        <w:t xml:space="preserve">(Xiao et al., 2024; Tauric Research, Apache License 2.0). We thank the authors for open-sourcing the framework.</w:t>
      </w:r>
    </w:p>
    <w:bookmarkEnd w:id="20"/>
    <w:bookmarkStart w:id="21" w:name="references"/>
    <w:p>
      <w:pPr>
        <w:pStyle w:val="Heading2"/>
      </w:pPr>
      <w:r>
        <w:t xml:space="preserve">References</w:t>
      </w:r>
    </w:p>
    <w:p>
      <w:pPr>
        <w:pStyle w:val="FirstParagraph"/>
      </w:pPr>
      <w:r>
        <w:t xml:space="preserve">Xiao, Y., Sun, E., Luo, D. and Wang, W., 2024. TradingAgents: Multi-Agents LLM Financial Trading Framework.</w:t>
      </w:r>
      <w:r>
        <w:t xml:space="preserve"> </w:t>
      </w:r>
      <w:r>
        <w:rPr>
          <w:i/>
          <w:iCs/>
        </w:rPr>
        <w:t xml:space="preserve">arXiv preprint</w:t>
      </w:r>
      <w:r>
        <w:t xml:space="preserve"> </w:t>
      </w:r>
      <w:r>
        <w:t xml:space="preserve">arXiv:2412.20138 [q-fin.TR]. Available at: https://arxiv.org/abs/2412.20138 (Accessed: 29 May 2026).</w:t>
      </w:r>
    </w:p>
    <w:p>
      <w:pPr>
        <w:pStyle w:val="BodyText"/>
      </w:pPr>
      <w:r>
        <w:t xml:space="preserve">Yang, H., Liu, X.-Y. and Wang, C.D., 2023. FinGPT: Open-Source Financial Large Language Models.</w:t>
      </w:r>
      <w:r>
        <w:t xml:space="preserve"> </w:t>
      </w:r>
      <w:r>
        <w:rPr>
          <w:i/>
          <w:iCs/>
        </w:rPr>
        <w:t xml:space="preserve">arXiv preprint</w:t>
      </w:r>
      <w:r>
        <w:t xml:space="preserve"> </w:t>
      </w:r>
      <w:r>
        <w:t xml:space="preserve">arXiv:2306.06031 [q-fin.ST]. Available at: https://arxiv.org/abs/2306.06031 (Accessed: 29 May 2026).</w:t>
      </w:r>
    </w:p>
    <w:p>
      <w:pPr>
        <w:pStyle w:val="BodyText"/>
      </w:pPr>
      <w:r>
        <w:t xml:space="preserve">Yu, Y., Li, H., Chen, Z., Jiang, Y., Li, Y., Zhang, D., Liu, R., Suchow, J.W. and Khashanah, K., 2023. FinMem: A Performance-Enhanced LLM Trading Agent with Layered Memory and Character Design.</w:t>
      </w:r>
      <w:r>
        <w:t xml:space="preserve"> </w:t>
      </w:r>
      <w:r>
        <w:rPr>
          <w:i/>
          <w:iCs/>
        </w:rPr>
        <w:t xml:space="preserve">arXiv preprint</w:t>
      </w:r>
      <w:r>
        <w:t xml:space="preserve"> </w:t>
      </w:r>
      <w:r>
        <w:t xml:space="preserve">arXiv:2311.13743 [q-fin.CP]. Available at: https://arxiv.org/abs/2311.13743 (Accessed: 29 May 2026).</w:t>
      </w:r>
    </w:p>
    <w:bookmarkEnd w:id="2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Point-in-Time Multi-Agent LLM Trading: A Reproducible LangGraph Stack with Regime-Conditioned Evaluation and Fair Backtesting</dc:title>
  <dc:creator/>
  <cp:keywords/>
  <dcterms:created xsi:type="dcterms:W3CDTF">2026-05-29T14:03:01Z</dcterms:created>
  <dcterms:modified xsi:type="dcterms:W3CDTF">2026-05-29T14:03:01Z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Large language models are increasingly used in financial decision pipelines, yet published agent stacks are often hard to reproduce and rarely evaluated under distinct market conditions on historical as-of dates. We present Hindsight 20/20, an open LangGraph stack with structured Pydantic outputs, point-in-time data access, optional ticker anonymization, and a fee-aware paper backtest. We evaluate the full pipeline on RELIANCE.NS and TCS.NS in exogenous bear and bull windows (per-ticker underlying return at most -10% or at least +10%), each from $100,000 paper cash. In both bear windows, the agent loses less than buy-and-hold; in bull windows, outcomes diverge (RELIANCE lags B&amp;H; TCS nearly tracks it). Frozen CSV artifacts reproduce tables and figures. Code and artifacts: https://github.com/RMartires/hindsight</vt:lpwstr>
  </property>
  <property fmtid="{D5CDD505-2E9C-101B-9397-08002B2CF9AE}" pid="3" name="date">
    <vt:lpwstr>29 May 2026</vt:lpwstr>
  </property>
  <property fmtid="{D5CDD505-2E9C-101B-9397-08002B2CF9AE}" pid="4" name="documentclass">
    <vt:lpwstr>article</vt:lpwstr>
  </property>
  <property fmtid="{D5CDD505-2E9C-101B-9397-08002B2CF9AE}" pid="5" name="fontsize">
    <vt:lpwstr>12pt</vt:lpwstr>
  </property>
  <property fmtid="{D5CDD505-2E9C-101B-9397-08002B2CF9AE}" pid="6" name="geometry">
    <vt:lpwstr>margin=1in</vt:lpwstr>
  </property>
  <property fmtid="{D5CDD505-2E9C-101B-9397-08002B2CF9AE}" pid="7" name="header-includes">
    <vt:lpwstr/>
  </property>
  <property fmtid="{D5CDD505-2E9C-101B-9397-08002B2CF9AE}" pid="8" name="numbersections">
    <vt:lpwstr>True</vt:lpwstr>
  </property>
</Properties>
</file>