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df" ContentType="application/pdf"/>
  <Override PartName="/word/media/rId24.pdf" ContentType="application/pdf"/>
  <Override PartName="/word/media/rId18.pdf" ContentType="application/pdf"/>
  <Override PartName="/word/media/rId2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Point-in-Time Multi-Agent LLM Trading: A Reproducible LangGraph Stack with Regime-Conditioned Evaluation and Fair Backtesting</w:t>
      </w:r>
    </w:p>
    <w:p>
      <w:pPr>
        <w:pStyle w:val="Author"/>
      </w:pPr>
      <w:r>
        <w:t xml:space="preserve">[Rohit Edward Martires] (Independent researcher, [Goa, India]). Email: [rohitmartires14@gmail.com].</w:t>
      </w:r>
    </w:p>
    <w:p>
      <w:pPr>
        <w:pStyle w:val="Date"/>
      </w:pPr>
      <w:r>
        <w:t xml:space="preserve">28 May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Large language models are increasingly used in financial decision pipelines, yet published agent stacks are often hard to reproduce and rarely evaluated under distinct market conditions on historical as-of dates. We present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, an open</w:t>
      </w:r>
      <w:r>
        <w:t xml:space="preserve"> </w:t>
      </w:r>
      <w:r>
        <w:rPr>
          <w:b/>
          <w:bCs/>
        </w:rPr>
        <w:t xml:space="preserve">LangGraph</w:t>
      </w:r>
      <w:r>
        <w:t xml:space="preserve"> </w:t>
      </w:r>
      <w:r>
        <w:t xml:space="preserve">stack for single-asset trading with structured</w:t>
      </w:r>
      <w:r>
        <w:t xml:space="preserve"> </w:t>
      </w:r>
      <w:r>
        <w:rPr>
          <w:b/>
          <w:bCs/>
        </w:rPr>
        <w:t xml:space="preserve">Pydantic</w:t>
      </w:r>
      <w:r>
        <w:t xml:space="preserve"> </w:t>
      </w:r>
      <w:r>
        <w:t xml:space="preserve">outputs, a</w:t>
      </w:r>
      <w:r>
        <w:t xml:space="preserve"> </w:t>
      </w:r>
      <w:r>
        <w:rPr>
          <w:b/>
          <w:bCs/>
        </w:rPr>
        <w:t xml:space="preserve">simulation end date</w:t>
      </w:r>
      <w:r>
        <w:t xml:space="preserve"> </w:t>
      </w:r>
      <w:r>
        <w:t xml:space="preserve">for point-in-time data, optional</w:t>
      </w:r>
      <w:r>
        <w:t xml:space="preserve"> </w:t>
      </w:r>
      <w:r>
        <w:rPr>
          <w:b/>
          <w:bCs/>
        </w:rPr>
        <w:t xml:space="preserve">ticker anonymization</w:t>
      </w:r>
      <w:r>
        <w:t xml:space="preserve">, and a fee-aware</w:t>
      </w:r>
      <w:r>
        <w:t xml:space="preserve"> </w:t>
      </w:r>
      <w:r>
        <w:rPr>
          <w:b/>
          <w:bCs/>
        </w:rPr>
        <w:t xml:space="preserve">paper backtest</w:t>
      </w:r>
      <w:r>
        <w:t xml:space="preserve">. 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in two</w:t>
      </w:r>
      <w:r>
        <w:t xml:space="preserve"> </w:t>
      </w:r>
      <w:r>
        <w:rPr>
          <w:b/>
          <w:bCs/>
        </w:rPr>
        <w:t xml:space="preserve">exogenous</w:t>
      </w:r>
      <w:r>
        <w:t xml:space="preserve"> </w:t>
      </w:r>
      <w:r>
        <w:t xml:space="preserve">windows—a</w:t>
      </w:r>
      <w:r>
        <w:t xml:space="preserve"> </w:t>
      </w:r>
      <w:r>
        <w:rPr>
          <w:b/>
          <w:bCs/>
        </w:rPr>
        <w:t xml:space="preserve">bear regime</w:t>
      </w:r>
      <w:r>
        <w:t xml:space="preserve"> </w:t>
      </w:r>
      <w:r>
        <w:t xml:space="preserve">(underlying return −17.4%, Aug 2024–Jan 2025) and a</w:t>
      </w:r>
      <w:r>
        <w:t xml:space="preserve"> </w:t>
      </w:r>
      <w:r>
        <w:rPr>
          <w:b/>
          <w:bCs/>
        </w:rPr>
        <w:t xml:space="preserve">bull regime</w:t>
      </w:r>
      <w:r>
        <w:t xml:space="preserve"> </w:t>
      </w:r>
      <w:r>
        <w:t xml:space="preserve">(+19.3%, Jan–May 2025)—each from $100,000 paper cash. The agent loses less than buy-and-hold in the bear window (−7.5% vs −17.4%) but captures less of the rally in the bull window (+8.7% vs +19.3%). Frozen CSV artifacts and scripts reproduce tables and figures.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algorithmic trading; large language models; multi-agent systems; reproducibility; point-in-time data; market regimes.</w:t>
      </w:r>
    </w:p>
    <w:bookmarkStart w:id="9" w:name="introduction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Researchers are experimenting with large language models (LLMs) inside trading workflows. Building research-grade stacks remains difficult: temporal constraints are often implicit, and evaluations rarely ask how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implementation behaves when the</w:t>
      </w:r>
      <w:r>
        <w:t xml:space="preserve"> </w:t>
      </w:r>
      <w:r>
        <w:rPr>
          <w:b/>
          <w:bCs/>
        </w:rPr>
        <w:t xml:space="preserve">underlying trend</w:t>
      </w:r>
      <w:r>
        <w:t xml:space="preserve"> </w:t>
      </w:r>
      <w:r>
        <w:t xml:space="preserve">differs.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, an open</w:t>
      </w:r>
      <w:r>
        <w:t xml:space="preserve"> </w:t>
      </w:r>
      <w:r>
        <w:rPr>
          <w:b/>
          <w:bCs/>
        </w:rPr>
        <w:t xml:space="preserve">LangGraph</w:t>
      </w:r>
      <w:r>
        <w:t xml:space="preserve"> </w:t>
      </w:r>
      <w:r>
        <w:t xml:space="preserve">implementation focused on reproducibility and auditable evaluation.</w:t>
      </w:r>
      <w:r>
        <w:t xml:space="preserve"> </w:t>
      </w:r>
      <w:r>
        <w:rPr>
          <w:b/>
          <w:bCs/>
        </w:rPr>
        <w:t xml:space="preserve">Structured outputs</w:t>
      </w:r>
      <w:r>
        <w:t xml:space="preserve">, optional</w:t>
      </w:r>
      <w:r>
        <w:t xml:space="preserve"> </w:t>
      </w:r>
      <w:r>
        <w:rPr>
          <w:b/>
          <w:bCs/>
        </w:rPr>
        <w:t xml:space="preserve">anonymization</w:t>
      </w:r>
      <w:r>
        <w:t xml:space="preserve">, and a</w:t>
      </w:r>
      <w:r>
        <w:t xml:space="preserve"> </w:t>
      </w:r>
      <w:r>
        <w:rPr>
          <w:b/>
          <w:bCs/>
        </w:rPr>
        <w:t xml:space="preserve">simulation end date</w:t>
      </w:r>
      <w:r>
        <w:t xml:space="preserve"> </w:t>
      </w:r>
      <w:r>
        <w:t xml:space="preserve">bound data access. A</w:t>
      </w:r>
      <w:r>
        <w:t xml:space="preserve"> </w:t>
      </w:r>
      <w:r>
        <w:rPr>
          <w:b/>
          <w:bCs/>
        </w:rPr>
        <w:t xml:space="preserve">paper backtest</w:t>
      </w:r>
      <w:r>
        <w:t xml:space="preserve"> </w:t>
      </w:r>
      <w:r>
        <w:t xml:space="preserve">replays signals with configurable fees.</w:t>
      </w:r>
    </w:p>
    <w:p>
      <w:pPr>
        <w:pStyle w:val="BodyText"/>
      </w:pPr>
      <w:r>
        <w:t xml:space="preserve">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PAPER_ABLATION=full</w:t>
      </w:r>
      <w:r>
        <w:t xml:space="preserve">)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in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backtests over calendar windows labeled</w:t>
      </w:r>
      <w:r>
        <w:t xml:space="preserve"> </w:t>
      </w:r>
      <w:r>
        <w:rPr>
          <w:b/>
          <w:bCs/>
        </w:rPr>
        <w:t xml:space="preserve">bear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bull</w:t>
      </w:r>
      <w:r>
        <w:t xml:space="preserve"> </w:t>
      </w:r>
      <w:r>
        <w:t xml:space="preserve">from exogenous underlying returns (Section 4.1). Section 2 surveys related work; Section 3 the system; Section 4 results; Section 5 concludes; Section 6 lists contributions.</w:t>
      </w:r>
    </w:p>
    <w:bookmarkEnd w:id="9"/>
    <w:bookmarkStart w:id="10" w:name="related-work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LLM agents for trading.</w:t>
      </w:r>
      <w:r>
        <w:t xml:space="preserve"> </w:t>
      </w:r>
      <w:r>
        <w:t xml:space="preserve">Multi-agent frameworks orchestrate specialist roles (Xiao et al., 2024; Yu et al., 2023; Yang et al., 2023). We emphasize</w:t>
      </w:r>
      <w:r>
        <w:t xml:space="preserve"> </w:t>
      </w:r>
      <w:r>
        <w:rPr>
          <w:b/>
          <w:bCs/>
        </w:rPr>
        <w:t xml:space="preserve">reproducible systems engineering</w:t>
      </w:r>
      <w:r>
        <w:t xml:space="preserve">: one codepath, schema-constrained outputs, temporal controls, and scriptable backtests tied to CSV artifacts.</w:t>
      </w:r>
    </w:p>
    <w:p>
      <w:pPr>
        <w:pStyle w:val="BodyText"/>
      </w:pPr>
      <w:r>
        <w:rPr>
          <w:b/>
          <w:bCs/>
        </w:rPr>
        <w:t xml:space="preserve">Point-in-time data and leakage.</w:t>
      </w:r>
      <w:r>
        <w:t xml:space="preserve"> </w:t>
      </w:r>
      <w:r>
        <w:t xml:space="preserve">We treat a simulation end date, vendor routing, and optional anonymization as first-class requirements.</w:t>
      </w:r>
    </w:p>
    <w:p>
      <w:pPr>
        <w:pStyle w:val="BodyText"/>
      </w:pPr>
      <w:r>
        <w:rPr>
          <w:b/>
          <w:bCs/>
        </w:rPr>
        <w:t xml:space="preserve">Robustness across market conditions.</w:t>
      </w:r>
      <w:r>
        <w:t xml:space="preserve"> </w:t>
      </w:r>
      <w:r>
        <w:t xml:space="preserve">We contribute a</w:t>
      </w:r>
      <w:r>
        <w:t xml:space="preserve"> </w:t>
      </w:r>
      <w:r>
        <w:rPr>
          <w:b/>
          <w:bCs/>
        </w:rPr>
        <w:t xml:space="preserve">regime-split</w:t>
      </w:r>
      <w:r>
        <w:t xml:space="preserve"> </w:t>
      </w:r>
      <w:r>
        <w:t xml:space="preserve">evaluation on one ticker—exogenous bear/bull labels, not regime prediction.</w:t>
      </w:r>
    </w:p>
    <w:p>
      <w:pPr>
        <w:pStyle w:val="BodyText"/>
      </w:pPr>
      <w:r>
        <w:rPr>
          <w:b/>
          <w:bCs/>
        </w:rPr>
        <w:t xml:space="preserve">Execution realism.</w:t>
      </w:r>
      <w:r>
        <w:t xml:space="preserve"> </w:t>
      </w:r>
      <w:r>
        <w:t xml:space="preserve">A paper ledger with stated fees links decisions to P&amp;L without microstructure simulation.</w:t>
      </w:r>
    </w:p>
    <w:bookmarkEnd w:id="10"/>
    <w:bookmarkStart w:id="11" w:name="method-system"/>
    <w:p>
      <w:pPr>
        <w:pStyle w:val="Heading2"/>
      </w:pPr>
      <w:r>
        <w:rPr>
          <w:rStyle w:val="SectionNumber"/>
        </w:rPr>
        <w:t xml:space="preserve">3</w:t>
      </w:r>
      <w:r>
        <w:tab/>
      </w:r>
      <w:r>
        <w:t xml:space="preserve">Method / System</w:t>
      </w:r>
    </w:p>
    <w:p>
      <w:pPr>
        <w:pStyle w:val="FirstParagraph"/>
      </w:pPr>
      <w:r>
        <w:rPr>
          <w:b/>
          <w:bCs/>
        </w:rPr>
        <w:t xml:space="preserve">Architecture.</w:t>
      </w:r>
      <w:r>
        <w:t xml:space="preserve"> </w:t>
      </w:r>
      <w:r>
        <w:rPr>
          <w:rStyle w:val="VerbatimChar"/>
        </w:rPr>
        <w:t xml:space="preserve">TradingAgentsGraph</w:t>
      </w:r>
      <w:r>
        <w:t xml:space="preserve"> </w:t>
      </w:r>
      <w:r>
        <w:t xml:space="preserve">wires analysts,</w:t>
      </w:r>
      <w:r>
        <w:t xml:space="preserve"> </w:t>
      </w:r>
      <w:r>
        <w:rPr>
          <w:b/>
          <w:bCs/>
        </w:rPr>
        <w:t xml:space="preserve">Bull/Bear Researcher</w:t>
      </w:r>
      <w:r>
        <w:t xml:space="preserve"> </w:t>
      </w:r>
      <w:r>
        <w:t xml:space="preserve">debate roles (internal agents—not market-regime labels), trader, and risk stages.</w:t>
      </w:r>
      <w:r>
        <w:t xml:space="preserve"> </w:t>
      </w:r>
      <w:r>
        <w:rPr>
          <w:rStyle w:val="VerbatimChar"/>
          <w:b/>
          <w:bCs/>
        </w:rPr>
        <w:t xml:space="preserve">run_backtest_mvp</w:t>
      </w:r>
      <w:r>
        <w:t xml:space="preserve"> </w:t>
      </w:r>
      <w:r>
        <w:t xml:space="preserve">uses the same graph as interactive runs.</w:t>
      </w:r>
    </w:p>
    <w:p>
      <w:pPr>
        <w:pStyle w:val="BodyText"/>
      </w:pPr>
      <w:r>
        <w:rPr>
          <w:b/>
          <w:bCs/>
        </w:rPr>
        <w:t xml:space="preserve">Structured outputs, PIT policy, anonymization.</w:t>
      </w:r>
      <w:r>
        <w:t xml:space="preserve"> </w:t>
      </w:r>
      <w:r>
        <w:t xml:space="preserve">Pydantic schemas with fallbacks; simulation-date clamps; optional</w:t>
      </w:r>
      <w:r>
        <w:t xml:space="preserve"> </w:t>
      </w:r>
      <w:r>
        <w:rPr>
          <w:rStyle w:val="VerbatimChar"/>
        </w:rPr>
        <w:t xml:space="preserve">TickerMapper</w:t>
      </w:r>
      <w:r>
        <w:t xml:space="preserve">. Frozen E1 runs used anonymization.</w:t>
      </w:r>
    </w:p>
    <w:p>
      <w:pPr>
        <w:pStyle w:val="BodyText"/>
      </w:pPr>
      <w:r>
        <w:rPr>
          <w:b/>
          <w:bCs/>
        </w:rPr>
        <w:t xml:space="preserve">Pipeline configuration.</w:t>
      </w:r>
      <w:r>
        <w:t xml:space="preserve"> </w:t>
      </w:r>
      <w:r>
        <w:t xml:space="preserve">Section 4 uses</w:t>
      </w:r>
      <w:r>
        <w:t xml:space="preserve"> </w:t>
      </w:r>
      <w:r>
        <w:rPr>
          <w:rStyle w:val="VerbatimChar"/>
          <w:b/>
          <w:bCs/>
        </w:rPr>
        <w:t xml:space="preserve">PAPER_ABLATION=full</w:t>
      </w:r>
      <w:r>
        <w:t xml:space="preserve"> </w:t>
      </w:r>
      <w:r>
        <w:t xml:space="preserve">(default): all analysts, investment debate, risk phase. Other presets exist for internal use only.</w:t>
      </w:r>
    </w:p>
    <w:p>
      <w:pPr>
        <w:pStyle w:val="BodyText"/>
      </w:pPr>
      <w:r>
        <w:rPr>
          <w:b/>
          <w:bCs/>
        </w:rPr>
        <w:t xml:space="preserve">Backtest.</w:t>
      </w:r>
      <w:r>
        <w:t xml:space="preserve"> </w:t>
      </w:r>
      <w:r>
        <w:rPr>
          <w:rStyle w:val="VerbatimChar"/>
        </w:rPr>
        <w:t xml:space="preserve">scripts/backtest_mvp.py --dates-csv</w:t>
      </w:r>
      <w:r>
        <w:t xml:space="preserve"> </w:t>
      </w:r>
      <w:r>
        <w:t xml:space="preserve">writes schedule CSVs with signals, equity, and outlook columns.</w:t>
      </w:r>
    </w:p>
    <w:bookmarkEnd w:id="11"/>
    <w:bookmarkStart w:id="28" w:name="experiments"/>
    <w:p>
      <w:pPr>
        <w:pStyle w:val="Heading2"/>
      </w:pPr>
      <w:r>
        <w:rPr>
          <w:rStyle w:val="SectionNumber"/>
        </w:rPr>
        <w:t xml:space="preserve">4</w:t>
      </w:r>
      <w:r>
        <w:tab/>
      </w:r>
      <w:r>
        <w:t xml:space="preserve">Experiments</w:t>
      </w:r>
    </w:p>
    <w:bookmarkStart w:id="12" w:name="goals-and-regime-definition"/>
    <w:p>
      <w:pPr>
        <w:pStyle w:val="Heading3"/>
      </w:pPr>
      <w:r>
        <w:rPr>
          <w:rStyle w:val="SectionNumber"/>
        </w:rPr>
        <w:t xml:space="preserve">4.1</w:t>
      </w:r>
      <w:r>
        <w:tab/>
      </w:r>
      <w:r>
        <w:t xml:space="preserve">Goals and regime definition</w:t>
      </w:r>
    </w:p>
    <w:p>
      <w:pPr>
        <w:pStyle w:val="FirstParagraph"/>
      </w:pPr>
      <w:r>
        <w:rPr>
          <w:b/>
          <w:bCs/>
        </w:rPr>
        <w:t xml:space="preserve">Market regimes</w:t>
      </w:r>
      <w:r>
        <w:t xml:space="preserve"> </w:t>
      </w:r>
      <w:r>
        <w:t xml:space="preserve">are assigned</w:t>
      </w:r>
      <w:r>
        <w:t xml:space="preserve"> </w:t>
      </w:r>
      <w:r>
        <w:rPr>
          <w:b/>
          <w:bCs/>
        </w:rPr>
        <w:t xml:space="preserve">exogenously</w:t>
      </w:r>
      <w:r>
        <w:t xml:space="preserve"> </w:t>
      </w:r>
      <w:r>
        <w:t xml:space="preserve">from underlying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buy-and-hold return over each window:</w:t>
      </w:r>
      <w:r>
        <w:t xml:space="preserve"> </w:t>
      </w:r>
      <w:r>
        <w:rPr>
          <w:b/>
          <w:bCs/>
        </w:rPr>
        <w:t xml:space="preserve">bear</w:t>
      </w:r>
      <w:r>
        <w:t xml:space="preserve"> </w:t>
      </w:r>
      <w:r>
        <w:t xml:space="preserve">if return &lt;= -10%;</w:t>
      </w:r>
      <w:r>
        <w:t xml:space="preserve"> </w:t>
      </w:r>
      <w:r>
        <w:rPr>
          <w:b/>
          <w:bCs/>
        </w:rPr>
        <w:t xml:space="preserve">bull</w:t>
      </w:r>
      <w:r>
        <w:t xml:space="preserve"> </w:t>
      </w:r>
      <w:r>
        <w:t xml:space="preserve">if &gt;= +10%. Each run starts from</w:t>
      </w:r>
      <w:r>
        <w:t xml:space="preserve"> </w:t>
      </w:r>
      <w:r>
        <w:rPr>
          <w:b/>
          <w:bCs/>
        </w:rPr>
        <w:t xml:space="preserve">$100,000</w:t>
      </w:r>
      <w:r>
        <w:t xml:space="preserve"> </w:t>
      </w:r>
      <w:r>
        <w:t xml:space="preserve">fresh cash.</w:t>
      </w:r>
    </w:p>
    <w:bookmarkEnd w:id="12"/>
    <w:bookmarkStart w:id="13" w:name="protocol"/>
    <w:p>
      <w:pPr>
        <w:pStyle w:val="Heading3"/>
      </w:pPr>
      <w:r>
        <w:rPr>
          <w:rStyle w:val="SectionNumber"/>
        </w:rPr>
        <w:t xml:space="preserve">4.2</w:t>
      </w:r>
      <w:r>
        <w:tab/>
      </w:r>
      <w:r>
        <w:t xml:space="preserve">Protocol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564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Processed window</w:t>
            </w:r>
          </w:p>
        </w:tc>
        <w:tc>
          <w:tcPr/>
          <w:p>
            <w:pPr>
              <w:pStyle w:val="Compact"/>
            </w:pPr>
            <w:r>
              <w:t xml:space="preserve">Artifact 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</w:t>
            </w:r>
          </w:p>
        </w:tc>
        <w:tc>
          <w:tcPr/>
          <w:p>
            <w:pPr>
              <w:pStyle w:val="Compact"/>
            </w:pPr>
            <w:r>
              <w:t xml:space="preserve">2024-08-01 .. 2025-01-03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results/dates-REL-aug-2024-jan-2025-bear-dates.csv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Bull</w:t>
            </w:r>
          </w:p>
        </w:tc>
        <w:tc>
          <w:tcPr/>
          <w:p>
            <w:pPr>
              <w:pStyle w:val="Compact"/>
            </w:pPr>
            <w:r>
              <w:t xml:space="preserve">2025-01-01 .. 2025-05-16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results/dates-REL-jan-2025-june-2025-bull-dates.csv</w:t>
            </w:r>
          </w:p>
        </w:tc>
      </w:tr>
    </w:tbl>
    <w:p>
      <w:pPr>
        <w:pStyle w:val="BodyText"/>
      </w:pPr>
      <w:r>
        <w:t xml:space="preserve">Shared:</w:t>
      </w:r>
      <w:r>
        <w:t xml:space="preserve"> </w:t>
      </w:r>
      <w:r>
        <w:rPr>
          <w:rStyle w:val="VerbatimChar"/>
        </w:rPr>
        <w:t xml:space="preserve">PAPER_ABLATION=full</w:t>
      </w:r>
      <w:r>
        <w:t xml:space="preserve">;</w:t>
      </w:r>
      <w:r>
        <w:t xml:space="preserve"> </w:t>
      </w:r>
      <w:r>
        <w:rPr>
          <w:rStyle w:val="VerbatimChar"/>
        </w:rPr>
        <w:t xml:space="preserve">zerodha_delivery</w:t>
      </w:r>
      <w:r>
        <w:t xml:space="preserve">;</w:t>
      </w:r>
      <w:r>
        <w:t xml:space="preserve"> </w:t>
      </w:r>
      <w:r>
        <w:rPr>
          <w:rStyle w:val="VerbatimChar"/>
        </w:rPr>
        <w:t xml:space="preserve">slippage_bps=0</w:t>
      </w:r>
      <w:r>
        <w:t xml:space="preserve">; LLM</w:t>
      </w:r>
      <w:r>
        <w:t xml:space="preserve"> </w:t>
      </w:r>
      <w:r>
        <w:rPr>
          <w:rStyle w:val="VerbatimChar"/>
          <w:b/>
          <w:bCs/>
        </w:rPr>
        <w:t xml:space="preserve">qwen/qwen3.5-flash-02-23</w:t>
      </w:r>
      <w:r>
        <w:t xml:space="preserve">. Bull schedule targets June 2025 but the frozen artifact ends</w:t>
      </w:r>
      <w:r>
        <w:t xml:space="preserve"> </w:t>
      </w:r>
      <w:r>
        <w:rPr>
          <w:b/>
          <w:bCs/>
        </w:rPr>
        <w:t xml:space="preserve">2025-05-16</w:t>
      </w:r>
      <w:r>
        <w:t xml:space="preserve"> </w:t>
      </w:r>
      <w:r>
        <w:t xml:space="preserve">(API limits).</w:t>
      </w:r>
    </w:p>
    <w:bookmarkEnd w:id="13"/>
    <w:bookmarkStart w:id="14" w:name="results"/>
    <w:p>
      <w:pPr>
        <w:pStyle w:val="Heading3"/>
      </w:pPr>
      <w:r>
        <w:rPr>
          <w:rStyle w:val="SectionNumber"/>
        </w:rPr>
        <w:t xml:space="preserve">4.3</w:t>
      </w:r>
      <w:r>
        <w:tab/>
      </w: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Agent vs buy-and-hold ($100,000 start).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2"/>
        <w:gridCol w:w="601"/>
        <w:gridCol w:w="501"/>
        <w:gridCol w:w="701"/>
        <w:gridCol w:w="1203"/>
        <w:gridCol w:w="802"/>
        <w:gridCol w:w="802"/>
        <w:gridCol w:w="1503"/>
        <w:gridCol w:w="1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B&amp;H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End equity</w:t>
            </w:r>
          </w:p>
        </w:tc>
        <w:tc>
          <w:tcPr/>
          <w:p>
            <w:pPr>
              <w:pStyle w:val="Compact"/>
            </w:pPr>
            <w:r>
              <w:t xml:space="preserve">Max DD</w:t>
            </w:r>
          </w:p>
        </w:tc>
        <w:tc>
          <w:tcPr/>
          <w:p>
            <w:pPr>
              <w:pStyle w:val="Compact"/>
            </w:pPr>
            <w:r>
              <w:t xml:space="preserve">Sharpe</w:t>
            </w:r>
          </w:p>
        </w:tc>
        <w:tc>
          <w:tcPr/>
          <w:p>
            <w:pPr>
              <w:pStyle w:val="Compact"/>
            </w:pPr>
            <w:r>
              <w:t xml:space="preserve">B/H/S signals</w:t>
            </w:r>
          </w:p>
        </w:tc>
        <w:tc>
          <w:tcPr/>
          <w:p>
            <w:pPr>
              <w:pStyle w:val="Compact"/>
            </w:pPr>
            <w:r>
              <w:t xml:space="preserve">Fees ($)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−17.43%</w:t>
            </w:r>
          </w:p>
        </w:tc>
        <w:tc>
          <w:tcPr/>
          <w:p>
            <w:pPr>
              <w:pStyle w:val="Compact"/>
            </w:pPr>
            <w:r>
              <w:t xml:space="preserve">−7.54%</w:t>
            </w:r>
          </w:p>
        </w:tc>
        <w:tc>
          <w:tcPr/>
          <w:p>
            <w:pPr>
              <w:pStyle w:val="Compact"/>
            </w:pPr>
            <w:r>
              <w:t xml:space="preserve">92,459.38</w:t>
            </w:r>
          </w:p>
        </w:tc>
        <w:tc>
          <w:tcPr/>
          <w:p>
            <w:pPr>
              <w:pStyle w:val="Compact"/>
            </w:pPr>
            <w:r>
              <w:t xml:space="preserve">5.11%</w:t>
            </w:r>
          </w:p>
        </w:tc>
        <w:tc>
          <w:tcPr/>
          <w:p>
            <w:pPr>
              <w:pStyle w:val="Compact"/>
            </w:pPr>
            <w:r>
              <w:t xml:space="preserve">−3.12</w:t>
            </w:r>
          </w:p>
        </w:tc>
        <w:tc>
          <w:tcPr/>
          <w:p>
            <w:pPr>
              <w:pStyle w:val="Compact"/>
            </w:pPr>
            <w:r>
              <w:t xml:space="preserve">7/28/76</w:t>
            </w:r>
          </w:p>
        </w:tc>
        <w:tc>
          <w:tcPr/>
          <w:p>
            <w:pPr>
              <w:pStyle w:val="Compact"/>
            </w:pPr>
            <w:r>
              <w:t xml:space="preserve">1,010.32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Bull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+19.25%</w:t>
            </w:r>
          </w:p>
        </w:tc>
        <w:tc>
          <w:tcPr/>
          <w:p>
            <w:pPr>
              <w:pStyle w:val="Compact"/>
            </w:pPr>
            <w:r>
              <w:t xml:space="preserve">+8.68%</w:t>
            </w:r>
          </w:p>
        </w:tc>
        <w:tc>
          <w:tcPr/>
          <w:p>
            <w:pPr>
              <w:pStyle w:val="Compact"/>
            </w:pPr>
            <w:r>
              <w:t xml:space="preserve">108,675.02</w:t>
            </w:r>
          </w:p>
        </w:tc>
        <w:tc>
          <w:tcPr/>
          <w:p>
            <w:pPr>
              <w:pStyle w:val="Compact"/>
            </w:pPr>
            <w:r>
              <w:t xml:space="preserve">0.47%</w:t>
            </w:r>
          </w:p>
        </w:tc>
        <w:tc>
          <w:tcPr/>
          <w:p>
            <w:pPr>
              <w:pStyle w:val="Compact"/>
            </w:pPr>
            <w:r>
              <w:t xml:space="preserve">+2.62</w:t>
            </w:r>
          </w:p>
        </w:tc>
        <w:tc>
          <w:tcPr/>
          <w:p>
            <w:pPr>
              <w:pStyle w:val="Compact"/>
            </w:pPr>
            <w:r>
              <w:t xml:space="preserve">6/20/68</w:t>
            </w:r>
          </w:p>
        </w:tc>
        <w:tc>
          <w:tcPr/>
          <w:p>
            <w:pPr>
              <w:pStyle w:val="Compact"/>
            </w:pPr>
            <w:r>
              <w:t xml:space="preserve">613.69</w:t>
            </w:r>
          </w:p>
        </w:tc>
      </w:tr>
    </w:tbl>
    <w:p>
      <w:pPr>
        <w:pStyle w:val="BodyText"/>
      </w:pPr>
      <w:r>
        <w:t xml:space="preserve">In the bear window the agent</w:t>
      </w:r>
      <w:r>
        <w:t xml:space="preserve"> </w:t>
      </w:r>
      <w:r>
        <w:rPr>
          <w:b/>
          <w:bCs/>
        </w:rPr>
        <w:t xml:space="preserve">outperforms buy-and-hold</w:t>
      </w:r>
      <w:r>
        <w:t xml:space="preserve"> </w:t>
      </w:r>
      <w:r>
        <w:t xml:space="preserve">with a defensive SELL-heavy profile; in the bull window it</w:t>
      </w:r>
      <w:r>
        <w:t xml:space="preserve"> </w:t>
      </w:r>
      <w:r>
        <w:rPr>
          <w:b/>
          <w:bCs/>
        </w:rPr>
        <w:t xml:space="preserve">underperforms</w:t>
      </w:r>
      <w:r>
        <w:t xml:space="preserve"> </w:t>
      </w:r>
      <w:r>
        <w:t xml:space="preserve">despite positive return—partial rally participation only.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Selected outlook / stance shares (% of days).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bullish</w:t>
            </w:r>
          </w:p>
        </w:tc>
        <w:tc>
          <w:tcPr/>
          <w:p>
            <w:pPr>
              <w:pStyle w:val="Compact"/>
            </w:pPr>
            <w:r>
              <w:t xml:space="preserve">bearish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</w:t>
            </w:r>
          </w:p>
        </w:tc>
        <w:tc>
          <w:tcPr/>
          <w:p>
            <w:pPr>
              <w:pStyle w:val="Compact"/>
            </w:pPr>
            <w:r>
              <w:t xml:space="preserve">market_outlook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31.5</w:t>
            </w:r>
          </w:p>
        </w:tc>
        <w:tc>
          <w:tcPr/>
          <w:p>
            <w:pPr>
              <w:pStyle w:val="Compact"/>
            </w:pPr>
            <w:r>
              <w:t xml:space="preserve">48.6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</w:t>
            </w:r>
          </w:p>
        </w:tc>
        <w:tc>
          <w:tcPr/>
          <w:p>
            <w:pPr>
              <w:pStyle w:val="Compact"/>
            </w:pPr>
            <w:r>
              <w:t xml:space="preserve">bull_implied_stance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</w:t>
            </w:r>
          </w:p>
        </w:tc>
        <w:tc>
          <w:tcPr/>
          <w:p>
            <w:pPr>
              <w:pStyle w:val="Compact"/>
            </w:pPr>
            <w:r>
              <w:t xml:space="preserve">bear_implied_stance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88.3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Bull</w:t>
            </w:r>
          </w:p>
        </w:tc>
        <w:tc>
          <w:tcPr/>
          <w:p>
            <w:pPr>
              <w:pStyle w:val="Compact"/>
            </w:pPr>
            <w:r>
              <w:t xml:space="preserve">market_outlook</w:t>
            </w:r>
          </w:p>
        </w:tc>
        <w:tc>
          <w:tcPr/>
          <w:p>
            <w:pPr>
              <w:pStyle w:val="Compact"/>
            </w:pPr>
            <w:r>
              <w:t xml:space="preserve">21.3</w:t>
            </w:r>
          </w:p>
        </w:tc>
        <w:tc>
          <w:tcPr/>
          <w:p>
            <w:pPr>
              <w:pStyle w:val="Compact"/>
            </w:pPr>
            <w:r>
              <w:t xml:space="preserve">21.3</w:t>
            </w:r>
          </w:p>
        </w:tc>
        <w:tc>
          <w:tcPr/>
          <w:p>
            <w:pPr>
              <w:pStyle w:val="Compact"/>
            </w:pPr>
            <w:r>
              <w:t xml:space="preserve">46.8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Bull</w:t>
            </w:r>
          </w:p>
        </w:tc>
        <w:tc>
          <w:tcPr/>
          <w:p>
            <w:pPr>
              <w:pStyle w:val="Compact"/>
            </w:pPr>
            <w:r>
              <w:t xml:space="preserve">bull_implied_stance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97.9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Bull</w:t>
            </w:r>
          </w:p>
        </w:tc>
        <w:tc>
          <w:tcPr/>
          <w:p>
            <w:pPr>
              <w:pStyle w:val="Compact"/>
            </w:pPr>
            <w:r>
              <w:t xml:space="preserve">bear_implied_stance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85.1</w:t>
            </w:r>
          </w:p>
        </w:tc>
        <w:tc>
          <w:tcPr/>
          <w:p>
            <w:pPr>
              <w:pStyle w:val="Compact"/>
            </w:pPr>
            <w:r>
              <w:t xml:space="preserve">12.8</w:t>
            </w:r>
          </w:p>
        </w:tc>
      </w:tr>
    </w:tbl>
    <w:bookmarkEnd w:id="14"/>
    <w:bookmarkStart w:id="27" w:name="figures"/>
    <w:p>
      <w:pPr>
        <w:pStyle w:val="Heading3"/>
      </w:pPr>
      <w:r>
        <w:rPr>
          <w:rStyle w:val="SectionNumber"/>
        </w:rPr>
        <w:t xml:space="preserve">4.4</w:t>
      </w:r>
      <w:r>
        <w:tab/>
      </w:r>
      <w:r>
        <w:t xml:space="preserve">Figures</w:t>
      </w:r>
    </w:p>
    <w:p>
      <w:pPr>
        <w:pStyle w:val="CaptionedFigure"/>
      </w:pPr>
      <w:r>
        <w:drawing>
          <wp:inline>
            <wp:extent cx="5334000" cy="1844467"/>
            <wp:effectExtent b="0" l="0" r="0" t="0"/>
            <wp:docPr descr="Figure 1. Agent vs buy-and-hold equity by regime." title="" id="16" name="Picture"/>
            <a:graphic>
              <a:graphicData uri="http://schemas.openxmlformats.org/drawingml/2006/picture">
                <pic:pic>
                  <pic:nvPicPr>
                    <pic:cNvPr descr="figures/fig_regime_equity.pdf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4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Agent vs buy-and-hold equity by regime.</w:t>
      </w:r>
    </w:p>
    <w:p>
      <w:pPr>
        <w:pStyle w:val="CaptionedFigure"/>
      </w:pPr>
      <w:r>
        <w:drawing>
          <wp:inline>
            <wp:extent cx="5334000" cy="3183193"/>
            <wp:effectExtent b="0" l="0" r="0" t="0"/>
            <wp:docPr descr="Figure 2. Total return by regime." title="" id="19" name="Picture"/>
            <a:graphic>
              <a:graphicData uri="http://schemas.openxmlformats.org/drawingml/2006/picture">
                <pic:pic>
                  <pic:nvPicPr>
                    <pic:cNvPr descr="figures/fig_regime_returns.pdf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3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Total return by regime.</w:t>
      </w:r>
    </w:p>
    <w:p>
      <w:pPr>
        <w:pStyle w:val="CaptionedFigure"/>
      </w:pPr>
      <w:r>
        <w:drawing>
          <wp:inline>
            <wp:extent cx="5334000" cy="3183193"/>
            <wp:effectExtent b="0" l="0" r="0" t="0"/>
            <wp:docPr descr="Figure 3. Final signal counts by regime." title="" id="22" name="Picture"/>
            <a:graphic>
              <a:graphicData uri="http://schemas.openxmlformats.org/drawingml/2006/picture">
                <pic:pic>
                  <pic:nvPicPr>
                    <pic:cNvPr descr="figures/fig_regime_signal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3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Final signal counts by regime.</w:t>
      </w:r>
    </w:p>
    <w:p>
      <w:pPr>
        <w:pStyle w:val="CaptionedFigure"/>
      </w:pPr>
      <w:r>
        <w:drawing>
          <wp:inline>
            <wp:extent cx="5334000" cy="2116516"/>
            <wp:effectExtent b="0" l="0" r="0" t="0"/>
            <wp:docPr descr="Figure 4. Share of days with bullish analyst outlook." title="" id="25" name="Picture"/>
            <a:graphic>
              <a:graphicData uri="http://schemas.openxmlformats.org/drawingml/2006/picture">
                <pic:pic>
                  <pic:nvPicPr>
                    <pic:cNvPr descr="figures/fig_regime_outlook_bullish.pdf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Share of days with bullish analyst outlook.</w:t>
      </w:r>
    </w:p>
    <w:bookmarkEnd w:id="27"/>
    <w:bookmarkEnd w:id="28"/>
    <w:bookmarkStart w:id="29" w:name="conclusion"/>
    <w:p>
      <w:pPr>
        <w:pStyle w:val="Heading2"/>
      </w:pPr>
      <w:r>
        <w:rPr>
          <w:rStyle w:val="SectionNumber"/>
        </w:rPr>
        <w:t xml:space="preserve">5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presented an open LangGraph trading stack and</w:t>
      </w:r>
      <w:r>
        <w:t xml:space="preserve"> </w:t>
      </w:r>
      <w:r>
        <w:rPr>
          <w:b/>
          <w:bCs/>
        </w:rPr>
        <w:t xml:space="preserve">regime-conditioned</w:t>
      </w:r>
      <w:r>
        <w:t xml:space="preserve"> </w:t>
      </w:r>
      <w:r>
        <w:t xml:space="preserve">evaluation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. The full pipeline shows asymmetric behavior: relative protection in the bear window and partial participation in the bull window.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One ticker; bull run truncated at 2025-05-16; single LLM; regimes are exogenous, not predicted by the agent.</w:t>
      </w:r>
    </w:p>
    <w:bookmarkEnd w:id="29"/>
    <w:bookmarkStart w:id="30" w:name="contributions"/>
    <w:p>
      <w:pPr>
        <w:pStyle w:val="Heading2"/>
      </w:pPr>
      <w:r>
        <w:rPr>
          <w:rStyle w:val="SectionNumber"/>
        </w:rPr>
        <w:t xml:space="preserve">6</w:t>
      </w:r>
      <w:r>
        <w:tab/>
      </w: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decision graph</w:t>
      </w:r>
      <w:r>
        <w:t xml:space="preserve"> </w:t>
      </w:r>
      <w:r>
        <w:t xml:space="preserve">(S1).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Regime-conditioned evaluation</w:t>
      </w:r>
      <w:r>
        <w:t xml:space="preserve"> </w:t>
      </w:r>
      <w:r>
        <w:t xml:space="preserve">with frozen bear/bull CSVs (S2).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Structured stage outputs</w:t>
      </w:r>
      <w:r>
        <w:t xml:space="preserve"> </w:t>
      </w:r>
      <w:r>
        <w:t xml:space="preserve">(S3).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Point-in-time policy and anonymization</w:t>
      </w:r>
      <w:r>
        <w:t xml:space="preserve"> </w:t>
      </w:r>
      <w:r>
        <w:t xml:space="preserve">(S4).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Backtest harness and analysis artifacts</w:t>
      </w:r>
      <w:r>
        <w:t xml:space="preserve"> </w:t>
      </w:r>
      <w:r>
        <w:t xml:space="preserve">(S5).</w:t>
      </w:r>
    </w:p>
    <w:bookmarkEnd w:id="30"/>
    <w:bookmarkStart w:id="3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Not applicable.</w:t>
      </w:r>
    </w:p>
    <w:bookmarkEnd w:id="31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Xiao, Y., Sun, E., Luo, D. and Wang, W., 2024. TradingAgents: Multi-Agents LLM Financial Trading Framework.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arXiv:2412.20138 [q-fin.TR]. Available at: https://arxiv.org/abs/2412.20138 (Accessed: 28 May 2026).</w:t>
      </w:r>
    </w:p>
    <w:p>
      <w:pPr>
        <w:pStyle w:val="BodyText"/>
      </w:pPr>
      <w:r>
        <w:t xml:space="preserve">Yang, H., Liu, X.-Y. and Wang, C.D., 2023. FinGPT: Open-Source Financial Large Language Models.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arXiv:2306.06031 [q-fin.ST]. Available at: https://arxiv.org/abs/2306.06031 (Accessed: 28 May 2026).</w:t>
      </w:r>
    </w:p>
    <w:p>
      <w:pPr>
        <w:pStyle w:val="BodyText"/>
      </w:pPr>
      <w:r>
        <w:t xml:space="preserve">Yu, Y., Li, H., Chen, Z., Jiang, Y., Li, Y., Zhang, D., Liu, R., Suchow, J.W. and Khashanah, K., 2023. FinMem: A Performance-Enhanced LLM Trading Agent with Layered Memory and Character Design.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arXiv:2311.13743 [q-fin.CP]. Available at: https://arxiv.org/abs/2311.13743 (Accessed: 28 May 2026).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df" /><Relationship Type="http://schemas.openxmlformats.org/officeDocument/2006/relationships/image" Id="rId24" Target="media/rId24.pdf" /><Relationship Type="http://schemas.openxmlformats.org/officeDocument/2006/relationships/image" Id="rId18" Target="media/rId18.pdf" /><Relationship Type="http://schemas.openxmlformats.org/officeDocument/2006/relationships/image" Id="rId21" Target="media/rId21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Point-in-Time Multi-Agent LLM Trading: A Reproducible LangGraph Stack with Regime-Conditioned Evaluation and Fair Backtesting</dc:title>
  <dc:creator>[Rohit Edward Martires] (Independent researcher, [Goa, India]). Email: [rohitmartires14@gmail.com].</dc:creator>
  <cp:keywords/>
  <dcterms:created xsi:type="dcterms:W3CDTF">2026-05-28T16:29:18Z</dcterms:created>
  <dcterms:modified xsi:type="dcterms:W3CDTF">2026-05-28T16:29:18Z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Large language models are increasingly used in financial decision pipelines, yet published agent stacks are often hard to reproduce and rarely evaluated under distinct market conditions on historical as-of dates. We present Hindsight 20/20, an open LangGraph stack for single-asset trading with structured Pydantic outputs, a simulation end date for point-in-time data, optional ticker anonymization, and a fee-aware paper backtest. We evaluate the full pipeline on RELIANCE.NS in two exogenous windows—a bear regime (underlying return −17.4%, Aug 2024–Jan 2025) and a bull regime (+19.3%, Jan–May 2025)—each from $100,000 paper cash. The agent loses less than buy-and-hold in the bear window (−7.5% vs −17.4%) but captures less of the rally in the bull window (+8.7% vs +19.3%). Frozen CSV artifacts and scripts reproduce tables and figures.</vt:lpwstr>
  </property>
  <property fmtid="{D5CDD505-2E9C-101B-9397-08002B2CF9AE}" pid="3" name="date">
    <vt:lpwstr>28 May 2026</vt:lpwstr>
  </property>
  <property fmtid="{D5CDD505-2E9C-101B-9397-08002B2CF9AE}" pid="4" name="documentclass">
    <vt:lpwstr>article</vt:lpwstr>
  </property>
  <property fmtid="{D5CDD505-2E9C-101B-9397-08002B2CF9AE}" pid="5" name="fontsize">
    <vt:lpwstr>12pt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numbersections">
    <vt:lpwstr>True</vt:lpwstr>
  </property>
</Properties>
</file>