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1ED" w:rsidRDefault="001A044B" w:rsidP="004A0257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 xml:space="preserve">20250327-Orna </w:t>
      </w:r>
      <w:proofErr w:type="spellStart"/>
      <w:r>
        <w:rPr>
          <w:rFonts w:ascii="Arial" w:eastAsia="DengXian" w:hAnsi="Arial" w:cs="Arial"/>
          <w:b/>
          <w:sz w:val="52"/>
        </w:rPr>
        <w:t>Amster</w:t>
      </w:r>
      <w:proofErr w:type="spellEnd"/>
      <w:r>
        <w:rPr>
          <w:rFonts w:ascii="Arial" w:eastAsia="DengXian" w:hAnsi="Arial" w:cs="Arial"/>
          <w:b/>
          <w:sz w:val="52"/>
        </w:rPr>
        <w:t>-Choder-</w:t>
      </w:r>
      <w:r>
        <w:rPr>
          <w:rFonts w:ascii="Arial" w:eastAsia="DengXian" w:hAnsi="Arial" w:cs="Arial"/>
          <w:b/>
          <w:sz w:val="52"/>
        </w:rPr>
        <w:t>会议笔记</w:t>
      </w:r>
      <w:bookmarkStart w:id="0" w:name="_GoBack"/>
      <w:bookmarkEnd w:id="0"/>
    </w:p>
    <w:p w:rsidR="005E41ED" w:rsidRDefault="001A044B">
      <w:pPr>
        <w:spacing w:before="380" w:after="140" w:line="288" w:lineRule="auto"/>
        <w:outlineLvl w:val="0"/>
      </w:pPr>
      <w:bookmarkStart w:id="1" w:name="heading_1"/>
      <w:r>
        <w:rPr>
          <w:rFonts w:ascii="Arial" w:eastAsia="DengXian" w:hAnsi="Arial" w:cs="Arial"/>
          <w:b/>
          <w:sz w:val="36"/>
        </w:rPr>
        <w:t>会议回顾</w:t>
      </w:r>
      <w:bookmarkEnd w:id="1"/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赵佳馨，苗智超课题组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2025</w:t>
      </w:r>
      <w:r>
        <w:rPr>
          <w:rFonts w:ascii="Arial" w:eastAsia="DengXian" w:hAnsi="Arial" w:cs="Arial"/>
          <w:sz w:val="22"/>
        </w:rPr>
        <w:t>年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月</w:t>
      </w:r>
      <w:r>
        <w:rPr>
          <w:rFonts w:ascii="Arial" w:eastAsia="DengXian" w:hAnsi="Arial" w:cs="Arial"/>
          <w:sz w:val="22"/>
        </w:rPr>
        <w:t>27</w:t>
      </w:r>
      <w:r>
        <w:rPr>
          <w:rFonts w:ascii="Arial" w:eastAsia="DengXian" w:hAnsi="Arial" w:cs="Arial"/>
          <w:sz w:val="22"/>
        </w:rPr>
        <w:t>日，应</w:t>
      </w:r>
      <w:r>
        <w:rPr>
          <w:rFonts w:ascii="Arial" w:eastAsia="DengXian" w:hAnsi="Arial" w:cs="Arial"/>
          <w:sz w:val="22"/>
        </w:rPr>
        <w:t>Guangzhou RNA Club</w:t>
      </w:r>
      <w:r>
        <w:rPr>
          <w:rFonts w:ascii="Arial" w:eastAsia="DengXian" w:hAnsi="Arial" w:cs="Arial"/>
          <w:sz w:val="22"/>
        </w:rPr>
        <w:t>邀请，以色列耶路撒冷希伯来大学</w:t>
      </w:r>
      <w:proofErr w:type="spellStart"/>
      <w:r>
        <w:rPr>
          <w:rFonts w:ascii="Arial" w:eastAsia="DengXian" w:hAnsi="Arial" w:cs="Arial"/>
          <w:sz w:val="22"/>
        </w:rPr>
        <w:t>Orna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Amster</w:t>
      </w:r>
      <w:proofErr w:type="spellEnd"/>
      <w:r>
        <w:rPr>
          <w:rFonts w:ascii="Arial" w:eastAsia="DengXian" w:hAnsi="Arial" w:cs="Arial"/>
          <w:sz w:val="22"/>
        </w:rPr>
        <w:t>-Choder</w:t>
      </w:r>
      <w:r>
        <w:rPr>
          <w:rFonts w:ascii="Arial" w:eastAsia="DengXian" w:hAnsi="Arial" w:cs="Arial"/>
          <w:sz w:val="22"/>
        </w:rPr>
        <w:t>教授作了题为</w:t>
      </w:r>
      <w:r>
        <w:rPr>
          <w:rFonts w:ascii="Arial" w:eastAsia="DengXian" w:hAnsi="Arial" w:cs="Arial"/>
          <w:sz w:val="22"/>
        </w:rPr>
        <w:t xml:space="preserve">“Revisiting the dogma on bacterial transcriptome organization: implications on gene </w:t>
      </w:r>
      <w:r>
        <w:rPr>
          <w:rFonts w:ascii="Arial" w:eastAsia="DengXian" w:hAnsi="Arial" w:cs="Arial"/>
          <w:sz w:val="22"/>
        </w:rPr>
        <w:t>expression”</w:t>
      </w:r>
      <w:r>
        <w:rPr>
          <w:rFonts w:ascii="Arial" w:eastAsia="DengXian" w:hAnsi="Arial" w:cs="Arial"/>
          <w:sz w:val="22"/>
        </w:rPr>
        <w:t>的线上学术报告。</w:t>
      </w:r>
      <w:proofErr w:type="spellStart"/>
      <w:r>
        <w:rPr>
          <w:rFonts w:ascii="Arial" w:eastAsia="DengXian" w:hAnsi="Arial" w:cs="Arial"/>
          <w:sz w:val="22"/>
        </w:rPr>
        <w:t>Orna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Amster</w:t>
      </w:r>
      <w:proofErr w:type="spellEnd"/>
      <w:r>
        <w:rPr>
          <w:rFonts w:ascii="Arial" w:eastAsia="DengXian" w:hAnsi="Arial" w:cs="Arial"/>
          <w:sz w:val="22"/>
        </w:rPr>
        <w:t>-Choder</w:t>
      </w:r>
      <w:r>
        <w:rPr>
          <w:rFonts w:ascii="Arial" w:eastAsia="DengXian" w:hAnsi="Arial" w:cs="Arial"/>
          <w:sz w:val="22"/>
        </w:rPr>
        <w:t>教授的主要研究方向包括：（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）亚细胞组织；（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）相分离；（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）转录</w:t>
      </w:r>
      <w:r>
        <w:rPr>
          <w:rFonts w:ascii="Arial" w:eastAsia="DengXian" w:hAnsi="Arial" w:cs="Arial"/>
          <w:sz w:val="22"/>
        </w:rPr>
        <w:t>-</w:t>
      </w:r>
      <w:r>
        <w:rPr>
          <w:rFonts w:ascii="Arial" w:eastAsia="DengXian" w:hAnsi="Arial" w:cs="Arial"/>
          <w:sz w:val="22"/>
        </w:rPr>
        <w:t>翻译；（</w:t>
      </w:r>
      <w:r>
        <w:rPr>
          <w:rFonts w:ascii="Arial" w:eastAsia="DengXian" w:hAnsi="Arial" w:cs="Arial"/>
          <w:sz w:val="22"/>
        </w:rPr>
        <w:t>4</w:t>
      </w:r>
      <w:r>
        <w:rPr>
          <w:rFonts w:ascii="Arial" w:eastAsia="DengXian" w:hAnsi="Arial" w:cs="Arial"/>
          <w:sz w:val="22"/>
        </w:rPr>
        <w:t>）抗生物膜因子。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380" w:after="140" w:line="288" w:lineRule="auto"/>
        <w:outlineLvl w:val="0"/>
      </w:pPr>
      <w:bookmarkStart w:id="2" w:name="heading_2"/>
      <w:r>
        <w:rPr>
          <w:rFonts w:ascii="Arial" w:eastAsia="DengXian" w:hAnsi="Arial" w:cs="Arial"/>
          <w:b/>
          <w:sz w:val="36"/>
        </w:rPr>
        <w:t>会议内容</w:t>
      </w:r>
      <w:bookmarkEnd w:id="2"/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本次报告围绕细菌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的定位、转录与翻译的关系、细菌细胞极性相关的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定位机制、小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的定位及作用，以及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伴侣蛋白的相关研究展开，对细菌转录组织的传统理论进行了重新审视，为相关领域研究提供了新视角。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一、细菌</w:t>
      </w:r>
      <w:r>
        <w:rPr>
          <w:rFonts w:ascii="Arial" w:eastAsia="DengXian" w:hAnsi="Arial" w:cs="Arial"/>
          <w:b/>
          <w:sz w:val="32"/>
        </w:rPr>
        <w:t xml:space="preserve"> RNA </w:t>
      </w:r>
      <w:r>
        <w:rPr>
          <w:rFonts w:ascii="Arial" w:eastAsia="DengXian" w:hAnsi="Arial" w:cs="Arial"/>
          <w:b/>
          <w:sz w:val="32"/>
        </w:rPr>
        <w:t>的特殊时间组织及其生物学意义</w:t>
      </w:r>
      <w:bookmarkEnd w:id="3"/>
    </w:p>
    <w:p w:rsidR="005E41ED" w:rsidRDefault="001A044B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细菌细胞的传统观点与更新：</w:t>
      </w:r>
    </w:p>
    <w:p w:rsidR="005E41ED" w:rsidRDefault="001A044B">
      <w:pPr>
        <w:numPr>
          <w:ilvl w:val="0"/>
          <w:numId w:val="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传统观点：</w:t>
      </w:r>
    </w:p>
    <w:p w:rsidR="005E41ED" w:rsidRDefault="001A044B">
      <w:pPr>
        <w:numPr>
          <w:ilvl w:val="0"/>
          <w:numId w:val="3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传统观点认为细菌</w:t>
      </w:r>
      <w:r>
        <w:rPr>
          <w:rFonts w:ascii="Arial" w:eastAsia="DengXian" w:hAnsi="Arial" w:cs="Arial"/>
          <w:sz w:val="22"/>
        </w:rPr>
        <w:t>中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仅编码蛋白质且不发生定位。</w:t>
      </w:r>
    </w:p>
    <w:p w:rsidR="005E41ED" w:rsidRDefault="001A044B">
      <w:pPr>
        <w:numPr>
          <w:ilvl w:val="0"/>
          <w:numId w:val="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新发现：</w:t>
      </w:r>
    </w:p>
    <w:p w:rsidR="005E41ED" w:rsidRDefault="001A044B">
      <w:pPr>
        <w:numPr>
          <w:ilvl w:val="0"/>
          <w:numId w:val="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RNA </w:t>
      </w:r>
      <w:r>
        <w:rPr>
          <w:rFonts w:ascii="Arial" w:eastAsia="DengXian" w:hAnsi="Arial" w:cs="Arial"/>
          <w:sz w:val="22"/>
        </w:rPr>
        <w:t>定位模式：</w:t>
      </w:r>
      <w:r>
        <w:rPr>
          <w:rFonts w:ascii="Arial" w:eastAsia="DengXian" w:hAnsi="Arial" w:cs="Arial"/>
          <w:sz w:val="22"/>
        </w:rPr>
        <w:t xml:space="preserve">RNA </w:t>
      </w:r>
      <w:r>
        <w:rPr>
          <w:rFonts w:ascii="Arial" w:eastAsia="DengXian" w:hAnsi="Arial" w:cs="Arial"/>
          <w:sz w:val="22"/>
        </w:rPr>
        <w:t>分子可在大肠杆菌细胞中定位于特定区域，</w:t>
      </w:r>
      <w:r>
        <w:rPr>
          <w:rFonts w:ascii="Arial" w:eastAsia="DengXian" w:hAnsi="Arial" w:cs="Arial"/>
          <w:sz w:val="22"/>
        </w:rPr>
        <w:t xml:space="preserve">mRNA </w:t>
      </w:r>
      <w:r>
        <w:rPr>
          <w:rFonts w:ascii="Arial" w:eastAsia="DengXian" w:hAnsi="Arial" w:cs="Arial"/>
          <w:sz w:val="22"/>
        </w:rPr>
        <w:t>有细胞质、膜、极区三种定位模式，且其定位与编码蛋白定位相关，同一操纵子顺反子的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会共同定位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，且定位独立于翻译。</w:t>
      </w:r>
    </w:p>
    <w:p w:rsidR="005E41ED" w:rsidRDefault="001A044B">
      <w:pPr>
        <w:numPr>
          <w:ilvl w:val="0"/>
          <w:numId w:val="6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转录与翻译空间分离：大肠杆菌中转录和翻译机器在空间上分离，少量核糖体和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聚合酶分布特殊。此外，还涉及大肠杆菌中编码</w:t>
      </w:r>
      <w:r>
        <w:rPr>
          <w:rFonts w:ascii="Arial" w:eastAsia="DengXian" w:hAnsi="Arial" w:cs="Arial"/>
          <w:sz w:val="22"/>
        </w:rPr>
        <w:t xml:space="preserve"> SRP </w:t>
      </w:r>
      <w:r>
        <w:rPr>
          <w:rFonts w:ascii="Arial" w:eastAsia="DengXian" w:hAnsi="Arial" w:cs="Arial"/>
          <w:sz w:val="22"/>
        </w:rPr>
        <w:t>插入小膜蛋白的</w:t>
      </w:r>
      <w:r>
        <w:rPr>
          <w:rFonts w:ascii="Arial" w:eastAsia="DengXian" w:hAnsi="Arial" w:cs="Arial"/>
          <w:sz w:val="22"/>
        </w:rPr>
        <w:t xml:space="preserve"> mRNA</w:t>
      </w:r>
      <w:r>
        <w:rPr>
          <w:rFonts w:ascii="Arial" w:eastAsia="DengXian" w:hAnsi="Arial" w:cs="Arial"/>
          <w:sz w:val="22"/>
        </w:rPr>
        <w:t>、蓝细菌中编码类囊体膜蛋白的</w:t>
      </w:r>
      <w:r>
        <w:rPr>
          <w:rFonts w:ascii="Arial" w:eastAsia="DengXian" w:hAnsi="Arial" w:cs="Arial"/>
          <w:sz w:val="22"/>
        </w:rPr>
        <w:t xml:space="preserve"> mRNA</w:t>
      </w:r>
      <w:r>
        <w:rPr>
          <w:rFonts w:ascii="Arial" w:eastAsia="DengXian" w:hAnsi="Arial" w:cs="Arial"/>
          <w:sz w:val="22"/>
        </w:rPr>
        <w:t>，均存在独立于翻译的定位现象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293370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1 </w:t>
      </w:r>
      <w:r>
        <w:rPr>
          <w:rFonts w:ascii="Arial" w:eastAsia="DengXian" w:hAnsi="Arial" w:cs="Arial"/>
          <w:sz w:val="22"/>
        </w:rPr>
        <w:t>传统观点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3370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2962275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2 </w:t>
      </w:r>
      <w:r>
        <w:rPr>
          <w:rFonts w:ascii="Arial" w:eastAsia="DengXian" w:hAnsi="Arial" w:cs="Arial"/>
          <w:sz w:val="22"/>
        </w:rPr>
        <w:t>对传统观点的重新审视</w:t>
      </w:r>
    </w:p>
    <w:p w:rsidR="005E41ED" w:rsidRDefault="001A044B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高通量分析</w:t>
      </w:r>
    </w:p>
    <w:p w:rsidR="005E41ED" w:rsidRDefault="001A044B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分级分离与测序：</w:t>
      </w:r>
      <w:proofErr w:type="spellStart"/>
      <w:r>
        <w:rPr>
          <w:rFonts w:ascii="Arial" w:eastAsia="DengXian" w:hAnsi="Arial" w:cs="Arial"/>
          <w:sz w:val="22"/>
        </w:rPr>
        <w:t>Rloc-Seq</w:t>
      </w:r>
      <w:proofErr w:type="spellEnd"/>
      <w:r>
        <w:rPr>
          <w:rFonts w:ascii="Arial" w:eastAsia="DengXian" w:hAnsi="Arial" w:cs="Arial"/>
          <w:sz w:val="22"/>
        </w:rPr>
        <w:t>将细胞分离为膜、细胞质和极区组分，随后进行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测序。结果显示，大部分转录组呈现不对称分布，许多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在各组分中显著富集。</w:t>
      </w:r>
    </w:p>
    <w:p w:rsidR="005E41ED" w:rsidRDefault="001A044B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基因本体分析：分析表明各组分中富集不同功能的基因群。细胞膜组分中富集转运活性、外膜和脂多糖生物合成相关基因；细胞质组分中则存在</w:t>
      </w:r>
      <w:r>
        <w:rPr>
          <w:rFonts w:ascii="Arial" w:eastAsia="DengXian" w:hAnsi="Arial" w:cs="Arial"/>
          <w:sz w:val="22"/>
        </w:rPr>
        <w:t xml:space="preserve"> DNA </w:t>
      </w:r>
      <w:r>
        <w:rPr>
          <w:rFonts w:ascii="Arial" w:eastAsia="DengXian" w:hAnsi="Arial" w:cs="Arial"/>
          <w:sz w:val="22"/>
        </w:rPr>
        <w:t>复制和糖酵解相关基因。</w:t>
      </w:r>
    </w:p>
    <w:p w:rsidR="005E41ED" w:rsidRDefault="001A044B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翻译独立性：多数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的定位不受翻译抑制的影响。例如，用抗生素（如卡斯托霉素）处理或进行移码突变，均未阻止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定位于相应区域。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4322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3 </w:t>
      </w:r>
      <w:r>
        <w:rPr>
          <w:rFonts w:ascii="Arial" w:eastAsia="DengXian" w:hAnsi="Arial" w:cs="Arial"/>
          <w:sz w:val="22"/>
        </w:rPr>
        <w:t>用于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Rloc-Seq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的细胞分离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2952750"/>
            <wp:effectExtent l="0" t="0" r="0" b="0"/>
            <wp:docPr id="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4 </w:t>
      </w:r>
      <w:r>
        <w:rPr>
          <w:rFonts w:ascii="Arial" w:eastAsia="DengXian" w:hAnsi="Arial" w:cs="Arial"/>
          <w:sz w:val="22"/>
        </w:rPr>
        <w:t>大量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在每个级分中显著过度表达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43225"/>
            <wp:effectExtent l="0" t="0" r="0" b="0"/>
            <wp:docPr id="6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基因本体组在膜和细胞质组分中显示出相反的富集模式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>二、</w:t>
      </w:r>
      <w:r>
        <w:rPr>
          <w:rFonts w:ascii="Arial" w:eastAsia="DengXian" w:hAnsi="Arial" w:cs="Arial"/>
          <w:b/>
          <w:sz w:val="32"/>
        </w:rPr>
        <w:t xml:space="preserve">RNA </w:t>
      </w:r>
      <w:r>
        <w:rPr>
          <w:rFonts w:ascii="Arial" w:eastAsia="DengXian" w:hAnsi="Arial" w:cs="Arial"/>
          <w:b/>
          <w:sz w:val="32"/>
        </w:rPr>
        <w:t>定位在多大程度上取决于翻译？</w:t>
      </w:r>
      <w:bookmarkEnd w:id="4"/>
    </w:p>
    <w:p w:rsidR="005E41ED" w:rsidRDefault="001A044B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RNA</w:t>
      </w:r>
      <w:r>
        <w:rPr>
          <w:rFonts w:ascii="Arial" w:eastAsia="DengXian" w:hAnsi="Arial" w:cs="Arial"/>
          <w:b/>
          <w:sz w:val="22"/>
        </w:rPr>
        <w:t>的亚细胞分布与翻译无关性</w:t>
      </w:r>
    </w:p>
    <w:p w:rsidR="005E41ED" w:rsidRDefault="001A044B">
      <w:p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研究发现，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的亚细胞分布（如膜定位）在很大程度上与翻译过程无关。即使抑制翻译起始或引入移码突变，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仍能定位到膜上。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的膜定位依赖于富含</w:t>
      </w:r>
      <w:r>
        <w:rPr>
          <w:rFonts w:ascii="Arial" w:eastAsia="DengXian" w:hAnsi="Arial" w:cs="Arial"/>
          <w:sz w:val="22"/>
        </w:rPr>
        <w:t>A/U</w:t>
      </w:r>
      <w:r>
        <w:rPr>
          <w:rFonts w:ascii="Arial" w:eastAsia="DengXian" w:hAnsi="Arial" w:cs="Arial"/>
          <w:sz w:val="22"/>
        </w:rPr>
        <w:t>的序列（</w:t>
      </w:r>
      <w:r>
        <w:rPr>
          <w:rFonts w:ascii="Arial" w:eastAsia="DengXian" w:hAnsi="Arial" w:cs="Arial"/>
          <w:sz w:val="22"/>
        </w:rPr>
        <w:t>“zip code”</w:t>
      </w:r>
      <w:r>
        <w:rPr>
          <w:rFonts w:ascii="Arial" w:eastAsia="DengXian" w:hAnsi="Arial" w:cs="Arial"/>
          <w:sz w:val="22"/>
        </w:rPr>
        <w:t>），通过调整这些序列的富集程度可以调控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的定位。</w:t>
      </w:r>
    </w:p>
    <w:p w:rsidR="005E41ED" w:rsidRDefault="001A044B">
      <w:pPr>
        <w:spacing w:before="120" w:after="120" w:line="288" w:lineRule="auto"/>
        <w:ind w:left="453"/>
        <w:jc w:val="center"/>
      </w:pPr>
      <w:r>
        <w:rPr>
          <w:noProof/>
        </w:rPr>
        <w:lastRenderedPageBreak/>
        <w:drawing>
          <wp:inline distT="0" distB="0" distL="0" distR="0">
            <wp:extent cx="5257800" cy="2971800"/>
            <wp:effectExtent l="0" t="0" r="0" b="0"/>
            <wp:docPr id="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6 </w:t>
      </w:r>
      <w:r>
        <w:rPr>
          <w:rFonts w:ascii="Arial" w:eastAsia="DengXian" w:hAnsi="Arial" w:cs="Arial"/>
          <w:sz w:val="22"/>
        </w:rPr>
        <w:t>细菌转录组中很大一部分以翻译无关的方式定位</w:t>
      </w:r>
    </w:p>
    <w:p w:rsidR="005E41ED" w:rsidRDefault="001A044B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极区</w:t>
      </w:r>
      <w:r>
        <w:rPr>
          <w:rFonts w:ascii="Arial" w:eastAsia="DengXian" w:hAnsi="Arial" w:cs="Arial"/>
          <w:b/>
          <w:sz w:val="22"/>
        </w:rPr>
        <w:t xml:space="preserve"> mRNA </w:t>
      </w:r>
      <w:r>
        <w:rPr>
          <w:rFonts w:ascii="Arial" w:eastAsia="DengXian" w:hAnsi="Arial" w:cs="Arial"/>
          <w:b/>
          <w:sz w:val="22"/>
        </w:rPr>
        <w:t>定位的机制研究</w:t>
      </w:r>
    </w:p>
    <w:p w:rsidR="005E41ED" w:rsidRDefault="001A044B">
      <w:pPr>
        <w:spacing w:before="120" w:after="120" w:line="288" w:lineRule="auto"/>
      </w:pPr>
      <w:proofErr w:type="spellStart"/>
      <w:r>
        <w:rPr>
          <w:rFonts w:ascii="Arial" w:eastAsia="DengXian" w:hAnsi="Arial" w:cs="Arial"/>
          <w:sz w:val="22"/>
        </w:rPr>
        <w:t>Orna</w:t>
      </w:r>
      <w:proofErr w:type="spellEnd"/>
      <w:r>
        <w:rPr>
          <w:rFonts w:ascii="Arial" w:eastAsia="DengXian" w:hAnsi="Arial" w:cs="Arial"/>
          <w:sz w:val="22"/>
        </w:rPr>
        <w:t>教授及学生采用了两种方法来确定</w:t>
      </w:r>
      <w:r>
        <w:rPr>
          <w:rFonts w:ascii="Arial" w:eastAsia="DengXian" w:hAnsi="Arial" w:cs="Arial"/>
          <w:sz w:val="22"/>
        </w:rPr>
        <w:t>mRNA</w:t>
      </w:r>
      <w:r>
        <w:rPr>
          <w:rFonts w:ascii="Arial" w:eastAsia="DengXian" w:hAnsi="Arial" w:cs="Arial"/>
          <w:sz w:val="22"/>
        </w:rPr>
        <w:t>定位到极点的位置，分别是：采用候选系统方法（基于假设，研究关键蛋白缺失或失活对极区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定位的影响）和无偏蛋白质组学方法（通过纯化与</w:t>
      </w:r>
      <w:r>
        <w:rPr>
          <w:rFonts w:ascii="Arial" w:eastAsia="DengXian" w:hAnsi="Arial" w:cs="Arial"/>
          <w:sz w:val="22"/>
        </w:rPr>
        <w:t xml:space="preserve"> RNA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结合的蛋白，分析相关蛋白）。研究发现，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能够特异性地定位到细胞的极区，这一过程依赖于</w:t>
      </w:r>
      <w:proofErr w:type="spellStart"/>
      <w:r>
        <w:rPr>
          <w:rFonts w:ascii="Arial" w:eastAsia="DengXian" w:hAnsi="Arial" w:cs="Arial"/>
          <w:sz w:val="22"/>
        </w:rPr>
        <w:t>MinD</w:t>
      </w:r>
      <w:proofErr w:type="spellEnd"/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RNase E</w:t>
      </w:r>
      <w:r>
        <w:rPr>
          <w:rFonts w:ascii="Arial" w:eastAsia="DengXian" w:hAnsi="Arial" w:cs="Arial"/>
          <w:sz w:val="22"/>
        </w:rPr>
        <w:t>的相互作用。</w:t>
      </w:r>
      <w:r>
        <w:rPr>
          <w:rFonts w:ascii="Arial" w:eastAsia="DengXian" w:hAnsi="Arial" w:cs="Arial"/>
          <w:sz w:val="22"/>
        </w:rPr>
        <w:t>RNase E</w:t>
      </w:r>
      <w:r>
        <w:rPr>
          <w:rFonts w:ascii="Arial" w:eastAsia="DengXian" w:hAnsi="Arial" w:cs="Arial"/>
          <w:sz w:val="22"/>
        </w:rPr>
        <w:t>与</w:t>
      </w:r>
      <w:proofErr w:type="spellStart"/>
      <w:r>
        <w:rPr>
          <w:rFonts w:ascii="Arial" w:eastAsia="DengXian" w:hAnsi="Arial" w:cs="Arial"/>
          <w:sz w:val="22"/>
        </w:rPr>
        <w:t>MinD</w:t>
      </w:r>
      <w:proofErr w:type="spellEnd"/>
      <w:r>
        <w:rPr>
          <w:rFonts w:ascii="Arial" w:eastAsia="DengXian" w:hAnsi="Arial" w:cs="Arial"/>
          <w:sz w:val="22"/>
        </w:rPr>
        <w:t>相互作用，其膜结合域（</w:t>
      </w:r>
      <w:r>
        <w:rPr>
          <w:rFonts w:ascii="Arial" w:eastAsia="DengXian" w:hAnsi="Arial" w:cs="Arial"/>
          <w:sz w:val="22"/>
        </w:rPr>
        <w:t>Segment A</w:t>
      </w:r>
      <w:r>
        <w:rPr>
          <w:rFonts w:ascii="Arial" w:eastAsia="DengXian" w:hAnsi="Arial" w:cs="Arial"/>
          <w:sz w:val="22"/>
        </w:rPr>
        <w:t>）是相互作用的关键区域。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当</w:t>
      </w:r>
      <w:proofErr w:type="spellStart"/>
      <w:r>
        <w:rPr>
          <w:rFonts w:ascii="Arial" w:eastAsia="DengXian" w:hAnsi="Arial" w:cs="Arial"/>
          <w:sz w:val="22"/>
        </w:rPr>
        <w:t>MinD</w:t>
      </w:r>
      <w:proofErr w:type="spellEnd"/>
      <w:r>
        <w:rPr>
          <w:rFonts w:ascii="Arial" w:eastAsia="DengXian" w:hAnsi="Arial" w:cs="Arial"/>
          <w:sz w:val="22"/>
        </w:rPr>
        <w:t>或</w:t>
      </w:r>
      <w:r>
        <w:rPr>
          <w:rFonts w:ascii="Arial" w:eastAsia="DengXian" w:hAnsi="Arial" w:cs="Arial"/>
          <w:sz w:val="22"/>
        </w:rPr>
        <w:t>RNase E</w:t>
      </w:r>
      <w:r>
        <w:rPr>
          <w:rFonts w:ascii="Arial" w:eastAsia="DengXian" w:hAnsi="Arial" w:cs="Arial"/>
          <w:sz w:val="22"/>
        </w:rPr>
        <w:t>缺失时，极区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的定位被破坏，进而影响编码蛋白质的定位。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52750"/>
            <wp:effectExtent l="0" t="0" r="0" b="0"/>
            <wp:docPr id="8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7 </w:t>
      </w:r>
      <w:proofErr w:type="spellStart"/>
      <w:r>
        <w:rPr>
          <w:rFonts w:ascii="Arial" w:eastAsia="DengXian" w:hAnsi="Arial" w:cs="Arial"/>
          <w:sz w:val="22"/>
        </w:rPr>
        <w:t>MinD</w:t>
      </w:r>
      <w:proofErr w:type="spellEnd"/>
      <w:r>
        <w:rPr>
          <w:rFonts w:ascii="Arial" w:eastAsia="DengXian" w:hAnsi="Arial" w:cs="Arial"/>
          <w:sz w:val="22"/>
        </w:rPr>
        <w:t>与</w:t>
      </w:r>
      <w:r>
        <w:rPr>
          <w:rFonts w:ascii="Arial" w:eastAsia="DengXian" w:hAnsi="Arial" w:cs="Arial"/>
          <w:sz w:val="22"/>
        </w:rPr>
        <w:t>RNase E</w:t>
      </w:r>
      <w:r>
        <w:rPr>
          <w:rFonts w:ascii="Arial" w:eastAsia="DengXian" w:hAnsi="Arial" w:cs="Arial"/>
          <w:sz w:val="22"/>
        </w:rPr>
        <w:t>中的短肤相互作用，以限制其在极点的存在。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2962275"/>
            <wp:effectExtent l="0" t="0" r="0" b="0"/>
            <wp:docPr id="9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8 </w:t>
      </w:r>
      <w:proofErr w:type="spellStart"/>
      <w:r>
        <w:rPr>
          <w:rFonts w:ascii="Arial" w:eastAsia="DengXian" w:hAnsi="Arial" w:cs="Arial"/>
          <w:sz w:val="22"/>
        </w:rPr>
        <w:t>MinD</w:t>
      </w:r>
      <w:proofErr w:type="spellEnd"/>
      <w:r>
        <w:rPr>
          <w:rFonts w:ascii="Arial" w:eastAsia="DengXian" w:hAnsi="Arial" w:cs="Arial"/>
          <w:sz w:val="22"/>
        </w:rPr>
        <w:t>和</w:t>
      </w:r>
      <w:proofErr w:type="spellStart"/>
      <w:r>
        <w:rPr>
          <w:rFonts w:ascii="Arial" w:eastAsia="DengXian" w:hAnsi="Arial" w:cs="Arial"/>
          <w:sz w:val="22"/>
        </w:rPr>
        <w:t>RNaseE</w:t>
      </w:r>
      <w:proofErr w:type="spellEnd"/>
      <w:r>
        <w:rPr>
          <w:rFonts w:ascii="Arial" w:eastAsia="DengXian" w:hAnsi="Arial" w:cs="Arial"/>
          <w:sz w:val="22"/>
        </w:rPr>
        <w:t>的相互作用是通过</w:t>
      </w:r>
      <w:r>
        <w:rPr>
          <w:rFonts w:ascii="Arial" w:eastAsia="DengXian" w:hAnsi="Arial" w:cs="Arial"/>
          <w:sz w:val="22"/>
        </w:rPr>
        <w:t>segment A</w:t>
      </w:r>
      <w:r>
        <w:rPr>
          <w:rFonts w:ascii="Arial" w:eastAsia="DengXian" w:hAnsi="Arial" w:cs="Arial"/>
          <w:sz w:val="22"/>
        </w:rPr>
        <w:t>介导的</w:t>
      </w:r>
    </w:p>
    <w:p w:rsidR="005E41ED" w:rsidRDefault="001A044B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sRNA</w:t>
      </w:r>
      <w:r>
        <w:rPr>
          <w:rFonts w:ascii="Arial" w:eastAsia="DengXian" w:hAnsi="Arial" w:cs="Arial"/>
          <w:b/>
          <w:sz w:val="22"/>
        </w:rPr>
        <w:t>的研究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sRNA </w:t>
      </w:r>
      <w:r>
        <w:rPr>
          <w:rFonts w:ascii="Arial" w:eastAsia="DengXian" w:hAnsi="Arial" w:cs="Arial"/>
          <w:sz w:val="22"/>
        </w:rPr>
        <w:t>在感知宿主环境、促进宿主</w:t>
      </w:r>
      <w:r>
        <w:rPr>
          <w:rFonts w:ascii="Arial" w:eastAsia="DengXian" w:hAnsi="Arial" w:cs="Arial"/>
          <w:sz w:val="22"/>
        </w:rPr>
        <w:t xml:space="preserve"> - </w:t>
      </w:r>
      <w:r>
        <w:rPr>
          <w:rFonts w:ascii="Arial" w:eastAsia="DengXian" w:hAnsi="Arial" w:cs="Arial"/>
          <w:sz w:val="22"/>
        </w:rPr>
        <w:t>微生物相互作用以及帮助细菌在宿主体内生存等方面发挥作用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。涉及多种感染类型，如肺部感染、脑膜炎、胃炎、肠道感染、皮肤感染、泌尿道感染、性传播疾病等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。</w:t>
      </w:r>
    </w:p>
    <w:p w:rsidR="005E41ED" w:rsidRDefault="001A044B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sRNAs</w:t>
      </w:r>
      <w:r>
        <w:rPr>
          <w:rFonts w:ascii="Arial" w:eastAsia="DengXian" w:hAnsi="Arial" w:cs="Arial"/>
          <w:sz w:val="22"/>
        </w:rPr>
        <w:t>参与感知宿主环境、促进宿主</w:t>
      </w:r>
      <w:r>
        <w:rPr>
          <w:rFonts w:ascii="Arial" w:eastAsia="DengXian" w:hAnsi="Arial" w:cs="Arial"/>
          <w:sz w:val="22"/>
        </w:rPr>
        <w:t>-</w:t>
      </w:r>
      <w:r>
        <w:rPr>
          <w:rFonts w:ascii="Arial" w:eastAsia="DengXian" w:hAnsi="Arial" w:cs="Arial"/>
          <w:sz w:val="22"/>
        </w:rPr>
        <w:t>微生物相互作用和在宿主中生存等功能。</w:t>
      </w:r>
    </w:p>
    <w:p w:rsidR="005E41ED" w:rsidRDefault="001A044B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sRNAs </w:t>
      </w:r>
      <w:r>
        <w:rPr>
          <w:rFonts w:ascii="Arial" w:eastAsia="DengXian" w:hAnsi="Arial" w:cs="Arial"/>
          <w:sz w:val="22"/>
        </w:rPr>
        <w:t>也能够作为信号分子，影响宿主基因的表达</w:t>
      </w:r>
    </w:p>
    <w:p w:rsidR="005E41ED" w:rsidRDefault="001A044B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sRNAs </w:t>
      </w:r>
      <w:r>
        <w:rPr>
          <w:rFonts w:ascii="Arial" w:eastAsia="DengXian" w:hAnsi="Arial" w:cs="Arial"/>
          <w:sz w:val="22"/>
        </w:rPr>
        <w:t>被认为与抗生素耐药性有关。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33700"/>
            <wp:effectExtent l="0" t="0" r="0" b="0"/>
            <wp:docPr id="10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>9 sRNAs</w:t>
      </w:r>
      <w:r>
        <w:rPr>
          <w:rFonts w:ascii="Arial" w:eastAsia="DengXian" w:hAnsi="Arial" w:cs="Arial"/>
          <w:sz w:val="22"/>
        </w:rPr>
        <w:t>被认为对细菌的生理、致病和抗生素耐药性非常重要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三、非编码调控小</w:t>
      </w:r>
      <w:r>
        <w:rPr>
          <w:rFonts w:ascii="Arial" w:eastAsia="DengXian" w:hAnsi="Arial" w:cs="Arial"/>
          <w:b/>
          <w:sz w:val="32"/>
        </w:rPr>
        <w:t>RNA</w:t>
      </w:r>
      <w:r>
        <w:rPr>
          <w:rFonts w:ascii="Arial" w:eastAsia="DengXian" w:hAnsi="Arial" w:cs="Arial"/>
          <w:b/>
          <w:sz w:val="32"/>
        </w:rPr>
        <w:t>的组装在所有细胞类型中是一种普遍现象</w:t>
      </w:r>
      <w:bookmarkEnd w:id="5"/>
    </w:p>
    <w:p w:rsidR="005E41ED" w:rsidRDefault="001A044B">
      <w:pPr>
        <w:numPr>
          <w:ilvl w:val="0"/>
          <w:numId w:val="17"/>
        </w:numPr>
        <w:spacing w:before="120" w:after="120" w:line="288" w:lineRule="auto"/>
      </w:pP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蛋白的功能与应激响应</w:t>
      </w:r>
    </w:p>
    <w:p w:rsidR="005E41ED" w:rsidRDefault="001A044B">
      <w:pPr>
        <w:spacing w:before="120" w:after="120" w:line="288" w:lineRule="auto"/>
      </w:pP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>作为大肠杆菌主要的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伴侣，参与</w:t>
      </w:r>
      <w:r>
        <w:rPr>
          <w:rFonts w:ascii="Arial" w:eastAsia="DengXian" w:hAnsi="Arial" w:cs="Arial"/>
          <w:sz w:val="22"/>
        </w:rPr>
        <w:t xml:space="preserve"> rRNA </w:t>
      </w:r>
      <w:r>
        <w:rPr>
          <w:rFonts w:ascii="Arial" w:eastAsia="DengXian" w:hAnsi="Arial" w:cs="Arial"/>
          <w:sz w:val="22"/>
        </w:rPr>
        <w:t>加工、核糖体生物发生、</w:t>
      </w:r>
      <w:proofErr w:type="spellStart"/>
      <w:r>
        <w:rPr>
          <w:rFonts w:ascii="Arial" w:eastAsia="DengXian" w:hAnsi="Arial" w:cs="Arial"/>
          <w:sz w:val="22"/>
        </w:rPr>
        <w:t>tRNA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成熟、</w:t>
      </w:r>
      <w:r>
        <w:rPr>
          <w:rFonts w:ascii="Arial" w:eastAsia="DengXian" w:hAnsi="Arial" w:cs="Arial"/>
          <w:sz w:val="22"/>
        </w:rPr>
        <w:t xml:space="preserve">mRNA </w:t>
      </w:r>
      <w:r>
        <w:rPr>
          <w:rFonts w:ascii="Arial" w:eastAsia="DengXian" w:hAnsi="Arial" w:cs="Arial"/>
          <w:sz w:val="22"/>
        </w:rPr>
        <w:t>翻译调控及</w:t>
      </w:r>
      <w:r>
        <w:rPr>
          <w:rFonts w:ascii="Arial" w:eastAsia="DengXian" w:hAnsi="Arial" w:cs="Arial"/>
          <w:sz w:val="22"/>
        </w:rPr>
        <w:t xml:space="preserve"> sRNA/mRNA </w:t>
      </w:r>
      <w:r>
        <w:rPr>
          <w:rFonts w:ascii="Arial" w:eastAsia="DengXian" w:hAnsi="Arial" w:cs="Arial"/>
          <w:sz w:val="22"/>
        </w:rPr>
        <w:t>碱基配对等过程。在高渗透压、氮限制、稳定期后期等应激条件下，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蛋白在细菌两极积累。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62275"/>
            <wp:effectExtent l="0" t="0" r="0" b="0"/>
            <wp:docPr id="11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10 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>在各种应力下聚集在极点</w:t>
      </w:r>
    </w:p>
    <w:p w:rsidR="005E41ED" w:rsidRDefault="001A044B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sRNA </w:t>
      </w:r>
      <w:r>
        <w:rPr>
          <w:rFonts w:ascii="Arial" w:eastAsia="DengXian" w:hAnsi="Arial" w:cs="Arial"/>
          <w:sz w:val="22"/>
        </w:rPr>
        <w:t>介导的调控模型与相分离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应激诱导的</w:t>
      </w:r>
      <w:r>
        <w:rPr>
          <w:rFonts w:ascii="Arial" w:eastAsia="DengXian" w:hAnsi="Arial" w:cs="Arial"/>
          <w:sz w:val="22"/>
        </w:rPr>
        <w:t xml:space="preserve"> sRNA</w:t>
      </w:r>
      <w:r>
        <w:rPr>
          <w:rFonts w:ascii="Arial" w:eastAsia="DengXian" w:hAnsi="Arial" w:cs="Arial"/>
          <w:sz w:val="22"/>
        </w:rPr>
        <w:t>（核心与外周</w:t>
      </w:r>
      <w:r>
        <w:rPr>
          <w:rFonts w:ascii="Arial" w:eastAsia="DengXian" w:hAnsi="Arial" w:cs="Arial"/>
          <w:sz w:val="22"/>
        </w:rPr>
        <w:t xml:space="preserve"> sRNA</w:t>
      </w:r>
      <w:r>
        <w:rPr>
          <w:rFonts w:ascii="Arial" w:eastAsia="DengXian" w:hAnsi="Arial" w:cs="Arial"/>
          <w:sz w:val="22"/>
        </w:rPr>
        <w:t>）和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sRBP</w:t>
      </w:r>
      <w:proofErr w:type="spellEnd"/>
      <w:r>
        <w:rPr>
          <w:rFonts w:ascii="Arial" w:eastAsia="DengXian" w:hAnsi="Arial" w:cs="Arial"/>
          <w:sz w:val="22"/>
        </w:rPr>
        <w:t>（如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>）在两极形成类似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无膜细胞器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的结构，通过群体效</w:t>
      </w:r>
      <w:r>
        <w:rPr>
          <w:rFonts w:ascii="Arial" w:eastAsia="DengXian" w:hAnsi="Arial" w:cs="Arial"/>
          <w:sz w:val="22"/>
        </w:rPr>
        <w:t>应（</w:t>
      </w:r>
      <w:r>
        <w:rPr>
          <w:rFonts w:ascii="Arial" w:eastAsia="DengXian" w:hAnsi="Arial" w:cs="Arial"/>
          <w:sz w:val="22"/>
        </w:rPr>
        <w:t>Wisdom of the crowds</w:t>
      </w:r>
      <w:r>
        <w:rPr>
          <w:rFonts w:ascii="Arial" w:eastAsia="DengXian" w:hAnsi="Arial" w:cs="Arial"/>
          <w:sz w:val="22"/>
        </w:rPr>
        <w:t>）协同应对压力。图</w:t>
      </w:r>
      <w:r>
        <w:rPr>
          <w:rFonts w:ascii="Arial" w:eastAsia="DengXian" w:hAnsi="Arial" w:cs="Arial"/>
          <w:sz w:val="22"/>
        </w:rPr>
        <w:t>11</w:t>
      </w:r>
      <w:r>
        <w:rPr>
          <w:rFonts w:ascii="Arial" w:eastAsia="DengXian" w:hAnsi="Arial" w:cs="Arial"/>
          <w:sz w:val="22"/>
        </w:rPr>
        <w:t>提出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介导的极性调控模型，探讨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与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的相分离可能性。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57800" cy="2981325"/>
            <wp:effectExtent l="0" t="0" r="0" b="0"/>
            <wp:docPr id="12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>11 sRNA</w:t>
      </w:r>
      <w:r>
        <w:rPr>
          <w:rFonts w:ascii="Arial" w:eastAsia="DengXian" w:hAnsi="Arial" w:cs="Arial"/>
          <w:sz w:val="22"/>
        </w:rPr>
        <w:t>介导调控的多基因与空间规划的模型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LLPS </w:t>
      </w:r>
      <w:r>
        <w:rPr>
          <w:rFonts w:ascii="Arial" w:eastAsia="DengXian" w:hAnsi="Arial" w:cs="Arial"/>
          <w:sz w:val="22"/>
        </w:rPr>
        <w:t>是指分子溶液自发分离为两种不同密度的液相，形成无膜细胞器（如凝聚体），局部富集大分子并促进动态交换。核生物中，凝聚体存在于核（核仁、染色质相关凝聚体）、细胞质（应激颗粒、</w:t>
      </w:r>
      <w:r>
        <w:rPr>
          <w:rFonts w:ascii="Arial" w:eastAsia="DengXian" w:hAnsi="Arial" w:cs="Arial"/>
          <w:sz w:val="22"/>
        </w:rPr>
        <w:t xml:space="preserve">P </w:t>
      </w:r>
      <w:r>
        <w:rPr>
          <w:rFonts w:ascii="Arial" w:eastAsia="DengXian" w:hAnsi="Arial" w:cs="Arial"/>
          <w:sz w:val="22"/>
        </w:rPr>
        <w:t>小体）和膜区（信号体）。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需与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通过异源相互作用（</w:t>
      </w:r>
      <w:r>
        <w:rPr>
          <w:rFonts w:ascii="Arial" w:eastAsia="DengXian" w:hAnsi="Arial" w:cs="Arial"/>
          <w:sz w:val="22"/>
        </w:rPr>
        <w:t>heterotypic interaction</w:t>
      </w:r>
      <w:r>
        <w:rPr>
          <w:rFonts w:ascii="Arial" w:eastAsia="DengXian" w:hAnsi="Arial" w:cs="Arial"/>
          <w:sz w:val="22"/>
        </w:rPr>
        <w:t>）发生相分离，形</w:t>
      </w:r>
      <w:r>
        <w:rPr>
          <w:rFonts w:ascii="Arial" w:eastAsia="DengXian" w:hAnsi="Arial" w:cs="Arial"/>
          <w:sz w:val="22"/>
        </w:rPr>
        <w:t>成含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的液滴（如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SgrS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ptsG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DsrA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rpoS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等分子共定位）。应激条件下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形成液态凝聚体，具有动态融合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分裂能力，光漂白后快速恢复（</w:t>
      </w:r>
      <w:r>
        <w:rPr>
          <w:rFonts w:ascii="Arial" w:eastAsia="DengXian" w:hAnsi="Arial" w:cs="Arial"/>
          <w:sz w:val="22"/>
        </w:rPr>
        <w:t xml:space="preserve">FRAP </w:t>
      </w:r>
      <w:r>
        <w:rPr>
          <w:rFonts w:ascii="Arial" w:eastAsia="DengXian" w:hAnsi="Arial" w:cs="Arial"/>
          <w:sz w:val="22"/>
        </w:rPr>
        <w:t>实验），应激恢复后凝聚体溶解。</w:t>
      </w:r>
    </w:p>
    <w:p w:rsidR="005E41ED" w:rsidRDefault="001A044B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933700"/>
            <wp:effectExtent l="0" t="0" r="0" b="0"/>
            <wp:docPr id="13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1ED" w:rsidRDefault="001A044B">
      <w:pPr>
        <w:spacing w:before="120" w:after="120" w:line="288" w:lineRule="auto"/>
        <w:jc w:val="center"/>
      </w:pPr>
      <w:r>
        <w:rPr>
          <w:rFonts w:ascii="Arial" w:eastAsia="DengXian" w:hAnsi="Arial" w:cs="Arial"/>
          <w:sz w:val="22"/>
        </w:rPr>
        <w:t>图</w:t>
      </w:r>
      <w:r>
        <w:rPr>
          <w:rFonts w:ascii="Arial" w:eastAsia="DengXian" w:hAnsi="Arial" w:cs="Arial"/>
          <w:sz w:val="22"/>
        </w:rPr>
        <w:t xml:space="preserve">12 </w:t>
      </w:r>
      <w:r>
        <w:rPr>
          <w:rFonts w:ascii="Arial" w:eastAsia="DengXian" w:hAnsi="Arial" w:cs="Arial"/>
          <w:sz w:val="22"/>
        </w:rPr>
        <w:t>液</w:t>
      </w:r>
      <w:r>
        <w:rPr>
          <w:rFonts w:ascii="Arial" w:eastAsia="DengXian" w:hAnsi="Arial" w:cs="Arial"/>
          <w:sz w:val="22"/>
        </w:rPr>
        <w:t>-</w:t>
      </w:r>
      <w:r>
        <w:rPr>
          <w:rFonts w:ascii="Arial" w:eastAsia="DengXian" w:hAnsi="Arial" w:cs="Arial"/>
          <w:sz w:val="22"/>
        </w:rPr>
        <w:t>液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相分离（</w:t>
      </w:r>
      <w:r>
        <w:rPr>
          <w:rFonts w:ascii="Arial" w:eastAsia="DengXian" w:hAnsi="Arial" w:cs="Arial"/>
          <w:sz w:val="22"/>
        </w:rPr>
        <w:t>LLPS</w:t>
      </w:r>
      <w:r>
        <w:rPr>
          <w:rFonts w:ascii="Arial" w:eastAsia="DengXian" w:hAnsi="Arial" w:cs="Arial"/>
          <w:sz w:val="22"/>
        </w:rPr>
        <w:t>）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380" w:after="140" w:line="288" w:lineRule="auto"/>
        <w:outlineLvl w:val="0"/>
      </w:pPr>
      <w:bookmarkStart w:id="6" w:name="heading_6"/>
      <w:r>
        <w:rPr>
          <w:rFonts w:ascii="Arial" w:eastAsia="DengXian" w:hAnsi="Arial" w:cs="Arial"/>
          <w:b/>
          <w:sz w:val="36"/>
        </w:rPr>
        <w:lastRenderedPageBreak/>
        <w:t>问答环节</w:t>
      </w:r>
      <w:bookmarkEnd w:id="6"/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问题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：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极性定位蛋白的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定位于极点，那么编码这些基因的</w:t>
      </w:r>
      <w:r>
        <w:rPr>
          <w:rFonts w:ascii="Arial" w:eastAsia="DengXian" w:hAnsi="Arial" w:cs="Arial"/>
          <w:sz w:val="22"/>
        </w:rPr>
        <w:t xml:space="preserve"> DNA </w:t>
      </w:r>
      <w:r>
        <w:rPr>
          <w:rFonts w:ascii="Arial" w:eastAsia="DengXian" w:hAnsi="Arial" w:cs="Arial"/>
          <w:sz w:val="22"/>
        </w:rPr>
        <w:t>是否也位于极点？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回答</w:t>
      </w:r>
      <w:r>
        <w:rPr>
          <w:rFonts w:ascii="Arial" w:eastAsia="DengXian" w:hAnsi="Arial" w:cs="Arial"/>
          <w:sz w:val="22"/>
        </w:rPr>
        <w:t>1:</w:t>
      </w:r>
    </w:p>
    <w:p w:rsidR="005E41ED" w:rsidRDefault="001A044B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通过标记基因位点和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RNA</w:t>
      </w:r>
      <w:r>
        <w:rPr>
          <w:rFonts w:ascii="Arial" w:eastAsia="DengXian" w:hAnsi="Arial" w:cs="Arial"/>
          <w:sz w:val="22"/>
        </w:rPr>
        <w:t>，发现两者并不共定位。极点位置在细菌分裂时会变化，极性蛋白不一定靠近复制起点，因此</w:t>
      </w:r>
      <w:r>
        <w:rPr>
          <w:rFonts w:ascii="Arial" w:eastAsia="DengXian" w:hAnsi="Arial" w:cs="Arial"/>
          <w:sz w:val="22"/>
        </w:rPr>
        <w:t xml:space="preserve"> DNA </w:t>
      </w:r>
      <w:r>
        <w:rPr>
          <w:rFonts w:ascii="Arial" w:eastAsia="DengXian" w:hAnsi="Arial" w:cs="Arial"/>
          <w:sz w:val="22"/>
        </w:rPr>
        <w:t>未必位于极点。</w:t>
      </w:r>
    </w:p>
    <w:p w:rsidR="005E41ED" w:rsidRDefault="001A044B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在真核生物中，</w:t>
      </w:r>
      <w:r>
        <w:rPr>
          <w:rFonts w:ascii="Arial" w:eastAsia="DengXian" w:hAnsi="Arial" w:cs="Arial"/>
          <w:sz w:val="22"/>
        </w:rPr>
        <w:t xml:space="preserve">RNA </w:t>
      </w:r>
      <w:r>
        <w:rPr>
          <w:rFonts w:ascii="Arial" w:eastAsia="DengXian" w:hAnsi="Arial" w:cs="Arial"/>
          <w:sz w:val="22"/>
        </w:rPr>
        <w:t>可通过驱动蛋白等蛋白运输至目标位置，但细菌中可能通过非计划性机制（如降解控制）或特定蛋白（如</w:t>
      </w:r>
      <w:r>
        <w:rPr>
          <w:rFonts w:ascii="Arial" w:eastAsia="DengXian" w:hAnsi="Arial" w:cs="Arial"/>
          <w:sz w:val="22"/>
        </w:rPr>
        <w:t xml:space="preserve"> HFQ</w:t>
      </w:r>
      <w:r>
        <w:rPr>
          <w:rFonts w:ascii="Arial" w:eastAsia="DengXian" w:hAnsi="Arial" w:cs="Arial"/>
          <w:sz w:val="22"/>
        </w:rPr>
        <w:t>）实现定位，但尚未验证</w:t>
      </w:r>
      <w:r>
        <w:rPr>
          <w:rFonts w:ascii="Arial" w:eastAsia="DengXian" w:hAnsi="Arial" w:cs="Arial"/>
          <w:sz w:val="22"/>
        </w:rPr>
        <w:t xml:space="preserve"> HFQ </w:t>
      </w:r>
      <w:r>
        <w:rPr>
          <w:rFonts w:ascii="Arial" w:eastAsia="DengXian" w:hAnsi="Arial" w:cs="Arial"/>
          <w:sz w:val="22"/>
        </w:rPr>
        <w:t>的直接作用。</w:t>
      </w:r>
    </w:p>
    <w:p w:rsidR="005E41ED" w:rsidRDefault="001A044B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部分蛋白（如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MreB</w:t>
      </w:r>
      <w:proofErr w:type="spellEnd"/>
      <w:r>
        <w:rPr>
          <w:rFonts w:ascii="Arial" w:eastAsia="DengXian" w:hAnsi="Arial" w:cs="Arial"/>
          <w:sz w:val="22"/>
        </w:rPr>
        <w:t>）仅在应激条件下定位极点，而如</w:t>
      </w:r>
      <w:r>
        <w:rPr>
          <w:rFonts w:ascii="Arial" w:eastAsia="DengXian" w:hAnsi="Arial" w:cs="Arial"/>
          <w:sz w:val="22"/>
        </w:rPr>
        <w:t xml:space="preserve"> Ka </w:t>
      </w:r>
      <w:r>
        <w:rPr>
          <w:rFonts w:ascii="Arial" w:eastAsia="DengXian" w:hAnsi="Arial" w:cs="Arial"/>
          <w:sz w:val="22"/>
        </w:rPr>
        <w:t>蛋白可能持续定位，但具体机制仍需研究。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问题</w:t>
      </w:r>
      <w:r>
        <w:rPr>
          <w:rFonts w:ascii="Arial" w:eastAsia="DengXian" w:hAnsi="Arial" w:cs="Arial"/>
          <w:sz w:val="22"/>
        </w:rPr>
        <w:t>2: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为何小</w:t>
      </w:r>
      <w:r>
        <w:rPr>
          <w:rFonts w:ascii="Arial" w:eastAsia="DengXian" w:hAnsi="Arial" w:cs="Arial"/>
          <w:sz w:val="22"/>
        </w:rPr>
        <w:t xml:space="preserve"> RNA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sRNA</w:t>
      </w:r>
      <w:r>
        <w:rPr>
          <w:rFonts w:ascii="Arial" w:eastAsia="DengXian" w:hAnsi="Arial" w:cs="Arial"/>
          <w:sz w:val="22"/>
        </w:rPr>
        <w:t>）在应激条件下需定位至极点？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回答</w:t>
      </w:r>
      <w:r>
        <w:rPr>
          <w:rFonts w:ascii="Arial" w:eastAsia="DengXian" w:hAnsi="Arial" w:cs="Arial"/>
          <w:sz w:val="22"/>
        </w:rPr>
        <w:t>2:</w:t>
      </w:r>
    </w:p>
    <w:p w:rsidR="005E41ED" w:rsidRDefault="001A044B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极点空间较大（染色体排除效应），可能是信号决策中心（如</w:t>
      </w:r>
      <w:r>
        <w:rPr>
          <w:rFonts w:ascii="Arial" w:eastAsia="DengXian" w:hAnsi="Arial" w:cs="Arial"/>
          <w:sz w:val="22"/>
        </w:rPr>
        <w:t>趋化性、糖代谢调控）。</w:t>
      </w:r>
    </w:p>
    <w:p w:rsidR="005E41ED" w:rsidRDefault="001A044B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蛋白（如</w:t>
      </w:r>
      <w:r>
        <w:rPr>
          <w:rFonts w:ascii="Arial" w:eastAsia="DengXian" w:hAnsi="Arial" w:cs="Arial"/>
          <w:sz w:val="22"/>
        </w:rPr>
        <w:t xml:space="preserve"> Morn</w:t>
      </w:r>
      <w:r>
        <w:rPr>
          <w:rFonts w:ascii="Arial" w:eastAsia="DengXian" w:hAnsi="Arial" w:cs="Arial"/>
          <w:sz w:val="22"/>
        </w:rPr>
        <w:t>）定位极点不依赖染色体排除，可能与膜脂成分相关（虽不依赖心磷脂，但可能有其他脂质参与）。</w:t>
      </w:r>
    </w:p>
    <w:p w:rsidR="005E41ED" w:rsidRDefault="001A044B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sRNA </w:t>
      </w:r>
      <w:r>
        <w:rPr>
          <w:rFonts w:ascii="Arial" w:eastAsia="DengXian" w:hAnsi="Arial" w:cs="Arial"/>
          <w:sz w:val="22"/>
        </w:rPr>
        <w:t>与</w:t>
      </w:r>
      <w:r>
        <w:rPr>
          <w:rFonts w:ascii="Arial" w:eastAsia="DengXian" w:hAnsi="Arial" w:cs="Arial"/>
          <w:sz w:val="22"/>
        </w:rPr>
        <w:t xml:space="preserve"> HFQ </w:t>
      </w:r>
      <w:r>
        <w:rPr>
          <w:rFonts w:ascii="Arial" w:eastAsia="DengXian" w:hAnsi="Arial" w:cs="Arial"/>
          <w:sz w:val="22"/>
        </w:rPr>
        <w:t>在非应激条件下也富集于极点，因拷贝数低需通过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Arlocs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技术放大检测。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问题</w:t>
      </w:r>
      <w:r>
        <w:rPr>
          <w:rFonts w:ascii="Arial" w:eastAsia="DengXian" w:hAnsi="Arial" w:cs="Arial"/>
          <w:sz w:val="22"/>
        </w:rPr>
        <w:t>3: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非</w:t>
      </w:r>
      <w:r>
        <w:rPr>
          <w:rFonts w:ascii="Arial" w:eastAsia="DengXian" w:hAnsi="Arial" w:cs="Arial"/>
          <w:sz w:val="22"/>
        </w:rPr>
        <w:t xml:space="preserve"> HFQ </w:t>
      </w:r>
      <w:r>
        <w:rPr>
          <w:rFonts w:ascii="Arial" w:eastAsia="DengXian" w:hAnsi="Arial" w:cs="Arial"/>
          <w:sz w:val="22"/>
        </w:rPr>
        <w:t>依赖的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如何定位？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回答</w:t>
      </w:r>
      <w:r>
        <w:rPr>
          <w:rFonts w:ascii="Arial" w:eastAsia="DengXian" w:hAnsi="Arial" w:cs="Arial"/>
          <w:sz w:val="22"/>
        </w:rPr>
        <w:t>3: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可能存在其他类似</w:t>
      </w:r>
      <w:r>
        <w:rPr>
          <w:rFonts w:ascii="Arial" w:eastAsia="DengXian" w:hAnsi="Arial" w:cs="Arial"/>
          <w:sz w:val="22"/>
        </w:rPr>
        <w:t xml:space="preserve"> HFQ </w:t>
      </w:r>
      <w:r>
        <w:rPr>
          <w:rFonts w:ascii="Arial" w:eastAsia="DengXian" w:hAnsi="Arial" w:cs="Arial"/>
          <w:sz w:val="22"/>
        </w:rPr>
        <w:t>的结合蛋白辅助定位。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问题</w:t>
      </w:r>
      <w:r>
        <w:rPr>
          <w:rFonts w:ascii="Arial" w:eastAsia="DengXian" w:hAnsi="Arial" w:cs="Arial"/>
          <w:sz w:val="22"/>
        </w:rPr>
        <w:t>4: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革兰氏阳性菌（如链球菌）中无</w:t>
      </w:r>
      <w:r>
        <w:rPr>
          <w:rFonts w:ascii="Arial" w:eastAsia="DengXian" w:hAnsi="Arial" w:cs="Arial"/>
          <w:sz w:val="22"/>
        </w:rPr>
        <w:t xml:space="preserve"> HFQ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 xml:space="preserve">sRNA </w:t>
      </w:r>
      <w:r>
        <w:rPr>
          <w:rFonts w:ascii="Arial" w:eastAsia="DengXian" w:hAnsi="Arial" w:cs="Arial"/>
          <w:sz w:val="22"/>
        </w:rPr>
        <w:t>如何定位？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回答</w:t>
      </w:r>
      <w:r>
        <w:rPr>
          <w:rFonts w:ascii="Arial" w:eastAsia="DengXian" w:hAnsi="Arial" w:cs="Arial"/>
          <w:sz w:val="22"/>
        </w:rPr>
        <w:t>4: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不同细菌可能有不同机制，需进一步研究（如链球菌的分裂平面记忆机制），未来计划合作探索。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问题</w:t>
      </w:r>
      <w:r>
        <w:rPr>
          <w:rFonts w:ascii="Arial" w:eastAsia="DengXian" w:hAnsi="Arial" w:cs="Arial"/>
          <w:sz w:val="22"/>
        </w:rPr>
        <w:t>5: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细菌作为更古老的生物，无膜结构分隔，极点定位是否与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结构有关？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回答</w:t>
      </w:r>
      <w:r>
        <w:rPr>
          <w:rFonts w:ascii="Arial" w:eastAsia="DengXian" w:hAnsi="Arial" w:cs="Arial"/>
          <w:sz w:val="22"/>
        </w:rPr>
        <w:t>5: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真核生物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定位依赖序列和结构，但细菌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结构研究较少。其终止子结构可能参与定位，是值得探索的新方向。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问题</w:t>
      </w:r>
      <w:r>
        <w:rPr>
          <w:rFonts w:ascii="Arial" w:eastAsia="DengXian" w:hAnsi="Arial" w:cs="Arial"/>
          <w:sz w:val="22"/>
        </w:rPr>
        <w:t>6: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如何选择敲除的基因或</w:t>
      </w:r>
      <w:r>
        <w:rPr>
          <w:rFonts w:ascii="Arial" w:eastAsia="DengXian" w:hAnsi="Arial" w:cs="Arial"/>
          <w:sz w:val="22"/>
        </w:rPr>
        <w:t xml:space="preserve"> sRNA</w:t>
      </w:r>
      <w:r>
        <w:rPr>
          <w:rFonts w:ascii="Arial" w:eastAsia="DengXian" w:hAnsi="Arial" w:cs="Arial"/>
          <w:sz w:val="22"/>
        </w:rPr>
        <w:t>，是否具有无偏性？</w:t>
      </w:r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回答</w:t>
      </w:r>
      <w:r>
        <w:rPr>
          <w:rFonts w:ascii="Arial" w:eastAsia="DengXian" w:hAnsi="Arial" w:cs="Arial"/>
          <w:sz w:val="22"/>
        </w:rPr>
        <w:t>6:</w:t>
      </w:r>
    </w:p>
    <w:p w:rsidR="005E41ED" w:rsidRDefault="001A044B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基于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在极点的富集程度筛选（如选择</w:t>
      </w:r>
      <w:r>
        <w:rPr>
          <w:rFonts w:ascii="Arial" w:eastAsia="DengXian" w:hAnsi="Arial" w:cs="Arial"/>
          <w:sz w:val="22"/>
        </w:rPr>
        <w:t xml:space="preserve"> HFQ </w:t>
      </w:r>
      <w:r>
        <w:rPr>
          <w:rFonts w:ascii="Arial" w:eastAsia="DengXian" w:hAnsi="Arial" w:cs="Arial"/>
          <w:sz w:val="22"/>
        </w:rPr>
        <w:t>结合且富集度</w:t>
      </w:r>
      <w:r>
        <w:rPr>
          <w:rFonts w:ascii="Arial" w:eastAsia="DengXian" w:hAnsi="Arial" w:cs="Arial"/>
          <w:sz w:val="22"/>
        </w:rPr>
        <w:t xml:space="preserve"> &gt; 100 </w:t>
      </w:r>
      <w:r>
        <w:rPr>
          <w:rFonts w:ascii="Arial" w:eastAsia="DengXian" w:hAnsi="Arial" w:cs="Arial"/>
          <w:sz w:val="22"/>
        </w:rPr>
        <w:t>倍的</w:t>
      </w:r>
      <w:r>
        <w:rPr>
          <w:rFonts w:ascii="Arial" w:eastAsia="DengXian" w:hAnsi="Arial" w:cs="Arial"/>
          <w:sz w:val="22"/>
        </w:rPr>
        <w:t xml:space="preserve"> 5 </w:t>
      </w:r>
      <w:r>
        <w:rPr>
          <w:rFonts w:ascii="Arial" w:eastAsia="DengXian" w:hAnsi="Arial" w:cs="Arial"/>
          <w:sz w:val="22"/>
        </w:rPr>
        <w:t>种</w:t>
      </w:r>
      <w:r>
        <w:rPr>
          <w:rFonts w:ascii="Arial" w:eastAsia="DengXian" w:hAnsi="Arial" w:cs="Arial"/>
          <w:sz w:val="22"/>
        </w:rPr>
        <w:t xml:space="preserve"> sRNA</w:t>
      </w:r>
      <w:r>
        <w:rPr>
          <w:rFonts w:ascii="Arial" w:eastAsia="DengXian" w:hAnsi="Arial" w:cs="Arial"/>
          <w:sz w:val="22"/>
        </w:rPr>
        <w:t>，如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OxyS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OmrB</w:t>
      </w:r>
      <w:proofErr w:type="spellEnd"/>
      <w:r>
        <w:rPr>
          <w:rFonts w:ascii="Arial" w:eastAsia="DengXian" w:hAnsi="Arial" w:cs="Arial"/>
          <w:sz w:val="22"/>
        </w:rPr>
        <w:t>）。</w:t>
      </w:r>
    </w:p>
    <w:p w:rsidR="005E41ED" w:rsidRDefault="001A044B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选择标准</w:t>
      </w:r>
      <w:r>
        <w:rPr>
          <w:rFonts w:ascii="Arial" w:eastAsia="DengXian" w:hAnsi="Arial" w:cs="Arial"/>
          <w:sz w:val="22"/>
        </w:rPr>
        <w:t>为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高频结合且高富集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，虽非随机，但旨在研究主要群体的功能，后续可扩展至其他类型</w:t>
      </w:r>
      <w:r>
        <w:rPr>
          <w:rFonts w:ascii="Arial" w:eastAsia="DengXian" w:hAnsi="Arial" w:cs="Arial"/>
          <w:sz w:val="22"/>
        </w:rPr>
        <w:t xml:space="preserve"> sRNA</w:t>
      </w:r>
      <w:r>
        <w:rPr>
          <w:rFonts w:ascii="Arial" w:eastAsia="DengXian" w:hAnsi="Arial" w:cs="Arial"/>
          <w:sz w:val="22"/>
        </w:rPr>
        <w:t>。</w:t>
      </w:r>
    </w:p>
    <w:p w:rsidR="005E41ED" w:rsidRDefault="005E41ED">
      <w:pPr>
        <w:spacing w:before="120" w:after="120" w:line="288" w:lineRule="auto"/>
      </w:pPr>
    </w:p>
    <w:p w:rsidR="005E41ED" w:rsidRDefault="001A044B">
      <w:pPr>
        <w:spacing w:before="380" w:after="140" w:line="288" w:lineRule="auto"/>
        <w:outlineLvl w:val="0"/>
      </w:pPr>
      <w:bookmarkStart w:id="7" w:name="heading_7"/>
      <w:r>
        <w:rPr>
          <w:rFonts w:ascii="Arial" w:eastAsia="DengXian" w:hAnsi="Arial" w:cs="Arial"/>
          <w:b/>
          <w:sz w:val="36"/>
        </w:rPr>
        <w:t>总结</w:t>
      </w:r>
      <w:bookmarkEnd w:id="7"/>
    </w:p>
    <w:p w:rsidR="005E41ED" w:rsidRDefault="001A044B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这场报告重新审视细菌转录组织传统理论。内容围绕细菌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定位、转录与翻译关系、极性相关</w:t>
      </w:r>
      <w:r>
        <w:rPr>
          <w:rFonts w:ascii="Arial" w:eastAsia="DengXian" w:hAnsi="Arial" w:cs="Arial"/>
          <w:sz w:val="22"/>
        </w:rPr>
        <w:t xml:space="preserve"> RNA </w:t>
      </w:r>
      <w:r>
        <w:rPr>
          <w:rFonts w:ascii="Arial" w:eastAsia="DengXian" w:hAnsi="Arial" w:cs="Arial"/>
          <w:sz w:val="22"/>
        </w:rPr>
        <w:t>定位机制、</w:t>
      </w:r>
      <w:r>
        <w:rPr>
          <w:rFonts w:ascii="Arial" w:eastAsia="DengXian" w:hAnsi="Arial" w:cs="Arial"/>
          <w:sz w:val="22"/>
        </w:rPr>
        <w:t xml:space="preserve">sRNA </w:t>
      </w:r>
      <w:r>
        <w:rPr>
          <w:rFonts w:ascii="Arial" w:eastAsia="DengXian" w:hAnsi="Arial" w:cs="Arial"/>
          <w:sz w:val="22"/>
        </w:rPr>
        <w:t>定位及作用、</w:t>
      </w:r>
      <w:r>
        <w:rPr>
          <w:rFonts w:ascii="Arial" w:eastAsia="DengXian" w:hAnsi="Arial" w:cs="Arial"/>
          <w:sz w:val="22"/>
        </w:rPr>
        <w:t xml:space="preserve">RNA </w:t>
      </w:r>
      <w:r>
        <w:rPr>
          <w:rFonts w:ascii="Arial" w:eastAsia="DengXian" w:hAnsi="Arial" w:cs="Arial"/>
          <w:sz w:val="22"/>
        </w:rPr>
        <w:t>伴侣蛋白研究展开，指出细菌</w:t>
      </w:r>
      <w:r>
        <w:rPr>
          <w:rFonts w:ascii="Arial" w:eastAsia="DengXian" w:hAnsi="Arial" w:cs="Arial"/>
          <w:sz w:val="22"/>
        </w:rPr>
        <w:t xml:space="preserve"> mRNA </w:t>
      </w:r>
      <w:r>
        <w:rPr>
          <w:rFonts w:ascii="Arial" w:eastAsia="DengXian" w:hAnsi="Arial" w:cs="Arial"/>
          <w:sz w:val="22"/>
        </w:rPr>
        <w:t>存在细胞质、膜、极区三种定位模式，且定位独立于翻译，转录与翻译机器空间分离。还探讨了</w:t>
      </w:r>
      <w:r>
        <w:rPr>
          <w:rFonts w:ascii="Arial" w:eastAsia="DengXian" w:hAnsi="Arial" w:cs="Arial"/>
          <w:sz w:val="22"/>
        </w:rPr>
        <w:t xml:space="preserve"> sRNA </w:t>
      </w:r>
      <w:r>
        <w:rPr>
          <w:rFonts w:ascii="Arial" w:eastAsia="DengXian" w:hAnsi="Arial" w:cs="Arial"/>
          <w:sz w:val="22"/>
        </w:rPr>
        <w:t>功能、</w:t>
      </w:r>
      <w:proofErr w:type="spellStart"/>
      <w:r>
        <w:rPr>
          <w:rFonts w:ascii="Arial" w:eastAsia="DengXian" w:hAnsi="Arial" w:cs="Arial"/>
          <w:sz w:val="22"/>
        </w:rPr>
        <w:t>Hfq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蛋白应激响应及相分离现象，</w:t>
      </w:r>
      <w:r>
        <w:rPr>
          <w:rFonts w:ascii="Arial" w:eastAsia="DengXian" w:hAnsi="Arial" w:cs="Arial"/>
          <w:sz w:val="22"/>
        </w:rPr>
        <w:t xml:space="preserve">  </w:t>
      </w:r>
      <w:r>
        <w:rPr>
          <w:rFonts w:ascii="Arial" w:eastAsia="DengXian" w:hAnsi="Arial" w:cs="Arial"/>
          <w:sz w:val="22"/>
        </w:rPr>
        <w:t>为未来的相关研究提供新视角。</w:t>
      </w:r>
    </w:p>
    <w:sectPr w:rsidR="005E41ED">
      <w:headerReference w:type="default" r:id="rId20"/>
      <w:footerReference w:type="default" r:id="rId21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044B" w:rsidRDefault="001A044B">
      <w:r>
        <w:separator/>
      </w:r>
    </w:p>
  </w:endnote>
  <w:endnote w:type="continuationSeparator" w:id="0">
    <w:p w:rsidR="001A044B" w:rsidRDefault="001A0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41ED" w:rsidRDefault="005E41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044B" w:rsidRDefault="001A044B">
      <w:r>
        <w:separator/>
      </w:r>
    </w:p>
  </w:footnote>
  <w:footnote w:type="continuationSeparator" w:id="0">
    <w:p w:rsidR="001A044B" w:rsidRDefault="001A0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41ED" w:rsidRDefault="005E41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71C"/>
    <w:multiLevelType w:val="multilevel"/>
    <w:tmpl w:val="772AF5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696C10"/>
    <w:multiLevelType w:val="multilevel"/>
    <w:tmpl w:val="F1ACFF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9D1996"/>
    <w:multiLevelType w:val="multilevel"/>
    <w:tmpl w:val="9F38BA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4B1EE9"/>
    <w:multiLevelType w:val="multilevel"/>
    <w:tmpl w:val="1054E9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902BCA"/>
    <w:multiLevelType w:val="multilevel"/>
    <w:tmpl w:val="1F0A24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064843"/>
    <w:multiLevelType w:val="multilevel"/>
    <w:tmpl w:val="D82A62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050C1A"/>
    <w:multiLevelType w:val="multilevel"/>
    <w:tmpl w:val="F4D8AF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955CA2"/>
    <w:multiLevelType w:val="multilevel"/>
    <w:tmpl w:val="13F04AA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61F0117"/>
    <w:multiLevelType w:val="multilevel"/>
    <w:tmpl w:val="E55823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D20664"/>
    <w:multiLevelType w:val="multilevel"/>
    <w:tmpl w:val="C688C8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AE307A"/>
    <w:multiLevelType w:val="multilevel"/>
    <w:tmpl w:val="F74233A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FE7EAF"/>
    <w:multiLevelType w:val="multilevel"/>
    <w:tmpl w:val="A7D062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A67179A"/>
    <w:multiLevelType w:val="multilevel"/>
    <w:tmpl w:val="57B635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1642780"/>
    <w:multiLevelType w:val="multilevel"/>
    <w:tmpl w:val="0FEC45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F01FFC"/>
    <w:multiLevelType w:val="multilevel"/>
    <w:tmpl w:val="8D5C9C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3E70F4F"/>
    <w:multiLevelType w:val="multilevel"/>
    <w:tmpl w:val="E2D81E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AAA0243"/>
    <w:multiLevelType w:val="multilevel"/>
    <w:tmpl w:val="DDCA4C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F3317B"/>
    <w:multiLevelType w:val="multilevel"/>
    <w:tmpl w:val="FBA8DE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2B753D4"/>
    <w:multiLevelType w:val="multilevel"/>
    <w:tmpl w:val="8B9082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455606E"/>
    <w:multiLevelType w:val="multilevel"/>
    <w:tmpl w:val="55BEF2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521769F"/>
    <w:multiLevelType w:val="multilevel"/>
    <w:tmpl w:val="EB0E33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9BD3B0F"/>
    <w:multiLevelType w:val="multilevel"/>
    <w:tmpl w:val="C57809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C4F4EF3"/>
    <w:multiLevelType w:val="multilevel"/>
    <w:tmpl w:val="1626F7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05E097F"/>
    <w:multiLevelType w:val="multilevel"/>
    <w:tmpl w:val="DD94259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3E73CEA"/>
    <w:multiLevelType w:val="multilevel"/>
    <w:tmpl w:val="393631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9087F2F"/>
    <w:multiLevelType w:val="multilevel"/>
    <w:tmpl w:val="F7C25E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2"/>
  </w:num>
  <w:num w:numId="3">
    <w:abstractNumId w:val="7"/>
  </w:num>
  <w:num w:numId="4">
    <w:abstractNumId w:val="8"/>
  </w:num>
  <w:num w:numId="5">
    <w:abstractNumId w:val="10"/>
  </w:num>
  <w:num w:numId="6">
    <w:abstractNumId w:val="23"/>
  </w:num>
  <w:num w:numId="7">
    <w:abstractNumId w:val="11"/>
  </w:num>
  <w:num w:numId="8">
    <w:abstractNumId w:val="22"/>
  </w:num>
  <w:num w:numId="9">
    <w:abstractNumId w:val="12"/>
  </w:num>
  <w:num w:numId="10">
    <w:abstractNumId w:val="25"/>
  </w:num>
  <w:num w:numId="11">
    <w:abstractNumId w:val="19"/>
  </w:num>
  <w:num w:numId="12">
    <w:abstractNumId w:val="6"/>
  </w:num>
  <w:num w:numId="13">
    <w:abstractNumId w:val="3"/>
  </w:num>
  <w:num w:numId="14">
    <w:abstractNumId w:val="20"/>
  </w:num>
  <w:num w:numId="15">
    <w:abstractNumId w:val="5"/>
  </w:num>
  <w:num w:numId="16">
    <w:abstractNumId w:val="0"/>
  </w:num>
  <w:num w:numId="17">
    <w:abstractNumId w:val="13"/>
  </w:num>
  <w:num w:numId="18">
    <w:abstractNumId w:val="1"/>
  </w:num>
  <w:num w:numId="19">
    <w:abstractNumId w:val="17"/>
  </w:num>
  <w:num w:numId="20">
    <w:abstractNumId w:val="21"/>
  </w:num>
  <w:num w:numId="21">
    <w:abstractNumId w:val="15"/>
  </w:num>
  <w:num w:numId="22">
    <w:abstractNumId w:val="24"/>
  </w:num>
  <w:num w:numId="23">
    <w:abstractNumId w:val="4"/>
  </w:num>
  <w:num w:numId="24">
    <w:abstractNumId w:val="9"/>
  </w:num>
  <w:num w:numId="25">
    <w:abstractNumId w:val="18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1ED"/>
    <w:rsid w:val="001A044B"/>
    <w:rsid w:val="004A0257"/>
    <w:rsid w:val="005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CB0E5"/>
  <w15:docId w15:val="{AFAF5613-A675-1446-A137-8738C1A2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蒋玖宏</cp:lastModifiedBy>
  <cp:revision>2</cp:revision>
  <dcterms:created xsi:type="dcterms:W3CDTF">2025-08-04T01:02:00Z</dcterms:created>
  <dcterms:modified xsi:type="dcterms:W3CDTF">2025-08-04T01:03:00Z</dcterms:modified>
</cp:coreProperties>
</file>