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Matthias W. Hentze 教授讲座笔记｜《核糖调节剂：生物学原理、作用机制与应用前景》</w:t>
      </w:r>
    </w:p>
    <w:p>
      <w:pPr>
        <w:pStyle w:val="1"/>
        <w:spacing w:before="380" w:after="140" w:line="288" w:lineRule="auto"/>
        <w:ind w:left="0"/>
        <w:jc w:val="left"/>
        <w:outlineLvl w:val="0"/>
      </w:pPr>
      <w:r>
        <w:rPr>
          <w:rFonts w:eastAsia="等线" w:ascii="Arial" w:cs="Arial" w:hAnsi="Arial"/>
          <w:b w:val="true"/>
          <w:sz w:val="36"/>
        </w:rPr>
        <w:t>会议回顾</w:t>
      </w:r>
    </w:p>
    <w:p>
      <w:pPr>
        <w:spacing w:before="120" w:after="120" w:line="288" w:lineRule="auto"/>
        <w:ind w:left="0"/>
        <w:jc w:val="left"/>
      </w:pPr>
      <w:r>
        <w:rPr>
          <w:rFonts w:eastAsia="等线" w:ascii="Arial" w:cs="Arial" w:hAnsi="Arial"/>
          <w:sz w:val="22"/>
        </w:rPr>
        <w:br/>
      </w:r>
      <w:r>
        <w:rPr>
          <w:rFonts w:eastAsia="等线" w:ascii="Arial" w:cs="Arial" w:hAnsi="Arial"/>
          <w:sz w:val="22"/>
        </w:rPr>
        <w:t>2023年10月25日，广州实验室苗智超研究员邀请了Matthias W. Hentze教授进行标题为“核糖调节剂：生物学原理、作用机制与应用前景”的线上学术报告。</w:t>
      </w:r>
    </w:p>
    <w:p>
      <w:pPr>
        <w:spacing w:before="120" w:after="120" w:line="288" w:lineRule="auto"/>
        <w:ind w:left="0"/>
        <w:jc w:val="left"/>
      </w:pPr>
    </w:p>
    <w:p>
      <w:pPr>
        <w:spacing w:before="120" w:after="120" w:line="288" w:lineRule="auto"/>
        <w:ind w:left="0"/>
        <w:jc w:val="left"/>
      </w:pPr>
      <w:r>
        <w:rPr>
          <w:rFonts w:eastAsia="等线" w:ascii="Arial" w:cs="Arial" w:hAnsi="Arial"/>
          <w:sz w:val="22"/>
        </w:rPr>
        <w:t>Matthias W. Hentze教授是欧洲</w:t>
      </w:r>
      <w:r>
        <w:rPr>
          <w:rFonts w:eastAsia="等线" w:ascii="Arial" w:cs="Arial" w:hAnsi="Arial"/>
          <w:sz w:val="22"/>
        </w:rPr>
        <w:t>分子生物学实验室</w:t>
      </w:r>
      <w:r>
        <w:rPr>
          <w:rFonts w:eastAsia="等线" w:ascii="Arial" w:cs="Arial" w:hAnsi="Arial"/>
          <w:sz w:val="22"/>
        </w:rPr>
        <w:t>（EMBL）主任，海德堡大学医学系教授。其课题组结合生化和系统级方法来研究基因表达与细胞代谢之间的联系，及它们在人类疾病中的作用，该小组特别关注</w:t>
      </w:r>
      <w:r>
        <w:rPr>
          <w:rFonts w:eastAsia="等线" w:ascii="Arial" w:cs="Arial" w:hAnsi="Arial"/>
          <w:sz w:val="22"/>
        </w:rPr>
        <w:t>RNA</w:t>
      </w:r>
      <w:r>
        <w:rPr>
          <w:rFonts w:eastAsia="等线" w:ascii="Arial" w:cs="Arial" w:hAnsi="Arial"/>
          <w:sz w:val="22"/>
        </w:rPr>
        <w:t>生物学和</w:t>
      </w:r>
      <w:r>
        <w:rPr>
          <w:rFonts w:eastAsia="等线" w:ascii="Arial" w:cs="Arial" w:hAnsi="Arial"/>
          <w:sz w:val="22"/>
        </w:rPr>
        <w:t>RNA结合蛋白</w:t>
      </w:r>
      <w:r>
        <w:rPr>
          <w:rFonts w:eastAsia="等线" w:ascii="Arial" w:cs="Arial" w:hAnsi="Arial"/>
          <w:sz w:val="22"/>
        </w:rPr>
        <w:t>。目前致力于通过RNA结合蛋白（RBP）和非编码调控RNA调控</w:t>
      </w:r>
      <w:r>
        <w:rPr>
          <w:rFonts w:eastAsia="等线" w:ascii="Arial" w:cs="Arial" w:hAnsi="Arial"/>
          <w:sz w:val="22"/>
        </w:rPr>
        <w:t>mRNA</w:t>
      </w:r>
      <w:r>
        <w:rPr>
          <w:rFonts w:eastAsia="等线" w:ascii="Arial" w:cs="Arial" w:hAnsi="Arial"/>
          <w:sz w:val="22"/>
        </w:rPr>
        <w:t>在细胞质中执行控制基因表达的重要步骤。未来目标在于探索、定义和理解enigmRBP和REM网络，并阐明RNA代谢在疾病中的作用，基于此开发新型诊断和治疗策略等。</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摘要</w:t>
      </w:r>
    </w:p>
    <w:p>
      <w:pPr>
        <w:spacing w:before="120" w:after="120" w:line="288" w:lineRule="auto"/>
        <w:ind w:left="0"/>
        <w:jc w:val="left"/>
      </w:pPr>
      <w:r>
        <w:rPr>
          <w:rFonts w:eastAsia="等线" w:ascii="Arial" w:cs="Arial" w:hAnsi="Arial"/>
          <w:sz w:val="22"/>
        </w:rPr>
        <w:t>目前通过无偏见的全系统分析，已找到了数万个</w:t>
      </w:r>
      <w:r>
        <w:rPr>
          <w:rFonts w:eastAsia="等线" w:ascii="Arial" w:cs="Arial" w:hAnsi="Arial"/>
          <w:sz w:val="22"/>
        </w:rPr>
        <w:t>RNA结合蛋白</w:t>
      </w:r>
      <w:r>
        <w:rPr>
          <w:rFonts w:eastAsia="等线" w:ascii="Arial" w:cs="Arial" w:hAnsi="Arial"/>
          <w:sz w:val="22"/>
        </w:rPr>
        <w:t>（RBP），其中之前已知的RBP还不到一半。这一令人惊讶的结果带来了一系列新的挑战，如：蛋白中非规则结构的</w:t>
      </w:r>
      <w:r>
        <w:rPr>
          <w:rFonts w:eastAsia="等线" w:ascii="Arial" w:cs="Arial" w:hAnsi="Arial"/>
          <w:sz w:val="22"/>
        </w:rPr>
        <w:t>RNA</w:t>
      </w:r>
      <w:r>
        <w:rPr>
          <w:rFonts w:eastAsia="等线" w:ascii="Arial" w:cs="Arial" w:hAnsi="Arial"/>
          <w:sz w:val="22"/>
        </w:rPr>
        <w:t>结合区具有RNA-蛋白凝聚作用；中间代谢产物和RNA功能调控之间存在普遍的潜在联系。</w:t>
      </w:r>
    </w:p>
    <w:p>
      <w:pPr>
        <w:spacing w:before="120" w:after="120" w:line="288" w:lineRule="auto"/>
        <w:ind w:left="0"/>
        <w:jc w:val="left"/>
      </w:pPr>
    </w:p>
    <w:p>
      <w:pPr>
        <w:spacing w:before="120" w:after="120" w:line="288" w:lineRule="auto"/>
        <w:ind w:left="0"/>
        <w:jc w:val="left"/>
      </w:pPr>
      <w:r>
        <w:rPr>
          <w:rFonts w:eastAsia="等线" w:ascii="Arial" w:cs="Arial" w:hAnsi="Arial"/>
          <w:sz w:val="22"/>
        </w:rPr>
        <w:t>核糖调节（riboregulation）作为生物调控机理的新范式，通过</w:t>
      </w:r>
      <w:r>
        <w:rPr>
          <w:rFonts w:eastAsia="等线" w:ascii="Arial" w:cs="Arial" w:hAnsi="Arial"/>
          <w:sz w:val="22"/>
        </w:rPr>
        <w:t>RNA</w:t>
      </w:r>
      <w:r>
        <w:rPr>
          <w:rFonts w:eastAsia="等线" w:ascii="Arial" w:cs="Arial" w:hAnsi="Arial"/>
          <w:sz w:val="22"/>
        </w:rPr>
        <w:t>来直接调控蛋白质功能。我们开始去理解核糖调节的分子机制，通过对小鼠器官中RBP的研究，揭示了它们在哺乳动物生理学中的广泛作用。我将讨论RBP世界的这些新发现及其对细胞生物学、代谢和疾病机制的影响。</w:t>
      </w:r>
    </w:p>
    <w:p>
      <w:pPr>
        <w:pStyle w:val="1"/>
        <w:spacing w:before="380" w:after="140" w:line="288" w:lineRule="auto"/>
        <w:ind w:left="0"/>
        <w:jc w:val="left"/>
        <w:outlineLvl w:val="0"/>
      </w:pPr>
      <w:r>
        <w:rPr>
          <w:rFonts w:eastAsia="等线" w:ascii="Arial" w:cs="Arial" w:hAnsi="Arial"/>
          <w:b w:val="true"/>
          <w:sz w:val="36"/>
        </w:rPr>
        <w:t>会议内容</w:t>
      </w:r>
    </w:p>
    <w:p>
      <w:pPr>
        <w:spacing w:before="120" w:after="120" w:line="288" w:lineRule="auto"/>
        <w:ind w:left="0"/>
        <w:jc w:val="left"/>
      </w:pPr>
      <w:r>
        <w:rPr>
          <w:rFonts w:eastAsia="等线" w:ascii="Arial" w:cs="Arial" w:hAnsi="Arial"/>
          <w:sz w:val="22"/>
        </w:rPr>
        <w:t>Matthias介绍的报告内容包括核糖调控的原理、生物学机制和研究范围。谈论的许多的方面对于</w:t>
      </w:r>
      <w:r>
        <w:rPr>
          <w:rFonts w:eastAsia="等线" w:ascii="Arial" w:cs="Arial" w:hAnsi="Arial"/>
          <w:sz w:val="22"/>
        </w:rPr>
        <w:t>RNA</w:t>
      </w:r>
      <w:r>
        <w:rPr>
          <w:rFonts w:eastAsia="等线" w:ascii="Arial" w:cs="Arial" w:hAnsi="Arial"/>
          <w:sz w:val="22"/>
        </w:rPr>
        <w:t>研究人员来说甚至是相当不寻常和反教条的。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本次报告主要探讨了</w:t>
      </w:r>
      <w:r>
        <w:rPr>
          <w:rFonts w:eastAsia="等线" w:ascii="Arial" w:cs="Arial" w:hAnsi="Arial"/>
          <w:sz w:val="22"/>
        </w:rPr>
        <w:t>RNA</w:t>
      </w:r>
      <w:r>
        <w:rPr>
          <w:rFonts w:eastAsia="等线" w:ascii="Arial" w:cs="Arial" w:hAnsi="Arial"/>
          <w:sz w:val="22"/>
        </w:rPr>
        <w:t>在生物调控中的新角色——核糖调控。Matthias首先介绍了细胞调控的基本原则，即通过控制蛋白质之间的相互作用和酶与底物之间的相互作用来控制细胞活动。然后，Matthias提出了一个新观点，即RNA也可以通过类似于翻译后修饰的方式来调控蛋白质和酶底物之间的相互作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具体来说，Matthias介绍了</w:t>
      </w:r>
      <w:r>
        <w:rPr>
          <w:rFonts w:eastAsia="等线" w:ascii="Arial" w:cs="Arial" w:hAnsi="Arial"/>
          <w:sz w:val="22"/>
        </w:rPr>
        <w:t>RNA结合蛋白</w:t>
      </w:r>
      <w:r>
        <w:rPr>
          <w:rFonts w:eastAsia="等线" w:ascii="Arial" w:cs="Arial" w:hAnsi="Arial"/>
          <w:sz w:val="22"/>
        </w:rPr>
        <w:t>（</w:t>
      </w:r>
      <w:r>
        <w:rPr>
          <w:rFonts w:eastAsia="等线" w:ascii="Arial" w:cs="Arial" w:hAnsi="Arial"/>
          <w:sz w:val="22"/>
        </w:rPr>
        <w:t>RNA</w:t>
      </w:r>
      <w:r>
        <w:rPr>
          <w:rFonts w:eastAsia="等线" w:ascii="Arial" w:cs="Arial" w:hAnsi="Arial"/>
          <w:sz w:val="22"/>
        </w:rPr>
        <w:t xml:space="preserve"> binding protein，RBP）在核糖调控中的作用。传统上，人们认为RBP是通过结合RNA来调控RNA的命运和功能的。但是，Matthias指出，RBP本身也可以被RNA分子所影响，从而导致蛋白质功能的变化。这种调控的机制类似于翻译后修饰，但它是由RNA分子来实现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为了支持这一观点，Matthias介绍了一些实验结果。例如，他们使用了RNA相互作用捕获技术来识别与RNA相互作用的RBP （RNA 结合蛋白），并发现这些RBP可以调控多种生物学过程。此外，Matthias还介绍了一些具体的例子。</w:t>
      </w:r>
    </w:p>
    <w:p>
      <w:pPr>
        <w:pStyle w:val="2"/>
        <w:spacing w:before="320" w:after="120" w:line="288" w:lineRule="auto"/>
        <w:ind w:left="0"/>
        <w:jc w:val="left"/>
        <w:outlineLvl w:val="1"/>
      </w:pPr>
      <w:r>
        <w:rPr>
          <w:rFonts w:eastAsia="等线" w:ascii="Arial" w:cs="Arial" w:hAnsi="Arial"/>
          <w:b w:val="true"/>
          <w:sz w:val="32"/>
        </w:rPr>
        <w:t>常见的生物学调控机制</w:t>
      </w:r>
    </w:p>
    <w:p>
      <w:pPr>
        <w:spacing w:before="120" w:after="120" w:line="288" w:lineRule="auto"/>
        <w:ind w:left="0"/>
        <w:jc w:val="left"/>
      </w:pPr>
      <w:r>
        <w:rPr>
          <w:rFonts w:eastAsia="等线" w:ascii="Arial" w:cs="Arial" w:hAnsi="Arial"/>
          <w:sz w:val="22"/>
        </w:rPr>
        <w:t>图1 展示了生物学被调节的两种最常见的方式。如图1所示，一个方式是控制</w:t>
      </w:r>
      <w:r>
        <w:rPr>
          <w:rFonts w:eastAsia="等线" w:ascii="Arial" w:cs="Arial" w:hAnsi="Arial"/>
          <w:sz w:val="22"/>
        </w:rPr>
        <w:t>蛋白质相互作用</w:t>
      </w:r>
      <w:r>
        <w:rPr>
          <w:rFonts w:eastAsia="等线" w:ascii="Arial" w:cs="Arial" w:hAnsi="Arial"/>
          <w:sz w:val="22"/>
        </w:rPr>
        <w:t>，另一个方式是控制酶和它们的底物之间的相互作用。几十年来的研究通过翻译后修饰的方式确定了蛋白质调节过程。而</w:t>
      </w:r>
      <w:r>
        <w:rPr>
          <w:rFonts w:eastAsia="等线" w:ascii="Arial" w:cs="Arial" w:hAnsi="Arial"/>
          <w:sz w:val="22"/>
        </w:rPr>
        <w:t>RNA</w:t>
      </w:r>
      <w:r>
        <w:rPr>
          <w:rFonts w:eastAsia="等线" w:ascii="Arial" w:cs="Arial" w:hAnsi="Arial"/>
          <w:sz w:val="22"/>
        </w:rPr>
        <w:t>可以做与翻译后修饰在控制蛋白质和酶底物相互作用方面完全相同或类似的事情。即使在2023年，这也是一个相当不寻常的想法。对于一个经典的</w:t>
      </w:r>
      <w:r>
        <w:rPr>
          <w:rFonts w:eastAsia="等线" w:ascii="Arial" w:cs="Arial" w:hAnsi="Arial"/>
          <w:sz w:val="22"/>
        </w:rPr>
        <w:t>RNA结合蛋白</w:t>
      </w:r>
      <w:r>
        <w:rPr>
          <w:rFonts w:eastAsia="等线" w:ascii="Arial" w:cs="Arial" w:hAnsi="Arial"/>
          <w:sz w:val="22"/>
        </w:rPr>
        <w:t>，大多数人的看法是，这些蛋白通常含有RND结合结构域，如</w:t>
      </w:r>
      <w:r>
        <w:rPr>
          <w:rFonts w:eastAsia="等线" w:ascii="Arial" w:cs="Arial" w:hAnsi="Arial"/>
          <w:sz w:val="22"/>
        </w:rPr>
        <w:t>RM</w:t>
      </w:r>
      <w:r>
        <w:rPr>
          <w:rFonts w:eastAsia="等线" w:ascii="Arial" w:cs="Arial" w:hAnsi="Arial"/>
          <w:sz w:val="22"/>
        </w:rPr>
        <w:t>结构域，KH结构域等几个特征良好的结构域之一。这些蛋白与RNA、</w:t>
      </w:r>
      <w:r>
        <w:rPr>
          <w:rFonts w:eastAsia="等线" w:ascii="Arial" w:cs="Arial" w:hAnsi="Arial"/>
          <w:sz w:val="22"/>
        </w:rPr>
        <w:t>信使RNA</w:t>
      </w:r>
      <w:r>
        <w:rPr>
          <w:rFonts w:eastAsia="等线" w:ascii="Arial" w:cs="Arial" w:hAnsi="Arial"/>
          <w:sz w:val="22"/>
        </w:rPr>
        <w:t>、非编码RNA等结合，并改变该RNA命运等。我们会认为，剪接调节器控制剪接过程，翻译调节器控制翻译过程。它们将RNA带到</w:t>
      </w:r>
      <w:r>
        <w:rPr>
          <w:rFonts w:eastAsia="等线" w:ascii="Arial" w:cs="Arial" w:hAnsi="Arial"/>
          <w:sz w:val="22"/>
        </w:rPr>
        <w:t>树突</w:t>
      </w:r>
      <w:r>
        <w:rPr>
          <w:rFonts w:eastAsia="等线" w:ascii="Arial" w:cs="Arial" w:hAnsi="Arial"/>
          <w:sz w:val="22"/>
        </w:rPr>
        <w:t>的特定空间位置。换言之，蛋白质控制着它结合的RNA。</w:t>
      </w:r>
    </w:p>
    <w:p>
      <w:pPr>
        <w:spacing w:before="120" w:after="120" w:line="288" w:lineRule="auto"/>
        <w:ind w:left="0"/>
        <w:jc w:val="center"/>
      </w:pPr>
      <w:r>
        <w:drawing>
          <wp:inline distT="0" distR="0" distB="0" distL="0">
            <wp:extent cx="5257800" cy="28670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867025"/>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图1. 最常见的两种生物学调控方式</w:t>
      </w:r>
    </w:p>
    <w:p>
      <w:pPr>
        <w:pStyle w:val="2"/>
        <w:spacing w:before="320" w:after="120" w:line="288" w:lineRule="auto"/>
        <w:ind w:left="0"/>
        <w:jc w:val="left"/>
        <w:outlineLvl w:val="1"/>
      </w:pPr>
      <w:r>
        <w:rPr>
          <w:rFonts w:eastAsia="等线" w:ascii="Arial" w:cs="Arial" w:hAnsi="Arial"/>
          <w:b w:val="true"/>
          <w:sz w:val="32"/>
        </w:rPr>
        <w:t>核糖调控机制</w:t>
      </w:r>
    </w:p>
    <w:p>
      <w:pPr>
        <w:spacing w:before="120" w:after="120" w:line="288" w:lineRule="auto"/>
        <w:ind w:left="0"/>
        <w:jc w:val="left"/>
      </w:pPr>
      <w:r>
        <w:rPr>
          <w:rFonts w:eastAsia="等线" w:ascii="Arial" w:cs="Arial" w:hAnsi="Arial"/>
          <w:sz w:val="22"/>
        </w:rPr>
        <w:t>与常见的蛋白质主导的生物调控机制相反，在核糖调节机制中，</w:t>
      </w:r>
      <w:r>
        <w:rPr>
          <w:rFonts w:eastAsia="等线" w:ascii="Arial" w:cs="Arial" w:hAnsi="Arial"/>
          <w:sz w:val="22"/>
        </w:rPr>
        <w:t>RNA</w:t>
      </w:r>
      <w:r>
        <w:rPr>
          <w:rFonts w:eastAsia="等线" w:ascii="Arial" w:cs="Arial" w:hAnsi="Arial"/>
          <w:sz w:val="22"/>
        </w:rPr>
        <w:t>控制蛋白质的命运并改变蛋白质功能。这种类型的</w:t>
      </w:r>
      <w:r>
        <w:rPr>
          <w:rFonts w:eastAsia="等线" w:ascii="Arial" w:cs="Arial" w:hAnsi="Arial"/>
          <w:sz w:val="22"/>
        </w:rPr>
        <w:t>RNA结合蛋白</w:t>
      </w:r>
      <w:r>
        <w:rPr>
          <w:rFonts w:eastAsia="等线" w:ascii="Arial" w:cs="Arial" w:hAnsi="Arial"/>
          <w:sz w:val="22"/>
        </w:rPr>
        <w:t>通常是没有RNA结合域的蛋白质。实际上，它们甚至通常不被称为RNA结合蛋白。它们更有可能被称为酶或先天免疫效应分子作为通道或</w:t>
      </w:r>
      <w:r>
        <w:rPr>
          <w:rFonts w:eastAsia="等线" w:ascii="Arial" w:cs="Arial" w:hAnsi="Arial"/>
          <w:sz w:val="22"/>
        </w:rPr>
        <w:t>溶质</w:t>
      </w:r>
      <w:r>
        <w:rPr>
          <w:rFonts w:eastAsia="等线" w:ascii="Arial" w:cs="Arial" w:hAnsi="Arial"/>
          <w:sz w:val="22"/>
        </w:rPr>
        <w:t>载体等其他东西。因此，这与我们传统上对RNA结合蛋白及其功能的看法非常不同。</w:t>
      </w:r>
    </w:p>
    <w:p>
      <w:pPr>
        <w:spacing w:before="120" w:after="120" w:line="288" w:lineRule="auto"/>
        <w:ind w:left="0"/>
        <w:jc w:val="left"/>
      </w:pPr>
    </w:p>
    <w:p>
      <w:pPr>
        <w:spacing w:before="120" w:after="120" w:line="288" w:lineRule="auto"/>
        <w:ind w:left="0"/>
        <w:jc w:val="left"/>
      </w:pPr>
      <w:r>
        <w:rPr>
          <w:rFonts w:eastAsia="等线" w:ascii="Arial" w:cs="Arial" w:hAnsi="Arial"/>
          <w:sz w:val="22"/>
        </w:rPr>
        <w:t>Matthias还与大家分享他对"moonlighting" （兼职）这个术语的理解。生物学中的兼职指的是蛋白质或基因在细胞或有机体中具有多种功能或作用的现象。这意味着一个特定的蛋白质或基因可以在不同的细胞或生理环境中执行不同的任务或具有不同的功能。这一概念突出了生物系统的多功能性和复杂性。</w:t>
      </w:r>
    </w:p>
    <w:p>
      <w:pPr>
        <w:spacing w:before="120" w:after="120" w:line="288" w:lineRule="auto"/>
        <w:ind w:left="0"/>
        <w:jc w:val="center"/>
      </w:pPr>
      <w:r>
        <w:drawing>
          <wp:inline distT="0" distR="0" distB="0" distL="0">
            <wp:extent cx="5257800" cy="35242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3524250"/>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图2. 两种相互作用机制：moonlighting 与 riboregulation</w:t>
      </w:r>
    </w:p>
    <w:p>
      <w:pPr>
        <w:spacing w:before="120" w:after="120" w:line="288" w:lineRule="auto"/>
        <w:ind w:left="0"/>
        <w:jc w:val="left"/>
      </w:pPr>
      <w:r>
        <w:rPr>
          <w:rFonts w:eastAsia="等线" w:ascii="Arial" w:cs="Arial" w:hAnsi="Arial"/>
          <w:sz w:val="22"/>
        </w:rPr>
        <w:t>"moonlighting"与"Riboregulation"是不同的概念。"moonlighting"和"Riboregulation"的共同之处在于</w:t>
      </w:r>
      <w:r>
        <w:rPr>
          <w:rFonts w:eastAsia="等线" w:ascii="Arial" w:cs="Arial" w:hAnsi="Arial"/>
          <w:sz w:val="22"/>
        </w:rPr>
        <w:t>RNA结合蛋白</w:t>
      </w:r>
      <w:r>
        <w:rPr>
          <w:rFonts w:eastAsia="等线" w:ascii="Arial" w:cs="Arial" w:hAnsi="Arial"/>
          <w:sz w:val="22"/>
        </w:rPr>
        <w:t>通常具有其他功能，例如作为酶。但是在"moonlighting"中，RNA结合蛋白（可以是酶）像传统的RNA结合蛋白一样结合到</w:t>
      </w:r>
      <w:r>
        <w:rPr>
          <w:rFonts w:eastAsia="等线" w:ascii="Arial" w:cs="Arial" w:hAnsi="Arial"/>
          <w:sz w:val="22"/>
        </w:rPr>
        <w:t>RNA</w:t>
      </w:r>
      <w:r>
        <w:rPr>
          <w:rFonts w:eastAsia="等线" w:ascii="Arial" w:cs="Arial" w:hAnsi="Arial"/>
          <w:sz w:val="22"/>
        </w:rPr>
        <w:t>上，并改变其命运。在我最早研究的RNA生物学中，RNA结合蛋白铁调节蛋白1（IRP1）就是一个例子，它是一种酶，同时又作为一个RNA结合蛋白调控</w:t>
      </w:r>
      <w:r>
        <w:rPr>
          <w:rFonts w:eastAsia="等线" w:ascii="Arial" w:cs="Arial" w:hAnsi="Arial"/>
          <w:sz w:val="22"/>
        </w:rPr>
        <w:t>铁蛋白</w:t>
      </w:r>
      <w:r>
        <w:rPr>
          <w:rFonts w:eastAsia="等线" w:ascii="Arial" w:cs="Arial" w:hAnsi="Arial"/>
          <w:sz w:val="22"/>
        </w:rPr>
        <w:t>的翻译或透明受体</w:t>
      </w:r>
      <w:r>
        <w:rPr>
          <w:rFonts w:eastAsia="等线" w:ascii="Arial" w:cs="Arial" w:hAnsi="Arial"/>
          <w:sz w:val="22"/>
        </w:rPr>
        <w:t>信使RNA</w:t>
      </w:r>
      <w:r>
        <w:rPr>
          <w:rFonts w:eastAsia="等线" w:ascii="Arial" w:cs="Arial" w:hAnsi="Arial"/>
          <w:sz w:val="22"/>
        </w:rPr>
        <w:t>的稳定性，这是现在的教科书知识。</w:t>
      </w:r>
    </w:p>
    <w:p>
      <w:pPr>
        <w:spacing w:before="120" w:after="120" w:line="288" w:lineRule="auto"/>
        <w:ind w:left="0"/>
        <w:jc w:val="left"/>
      </w:pPr>
    </w:p>
    <w:p>
      <w:pPr>
        <w:spacing w:before="120" w:after="120" w:line="288" w:lineRule="auto"/>
        <w:ind w:left="0"/>
        <w:jc w:val="left"/>
      </w:pPr>
      <w:r>
        <w:rPr>
          <w:rFonts w:eastAsia="等线" w:ascii="Arial" w:cs="Arial" w:hAnsi="Arial"/>
          <w:sz w:val="22"/>
        </w:rPr>
        <w:t>然而，兼职与核糖调控不同（见图2）。Matthias提出了一个重要的观点，riboregulation。虽然这对Matthias的团队来说是成为一个核心话题，Matthias的团队也是作为这一普遍原则推广的人。但早期就有了一些与riboregulation类似的例子。所以如果我们想到PKR（蛋白激酶R），就不应该感到太惊讶了。PKR是一种在双链RNA存在下被激活的蛋白激酶，在病毒感染的情况下通常会被激活。然后PKR在激活后磷酸化翻译起始因子α，这会下调整体翻译作为先天免疫反应的重要方面。一些类似受体也能够感知RNA并被单链或双链RNA激活的分子。</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系统性地发现新的</w:t>
      </w:r>
      <w:r>
        <w:rPr>
          <w:rFonts w:eastAsia="等线" w:ascii="Arial" w:cs="Arial" w:hAnsi="Arial"/>
          <w:b w:val="true"/>
          <w:sz w:val="32"/>
        </w:rPr>
        <w:t>RNA结合蛋白</w:t>
      </w:r>
    </w:p>
    <w:p>
      <w:pPr>
        <w:spacing w:before="120" w:after="120" w:line="288" w:lineRule="auto"/>
        <w:ind w:left="0"/>
        <w:jc w:val="left"/>
      </w:pPr>
      <w:r>
        <w:rPr>
          <w:rFonts w:eastAsia="等线" w:ascii="Arial" w:cs="Arial" w:hAnsi="Arial"/>
          <w:sz w:val="22"/>
        </w:rPr>
        <w:t>在细菌中，CSRNA在2000年被认为可以控制大肠杆菌</w:t>
      </w:r>
      <w:r>
        <w:rPr>
          <w:rFonts w:eastAsia="等线" w:ascii="Arial" w:cs="Arial" w:hAnsi="Arial"/>
          <w:sz w:val="22"/>
        </w:rPr>
        <w:t>RNA聚合酶</w:t>
      </w:r>
      <w:r>
        <w:rPr>
          <w:rFonts w:eastAsia="等线" w:ascii="Arial" w:cs="Arial" w:hAnsi="Arial"/>
          <w:sz w:val="22"/>
        </w:rPr>
        <w:t>的活性。即使过去有例子，但一般原则没有被认可。但这是一个说明riboregulation 机制的重要的实体。十多年前，Matthias的实验室开发了一种叫做RNA相互作用捕获的流程，可以系统性地获的大量的RNA结合蛋白。现在，这个流程不断被优化，甚至可以在活细胞研究中全面发现所有活性RNA结合蛋白。</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这个实验的原理是，用</w:t>
      </w:r>
      <w:r>
        <w:rPr>
          <w:rFonts w:eastAsia="等线" w:ascii="Arial" w:cs="Arial" w:hAnsi="Arial"/>
          <w:sz w:val="22"/>
        </w:rPr>
        <w:t>波长</w:t>
      </w:r>
      <w:r>
        <w:rPr>
          <w:rFonts w:eastAsia="等线" w:ascii="Arial" w:cs="Arial" w:hAnsi="Arial"/>
          <w:sz w:val="22"/>
        </w:rPr>
        <w:t>为254纳米的</w:t>
      </w:r>
      <w:r>
        <w:rPr>
          <w:rFonts w:eastAsia="等线" w:ascii="Arial" w:cs="Arial" w:hAnsi="Arial"/>
          <w:sz w:val="22"/>
        </w:rPr>
        <w:t>紫外光</w:t>
      </w:r>
      <w:r>
        <w:rPr>
          <w:rFonts w:eastAsia="等线" w:ascii="Arial" w:cs="Arial" w:hAnsi="Arial"/>
          <w:sz w:val="22"/>
        </w:rPr>
        <w:t>来照射组织切片，让</w:t>
      </w:r>
      <w:r>
        <w:rPr>
          <w:rFonts w:eastAsia="等线" w:ascii="Arial" w:cs="Arial" w:hAnsi="Arial"/>
          <w:sz w:val="22"/>
        </w:rPr>
        <w:t>RNA</w:t>
      </w:r>
      <w:r>
        <w:rPr>
          <w:rFonts w:eastAsia="等线" w:ascii="Arial" w:cs="Arial" w:hAnsi="Arial"/>
          <w:sz w:val="22"/>
        </w:rPr>
        <w:t>和直接结合该RNA的蛋白质之间形成</w:t>
      </w:r>
      <w:r>
        <w:rPr>
          <w:rFonts w:eastAsia="等线" w:ascii="Arial" w:cs="Arial" w:hAnsi="Arial"/>
          <w:sz w:val="22"/>
        </w:rPr>
        <w:t>共价键</w:t>
      </w:r>
      <w:r>
        <w:rPr>
          <w:rFonts w:eastAsia="等线" w:ascii="Arial" w:cs="Arial" w:hAnsi="Arial"/>
          <w:sz w:val="22"/>
        </w:rPr>
        <w:t>。图3所示的椭圆，代表蛋白，红色椭圆表示的蛋白在紫外线照射时，与所示的RNA共价交联。值得注意的是，这种类型的紫外线照射不会诱导蛋白质-蛋白质交联，因此图中灰色椭圆不会与红色椭圆交联，这意味着我们可以特异性地捕获与RNA直接结合的蛋白。</w:t>
      </w:r>
    </w:p>
    <w:p>
      <w:pPr>
        <w:spacing w:before="120" w:after="120" w:line="288" w:lineRule="auto"/>
        <w:ind w:left="0"/>
        <w:jc w:val="center"/>
      </w:pPr>
      <w:r>
        <w:drawing>
          <wp:inline distT="0" distR="0" distB="0" distL="0">
            <wp:extent cx="5257800" cy="2362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362200"/>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图3. 系统性地发现</w:t>
      </w:r>
      <w:r>
        <w:rPr>
          <w:rFonts w:eastAsia="等线" w:ascii="Arial" w:cs="Arial" w:hAnsi="Arial"/>
          <w:sz w:val="22"/>
        </w:rPr>
        <w:t>RNA结合蛋白</w:t>
      </w:r>
    </w:p>
    <w:p>
      <w:pPr>
        <w:spacing w:before="120" w:after="120" w:line="288" w:lineRule="auto"/>
        <w:ind w:left="0"/>
        <w:jc w:val="left"/>
      </w:pPr>
    </w:p>
    <w:p>
      <w:pPr>
        <w:spacing w:before="120" w:after="120" w:line="288" w:lineRule="auto"/>
        <w:ind w:left="0"/>
        <w:jc w:val="left"/>
      </w:pPr>
      <w:r>
        <w:rPr>
          <w:rFonts w:eastAsia="等线" w:ascii="Arial" w:cs="Arial" w:hAnsi="Arial"/>
          <w:sz w:val="22"/>
        </w:rPr>
        <w:t>然后，可以使用寡聚dT寡核苷酸来检出带有poly-A尾巴的</w:t>
      </w:r>
      <w:r>
        <w:rPr>
          <w:rFonts w:eastAsia="等线" w:ascii="Arial" w:cs="Arial" w:hAnsi="Arial"/>
          <w:sz w:val="22"/>
        </w:rPr>
        <w:t>信使RNA</w:t>
      </w:r>
      <w:r>
        <w:rPr>
          <w:rFonts w:eastAsia="等线" w:ascii="Arial" w:cs="Arial" w:hAnsi="Arial"/>
          <w:sz w:val="22"/>
        </w:rPr>
        <w:t>（如信使RNA或一些众所周知的长编码</w:t>
      </w:r>
      <w:r>
        <w:rPr>
          <w:rFonts w:eastAsia="等线" w:ascii="Arial" w:cs="Arial" w:hAnsi="Arial"/>
          <w:sz w:val="22"/>
        </w:rPr>
        <w:t>RNA</w:t>
      </w:r>
      <w:r>
        <w:rPr>
          <w:rFonts w:eastAsia="等线" w:ascii="Arial" w:cs="Arial" w:hAnsi="Arial"/>
          <w:sz w:val="22"/>
        </w:rPr>
        <w:t>），并通过洗涤剂、变性剂和高盐洗涤等方法去除与RNA没有共价结合的物质，基本上只保留交联的RNA结合蛋白质（RBPs），然后通过</w:t>
      </w:r>
      <w:r>
        <w:rPr>
          <w:rFonts w:eastAsia="等线" w:ascii="Arial" w:cs="Arial" w:hAnsi="Arial"/>
          <w:sz w:val="22"/>
        </w:rPr>
        <w:t>质谱法</w:t>
      </w:r>
      <w:r>
        <w:rPr>
          <w:rFonts w:eastAsia="等线" w:ascii="Arial" w:cs="Arial" w:hAnsi="Arial"/>
          <w:sz w:val="22"/>
        </w:rPr>
        <w:t>释放并鉴定它们。当进行这项工作时，Matthias的团队很快将已知的RNA结合蛋白质数量从以前的大约七八百个增加到了一个意料之外的数量范围内。发现了2000多个RNA结合蛋白，并逼近3000个。</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这个发现引发了许多问题。他们认识到的许多额外蛋白质并没有</w:t>
      </w:r>
      <w:r>
        <w:rPr>
          <w:rFonts w:eastAsia="等线" w:ascii="Arial" w:cs="Arial" w:hAnsi="Arial"/>
          <w:sz w:val="22"/>
        </w:rPr>
        <w:t>RNA</w:t>
      </w:r>
      <w:r>
        <w:rPr>
          <w:rFonts w:eastAsia="等线" w:ascii="Arial" w:cs="Arial" w:hAnsi="Arial"/>
          <w:sz w:val="22"/>
        </w:rPr>
        <w:t>结合结构域，所以这些蛋白质为什么会与RNA结合是无法解释的。同时也没有与RNA生物学相关的已注释生物学功能，所以也许这些蛋白与RNA无关，只是偶然发生的现象。然而，这些蛋白质并不像人们最初怀疑的那样只是常见的污染物。实际上，将这些RNA结合蛋白质与全蛋白组学分析进行比较后，Matthias的团队发现它们在各种</w:t>
      </w:r>
      <w:r>
        <w:rPr>
          <w:rFonts w:eastAsia="等线" w:ascii="Arial" w:cs="Arial" w:hAnsi="Arial"/>
          <w:sz w:val="22"/>
        </w:rPr>
        <w:t>丰度</w:t>
      </w:r>
      <w:r>
        <w:rPr>
          <w:rFonts w:eastAsia="等线" w:ascii="Arial" w:cs="Arial" w:hAnsi="Arial"/>
          <w:sz w:val="22"/>
        </w:rPr>
        <w:t>水平上都存在，包括非常稀有的蛋白质，并且许多特异性控制实验证明，在生物体内至少在生化水平上存在特异性的RNA结合蛋白质。</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这是很有趣的现象，但对于生物学家来说更重要的问题是它是否具有功能意义。因此，Matthias的实验室主要工作重点是解决这个问题。这些蛋白质与</w:t>
      </w:r>
      <w:r>
        <w:rPr>
          <w:rFonts w:eastAsia="等线" w:ascii="Arial" w:cs="Arial" w:hAnsi="Arial"/>
          <w:sz w:val="22"/>
        </w:rPr>
        <w:t>RNA</w:t>
      </w:r>
      <w:r>
        <w:rPr>
          <w:rFonts w:eastAsia="等线" w:ascii="Arial" w:cs="Arial" w:hAnsi="Arial"/>
          <w:sz w:val="22"/>
        </w:rPr>
        <w:t>结合的功能意义是什么？Matthias介绍了两个已经发表的例子。</w:t>
      </w:r>
    </w:p>
    <w:p>
      <w:pPr>
        <w:pStyle w:val="2"/>
        <w:spacing w:before="320" w:after="120" w:line="288" w:lineRule="auto"/>
        <w:ind w:left="0"/>
        <w:jc w:val="left"/>
        <w:outlineLvl w:val="1"/>
      </w:pPr>
      <w:r>
        <w:rPr>
          <w:rFonts w:eastAsia="等线" w:ascii="Arial" w:cs="Arial" w:hAnsi="Arial"/>
          <w:b w:val="true"/>
          <w:sz w:val="32"/>
        </w:rPr>
        <w:t>p62与VtRNA 1 之间相互作用调控</w:t>
      </w:r>
      <w:r>
        <w:rPr>
          <w:rFonts w:eastAsia="等线" w:ascii="Arial" w:cs="Arial" w:hAnsi="Arial"/>
          <w:b w:val="true"/>
          <w:sz w:val="32"/>
        </w:rPr>
        <w:t>自噬</w:t>
      </w:r>
      <w:r>
        <w:rPr>
          <w:rFonts w:eastAsia="等线" w:ascii="Arial" w:cs="Arial" w:hAnsi="Arial"/>
          <w:b w:val="true"/>
          <w:sz w:val="32"/>
        </w:rPr>
        <w:t>通路</w:t>
      </w:r>
    </w:p>
    <w:p>
      <w:pPr>
        <w:spacing w:before="120" w:after="120" w:line="288" w:lineRule="auto"/>
        <w:ind w:left="0"/>
        <w:jc w:val="left"/>
      </w:pPr>
      <w:r>
        <w:rPr>
          <w:rFonts w:eastAsia="等线" w:ascii="Arial" w:cs="Arial" w:hAnsi="Arial"/>
          <w:sz w:val="22"/>
        </w:rPr>
        <w:t>首先讲述的是，Matthias团队中的Rusty Horrors在实验室中研究的一个例子。Rusty的项目挑战是：在新发现的长长的RNA结合蛋白清单中，是否有一个已经有很多发表研究的蛋白质，并且已发表的论文中，不应该有关于RNA结合或RNA生物学功能的证据，因为这应该是一个在实验中稳健地显示为RNA结合蛋白质的蛋白质。实际上，Matthias要求Rusty不要把最好的蛋白放在前面，而是把最差的蛋白放在前面，即以前从未被发现与RNA有任何关系的蛋白。</w:t>
      </w:r>
    </w:p>
    <w:p>
      <w:pPr>
        <w:spacing w:before="120" w:after="120" w:line="288" w:lineRule="auto"/>
        <w:ind w:left="0"/>
        <w:jc w:val="left"/>
      </w:pPr>
    </w:p>
    <w:p>
      <w:pPr>
        <w:spacing w:before="120" w:after="120" w:line="288" w:lineRule="auto"/>
        <w:ind w:left="0"/>
        <w:jc w:val="left"/>
      </w:pPr>
      <w:r>
        <w:rPr>
          <w:rFonts w:eastAsia="等线" w:ascii="Arial" w:cs="Arial" w:hAnsi="Arial"/>
          <w:sz w:val="22"/>
        </w:rPr>
        <w:t>于是他选择了p62蛋白。这是哺乳动物</w:t>
      </w:r>
      <w:r>
        <w:rPr>
          <w:rFonts w:eastAsia="等线" w:ascii="Arial" w:cs="Arial" w:hAnsi="Arial"/>
          <w:sz w:val="22"/>
        </w:rPr>
        <w:t>自噬</w:t>
      </w:r>
      <w:r>
        <w:rPr>
          <w:rFonts w:eastAsia="等线" w:ascii="Arial" w:cs="Arial" w:hAnsi="Arial"/>
          <w:sz w:val="22"/>
        </w:rPr>
        <w:t>通路中涉及的一种蛋白质，在当时已经发表了超过4000篇论文，其中没有一篇论文提到</w:t>
      </w:r>
      <w:r>
        <w:rPr>
          <w:rFonts w:eastAsia="等线" w:ascii="Arial" w:cs="Arial" w:hAnsi="Arial"/>
          <w:sz w:val="22"/>
        </w:rPr>
        <w:t>RNA</w:t>
      </w:r>
      <w:r>
        <w:rPr>
          <w:rFonts w:eastAsia="等线" w:ascii="Arial" w:cs="Arial" w:hAnsi="Arial"/>
          <w:sz w:val="22"/>
        </w:rPr>
        <w:t>的重要性，正如这篇论文所报道的那样。Rusty发现这种蛋白质并没有RNA结合域，但可以结合一个小的非编码RNA（如图4所示），称为vtRNA1-1。这是一种</w:t>
      </w:r>
      <w:r>
        <w:rPr>
          <w:rFonts w:eastAsia="等线" w:ascii="Arial" w:cs="Arial" w:hAnsi="Arial"/>
          <w:sz w:val="22"/>
        </w:rPr>
        <w:t>RNA聚合酶</w:t>
      </w:r>
      <w:r>
        <w:rPr>
          <w:rFonts w:eastAsia="等线" w:ascii="Arial" w:cs="Arial" w:hAnsi="Arial"/>
          <w:sz w:val="22"/>
        </w:rPr>
        <w:t>转录本，类似</w:t>
      </w:r>
      <w:r>
        <w:rPr>
          <w:rFonts w:eastAsia="等线" w:ascii="Arial" w:cs="Arial" w:hAnsi="Arial"/>
          <w:sz w:val="22"/>
        </w:rPr>
        <w:t>tRNA</w:t>
      </w:r>
      <w:r>
        <w:rPr>
          <w:rFonts w:eastAsia="等线" w:ascii="Arial" w:cs="Arial" w:hAnsi="Arial"/>
          <w:sz w:val="22"/>
        </w:rPr>
        <w:t>分子，人类</w:t>
      </w:r>
      <w:r>
        <w:rPr>
          <w:rFonts w:eastAsia="等线" w:ascii="Arial" w:cs="Arial" w:hAnsi="Arial"/>
          <w:sz w:val="22"/>
        </w:rPr>
        <w:t>基因组</w:t>
      </w:r>
      <w:r>
        <w:rPr>
          <w:rFonts w:eastAsia="等线" w:ascii="Arial" w:cs="Arial" w:hAnsi="Arial"/>
          <w:sz w:val="22"/>
        </w:rPr>
        <w:t>中有四种不同的vtRNA，只有其中一种在自噬途径中起作用。</w:t>
      </w:r>
    </w:p>
    <w:p>
      <w:pPr>
        <w:spacing w:before="120" w:after="120" w:line="288" w:lineRule="auto"/>
        <w:ind w:left="0"/>
        <w:jc w:val="center"/>
      </w:pPr>
    </w:p>
    <w:p>
      <w:pPr>
        <w:spacing w:before="120" w:after="120" w:line="288" w:lineRule="auto"/>
        <w:ind w:left="0"/>
        <w:jc w:val="center"/>
      </w:pPr>
      <w:r>
        <w:drawing>
          <wp:inline distT="0" distR="0" distB="0" distL="0">
            <wp:extent cx="5257800" cy="34004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3400425"/>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图4 非编码RNA调控细胞自噬</w:t>
      </w:r>
    </w:p>
    <w:p>
      <w:pPr>
        <w:spacing w:before="120" w:after="120" w:line="288" w:lineRule="auto"/>
        <w:ind w:left="0"/>
        <w:jc w:val="left"/>
      </w:pPr>
      <w:r>
        <w:rPr>
          <w:rFonts w:eastAsia="等线" w:ascii="Arial" w:cs="Arial" w:hAnsi="Arial"/>
          <w:sz w:val="22"/>
        </w:rPr>
        <w:t>由于寡聚化对于促进</w:t>
      </w:r>
      <w:r>
        <w:rPr>
          <w:rFonts w:eastAsia="等线" w:ascii="Arial" w:cs="Arial" w:hAnsi="Arial"/>
          <w:sz w:val="22"/>
        </w:rPr>
        <w:t>自噬</w:t>
      </w:r>
      <w:r>
        <w:rPr>
          <w:rFonts w:eastAsia="等线" w:ascii="Arial" w:cs="Arial" w:hAnsi="Arial"/>
          <w:sz w:val="22"/>
        </w:rPr>
        <w:t>至关重要，正如图4所示，vtRNA 1-1是一个抑制剂，通过抑制蛋白质之间的相互作用来抑制自噬。而且，重要的是，vtRNA 1-1的水平本身受到饥饿的调控。通常，饥饿是触发自噬的信号，当细胞饥饿时，vtRNA 1-1的水平会下调。与此</w:t>
      </w:r>
      <w:r>
        <w:rPr>
          <w:rFonts w:eastAsia="等线" w:ascii="Arial" w:cs="Arial" w:hAnsi="Arial"/>
          <w:sz w:val="22"/>
        </w:rPr>
        <w:t>RNA</w:t>
      </w:r>
      <w:r>
        <w:rPr>
          <w:rFonts w:eastAsia="等线" w:ascii="Arial" w:cs="Arial" w:hAnsi="Arial"/>
          <w:sz w:val="22"/>
        </w:rPr>
        <w:t>结合的p62单体的数量显然会下降。单体被释放出来后可以聚合并促进自噬</w:t>
      </w:r>
      <w:r>
        <w:rPr>
          <w:rFonts w:eastAsia="等线" w:ascii="Arial" w:cs="Arial" w:hAnsi="Arial"/>
          <w:sz w:val="22"/>
        </w:rPr>
        <w:t>通量</w:t>
      </w:r>
      <w:r>
        <w:rPr>
          <w:rFonts w:eastAsia="等线" w:ascii="Arial" w:cs="Arial" w:hAnsi="Arial"/>
          <w:sz w:val="22"/>
        </w:rPr>
        <w:t>。因此，这个例子突出了一个riboregulation调控的例子，其中一个非常特定的RNA（vtRNA 1-1）控制着</w:t>
      </w:r>
      <w:r>
        <w:rPr>
          <w:rFonts w:eastAsia="等线" w:ascii="Arial" w:cs="Arial" w:hAnsi="Arial"/>
          <w:sz w:val="22"/>
        </w:rPr>
        <w:t>蛋白质相互作用</w:t>
      </w:r>
      <w:r>
        <w:rPr>
          <w:rFonts w:eastAsia="等线" w:ascii="Arial" w:cs="Arial" w:hAnsi="Arial"/>
          <w:sz w:val="22"/>
        </w:rPr>
        <w:t>，通过调节RNA的稳态水平来实现生物调控。这个例子提出了三个后续问题：</w:t>
      </w:r>
    </w:p>
    <w:p>
      <w:pPr>
        <w:numPr>
          <w:numId w:val="1"/>
        </w:numPr>
        <w:spacing w:before="120" w:after="120" w:line="288" w:lineRule="auto"/>
        <w:ind w:left="0"/>
        <w:jc w:val="left"/>
      </w:pPr>
      <w:r>
        <w:rPr>
          <w:rFonts w:eastAsia="等线" w:ascii="Arial" w:cs="Arial" w:hAnsi="Arial"/>
          <w:sz w:val="22"/>
        </w:rPr>
        <w:t>为什么vtRNA如此特殊？为什么这个特定的</w:t>
      </w:r>
      <w:r>
        <w:rPr>
          <w:rFonts w:eastAsia="等线" w:ascii="Arial" w:cs="Arial" w:hAnsi="Arial"/>
          <w:sz w:val="22"/>
        </w:rPr>
        <w:t>RNA</w:t>
      </w:r>
      <w:r>
        <w:rPr>
          <w:rFonts w:eastAsia="等线" w:ascii="Arial" w:cs="Arial" w:hAnsi="Arial"/>
          <w:sz w:val="22"/>
        </w:rPr>
        <w:t>能够起作用，而其他vtRNA则不能？</w:t>
      </w:r>
    </w:p>
    <w:p>
      <w:pPr>
        <w:numPr>
          <w:numId w:val="2"/>
        </w:numPr>
        <w:spacing w:before="120" w:after="120" w:line="288" w:lineRule="auto"/>
        <w:ind w:left="0"/>
        <w:jc w:val="left"/>
      </w:pPr>
      <w:r>
        <w:rPr>
          <w:rFonts w:eastAsia="等线" w:ascii="Arial" w:cs="Arial" w:hAnsi="Arial"/>
          <w:sz w:val="22"/>
        </w:rPr>
        <w:t>P62没有</w:t>
      </w:r>
      <w:r>
        <w:rPr>
          <w:rFonts w:eastAsia="等线" w:ascii="Arial" w:cs="Arial" w:hAnsi="Arial"/>
          <w:sz w:val="22"/>
        </w:rPr>
        <w:t>RNA</w:t>
      </w:r>
      <w:r>
        <w:rPr>
          <w:rFonts w:eastAsia="等线" w:ascii="Arial" w:cs="Arial" w:hAnsi="Arial"/>
          <w:sz w:val="22"/>
        </w:rPr>
        <w:t>结合结构域，这个RNA是如何结合的？</w:t>
      </w:r>
    </w:p>
    <w:p>
      <w:pPr>
        <w:numPr>
          <w:numId w:val="3"/>
        </w:numPr>
        <w:spacing w:before="120" w:after="120" w:line="288" w:lineRule="auto"/>
        <w:ind w:left="0"/>
        <w:jc w:val="left"/>
      </w:pPr>
      <w:r>
        <w:rPr>
          <w:rFonts w:eastAsia="等线" w:ascii="Arial" w:cs="Arial" w:hAnsi="Arial"/>
          <w:sz w:val="22"/>
        </w:rPr>
        <w:t>RNA</w:t>
      </w:r>
      <w:r>
        <w:rPr>
          <w:rFonts w:eastAsia="等线" w:ascii="Arial" w:cs="Arial" w:hAnsi="Arial"/>
          <w:sz w:val="22"/>
        </w:rPr>
        <w:t>和蛋白质之间的相互作用如何抑制聚合？</w:t>
      </w:r>
    </w:p>
    <w:p>
      <w:pPr>
        <w:spacing w:before="120" w:after="120" w:line="288" w:lineRule="auto"/>
        <w:ind w:left="0"/>
        <w:jc w:val="left"/>
      </w:pPr>
    </w:p>
    <w:p>
      <w:pPr>
        <w:spacing w:before="120" w:after="120" w:line="288" w:lineRule="auto"/>
        <w:ind w:left="0"/>
        <w:jc w:val="left"/>
      </w:pPr>
      <w:r>
        <w:rPr>
          <w:rFonts w:eastAsia="等线" w:ascii="Arial" w:cs="Arial" w:hAnsi="Arial"/>
          <w:sz w:val="22"/>
        </w:rPr>
        <w:t>vtRNA 1-1 重要的特点是它具有中央柔性环，而其他三个vtRNA没有。当在这个环中进行突变时，vtRNA失去了对p62的结合能力，并且该突变体失去了调节能力。因此，这显然是</w:t>
      </w:r>
      <w:r>
        <w:rPr>
          <w:rFonts w:eastAsia="等线" w:ascii="Arial" w:cs="Arial" w:hAnsi="Arial"/>
          <w:sz w:val="22"/>
        </w:rPr>
        <w:t>RNA</w:t>
      </w:r>
      <w:r>
        <w:rPr>
          <w:rFonts w:eastAsia="等线" w:ascii="Arial" w:cs="Arial" w:hAnsi="Arial"/>
          <w:sz w:val="22"/>
        </w:rPr>
        <w:t>特异性结合的一个重要方面。P62结合到RNA的末端端部，即所谓的PB1结构域。如图5右侧所示，PB1结构域在</w:t>
      </w:r>
      <w:r>
        <w:rPr>
          <w:rFonts w:eastAsia="等线" w:ascii="Arial" w:cs="Arial" w:hAnsi="Arial"/>
          <w:sz w:val="22"/>
        </w:rPr>
        <w:t>自噬</w:t>
      </w:r>
      <w:r>
        <w:rPr>
          <w:rFonts w:eastAsia="等线" w:ascii="Arial" w:cs="Arial" w:hAnsi="Arial"/>
          <w:sz w:val="22"/>
        </w:rPr>
        <w:t>领域的研究人员中已经非常出名，因为它是一个重要的结构域。其</w:t>
      </w:r>
      <w:r>
        <w:rPr>
          <w:rFonts w:eastAsia="等线" w:ascii="Arial" w:cs="Arial" w:hAnsi="Arial"/>
          <w:sz w:val="22"/>
        </w:rPr>
        <w:t>正电荷</w:t>
      </w:r>
      <w:r>
        <w:rPr>
          <w:rFonts w:eastAsia="等线" w:ascii="Arial" w:cs="Arial" w:hAnsi="Arial"/>
          <w:sz w:val="22"/>
        </w:rPr>
        <w:t>的K7和R21与另一个亚单位的</w:t>
      </w:r>
      <w:r>
        <w:rPr>
          <w:rFonts w:eastAsia="等线" w:ascii="Arial" w:cs="Arial" w:hAnsi="Arial"/>
          <w:sz w:val="22"/>
        </w:rPr>
        <w:t>负电荷</w:t>
      </w:r>
      <w:r>
        <w:rPr>
          <w:rFonts w:eastAsia="等线" w:ascii="Arial" w:cs="Arial" w:hAnsi="Arial"/>
          <w:sz w:val="22"/>
        </w:rPr>
        <w:t>的所谓OPCA基序结合，通过电荷驱动相互作用进行聚合。正电荷区域K7和R21也是关键的结合位点，这是通过vtRNA 1-1的突变分析确定的。</w:t>
      </w:r>
    </w:p>
    <w:p>
      <w:pPr>
        <w:spacing w:before="120" w:after="120" w:line="288" w:lineRule="auto"/>
        <w:ind w:left="0"/>
        <w:jc w:val="center"/>
      </w:pPr>
      <w:r>
        <w:drawing>
          <wp:inline distT="0" distR="0" distB="0" distL="0">
            <wp:extent cx="5257800" cy="20955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095500"/>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图5 p62与VtRNA 1 通过相互作用调控</w:t>
      </w:r>
      <w:r>
        <w:rPr>
          <w:rFonts w:eastAsia="等线" w:ascii="Arial" w:cs="Arial" w:hAnsi="Arial"/>
          <w:sz w:val="22"/>
        </w:rPr>
        <w:t>自噬</w:t>
      </w:r>
      <w:r>
        <w:rPr>
          <w:rFonts w:eastAsia="等线" w:ascii="Arial" w:cs="Arial" w:hAnsi="Arial"/>
          <w:sz w:val="22"/>
        </w:rPr>
        <w:t>通路</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受到乙酰化控制的核糖调节</w:t>
      </w:r>
    </w:p>
    <w:p>
      <w:pPr>
        <w:spacing w:before="120" w:after="120" w:line="288" w:lineRule="auto"/>
        <w:ind w:left="0"/>
        <w:jc w:val="left"/>
      </w:pPr>
      <w:r>
        <w:rPr>
          <w:rFonts w:eastAsia="等线" w:ascii="Arial" w:cs="Arial" w:hAnsi="Arial"/>
          <w:sz w:val="22"/>
        </w:rPr>
        <w:t>接着，Matthias介绍了另外一个非常不同的例子，旨在展示核糖调控发生机制的多样性。这个例子是人类糖酵解酶Enolase 1。相信大多数人在生物化学课程中都很熟悉Enolase，因为它催化了糖酵解的倒数第二步。Ina Hoopers曾经是一名博士后，他发现Enolase的酶活性也受到核糖调控。在图6中，可以看到从数据库中下载的Nlas的晶体结构（其他团队上传的结构）。可以看到它作为一种酶的活性形式，并且可以看到Matthias突出显示了四个赖氨酸残基，之所以突出显示它们是因为发现这些残基的乙酰化可以以一种生物调控的方式激活NLS的RNA结合活性。</w:t>
      </w:r>
    </w:p>
    <w:p>
      <w:pPr>
        <w:spacing w:before="120" w:after="120" w:line="288" w:lineRule="auto"/>
        <w:ind w:left="0"/>
        <w:jc w:val="left"/>
      </w:pPr>
    </w:p>
    <w:p>
      <w:pPr>
        <w:spacing w:before="120" w:after="120" w:line="288" w:lineRule="auto"/>
        <w:ind w:left="0"/>
        <w:jc w:val="center"/>
      </w:pPr>
      <w:r>
        <w:drawing>
          <wp:inline distT="0" distR="0" distB="0" distL="0">
            <wp:extent cx="5257800" cy="32099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209925"/>
                    </a:xfrm>
                    <a:prstGeom prst="rect">
                      <a:avLst/>
                    </a:prstGeom>
                  </pic:spPr>
                </pic:pic>
              </a:graphicData>
            </a:graphic>
          </wp:inline>
        </w:drawing>
      </w:r>
    </w:p>
    <w:p>
      <w:pPr>
        <w:spacing w:before="120" w:after="120" w:line="288" w:lineRule="auto"/>
        <w:ind w:left="0"/>
        <w:jc w:val="center"/>
      </w:pPr>
      <w:r>
        <w:rPr>
          <w:rFonts w:eastAsia="等线" w:ascii="Arial" w:cs="Arial" w:hAnsi="Arial"/>
          <w:sz w:val="22"/>
        </w:rPr>
        <w:t xml:space="preserve">图6 受到乙酰化控制的核糖调节 </w:t>
      </w:r>
    </w:p>
    <w:p>
      <w:pPr>
        <w:spacing w:before="120" w:after="120" w:line="288" w:lineRule="auto"/>
        <w:ind w:left="0"/>
        <w:jc w:val="left"/>
      </w:pPr>
      <w:r>
        <w:rPr>
          <w:rFonts w:eastAsia="等线" w:ascii="Arial" w:cs="Arial" w:hAnsi="Arial"/>
          <w:sz w:val="22"/>
        </w:rPr>
        <w:t>这只是一个工作模型，暂时还没有结构数据。设想一下，例如在活性酶中覆盖酶中心的蓝色环可能会摆动开放，但也可能是其他任何激活</w:t>
      </w:r>
      <w:r>
        <w:rPr>
          <w:rFonts w:eastAsia="等线" w:ascii="Arial" w:cs="Arial" w:hAnsi="Arial"/>
          <w:sz w:val="22"/>
        </w:rPr>
        <w:t>RNA</w:t>
      </w:r>
      <w:r>
        <w:rPr>
          <w:rFonts w:eastAsia="等线" w:ascii="Arial" w:cs="Arial" w:hAnsi="Arial"/>
          <w:sz w:val="22"/>
        </w:rPr>
        <w:t>结合的方式。但乙酰化会激活RNA结合，并且激活RNA结合发生在靠近酶催化中心的位置，如图6中红色标注的K343所示。突出显示它是因为如果将这个赖氨酸突变为天冬氨酸并制备重组突变蛋白，则这种突变分析与野生型蛋白一样活跃。因此，它本身不会影响酶活性。但是当测试RNA结合活性时，这种突变分析显示出强烈减少的RNA结合能力。因此，它是研究RNA结合重要性的良好突变模型。当向这种突变的酶中添加 RNA时，RNA并不起作用，但当我们向野生型酶中添加RNA时，则会抑制Enolase的酶活性。这在体外简单的还原生化实验中和活细胞中都会发生。</w:t>
      </w:r>
    </w:p>
    <w:p>
      <w:pPr>
        <w:spacing w:before="120" w:after="120" w:line="288" w:lineRule="auto"/>
        <w:ind w:left="0"/>
        <w:jc w:val="left"/>
      </w:pPr>
    </w:p>
    <w:p>
      <w:pPr>
        <w:spacing w:before="120" w:after="120" w:line="288" w:lineRule="auto"/>
        <w:ind w:left="0"/>
        <w:jc w:val="left"/>
      </w:pPr>
      <w:r>
        <w:rPr>
          <w:rFonts w:eastAsia="等线" w:ascii="Arial" w:cs="Arial" w:hAnsi="Arial"/>
          <w:sz w:val="22"/>
        </w:rPr>
        <w:t>关于结合的</w:t>
      </w:r>
      <w:r>
        <w:rPr>
          <w:rFonts w:eastAsia="等线" w:ascii="Arial" w:cs="Arial" w:hAnsi="Arial"/>
          <w:sz w:val="22"/>
        </w:rPr>
        <w:t>RNA</w:t>
      </w:r>
      <w:r>
        <w:rPr>
          <w:rFonts w:eastAsia="等线" w:ascii="Arial" w:cs="Arial" w:hAnsi="Arial"/>
          <w:sz w:val="22"/>
        </w:rPr>
        <w:t>，与先前展示的p62的情况不同，尽管此处的结合也是特异性的。在这种情况下，约有2000个不同的片段主要包含在细胞</w:t>
      </w:r>
      <w:r>
        <w:rPr>
          <w:rFonts w:eastAsia="等线" w:ascii="Arial" w:cs="Arial" w:hAnsi="Arial"/>
          <w:sz w:val="22"/>
        </w:rPr>
        <w:t>转录因子</w:t>
      </w:r>
      <w:r>
        <w:rPr>
          <w:rFonts w:eastAsia="等线" w:ascii="Arial" w:cs="Arial" w:hAnsi="Arial"/>
          <w:sz w:val="22"/>
        </w:rPr>
        <w:t>的非编码区域中，Matthias的团队已经合成了这些区域的35个核苷酸的短片段。当他们只使用这些合成的35个核苷酸片段时，在体外观察到酶抑制作用，而当把这些35个核苷酸片段引入活细胞中时，这些特定的35个核苷酸片段会下调这些活细胞中的糖酵解作用。这个相互作用是特异性的，因为可以制作这些35个核苷酸片段的乱序版本时，完全没有起作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随后，Matthias将这些突变引入小鼠胚胎干细胞的基因组中，以便它们表达具有改变RNA结合能力的突变Enolase或野生型Enolase。大多数胚胎干细胞可以分化为不同的生殖层，而突变体无法正确分化，并且无法下调糖酵解作用（糖酵解是分化中胚胎干细胞代谢的一个重要方面）。</w:t>
      </w:r>
    </w:p>
    <w:p>
      <w:pPr>
        <w:spacing w:before="120" w:after="120" w:line="288" w:lineRule="auto"/>
        <w:ind w:left="0"/>
        <w:jc w:val="left"/>
      </w:pPr>
    </w:p>
    <w:p>
      <w:pPr>
        <w:spacing w:before="120" w:after="120" w:line="288" w:lineRule="auto"/>
        <w:ind w:left="0"/>
        <w:jc w:val="left"/>
      </w:pPr>
      <w:r>
        <w:rPr>
          <w:rFonts w:eastAsia="等线" w:ascii="Arial" w:cs="Arial" w:hAnsi="Arial"/>
          <w:sz w:val="22"/>
        </w:rPr>
        <w:t>总的来说，本次报告提出了一个新颖的观点，即</w:t>
      </w:r>
      <w:r>
        <w:rPr>
          <w:rFonts w:eastAsia="等线" w:ascii="Arial" w:cs="Arial" w:hAnsi="Arial"/>
          <w:sz w:val="22"/>
        </w:rPr>
        <w:t>RNA</w:t>
      </w:r>
      <w:r>
        <w:rPr>
          <w:rFonts w:eastAsia="等线" w:ascii="Arial" w:cs="Arial" w:hAnsi="Arial"/>
          <w:sz w:val="22"/>
        </w:rPr>
        <w:t>可以通过竞争性调控机制来影响蛋白质和酶底物之间的相互作用。这一观点挑战了传统的思维方式，并为RNA研究者提供了一个全新的思考方向。Matthias通过实验结果和具体例子来支持这一观点，并强调了RNA在生物调控中的重要性。</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参考文献</w:t>
      </w:r>
    </w:p>
    <w:p>
      <w:pPr>
        <w:numPr>
          <w:numId w:val="4"/>
        </w:numPr>
        <w:spacing w:before="120" w:after="120" w:line="288" w:lineRule="auto"/>
        <w:ind w:left="0"/>
        <w:jc w:val="left"/>
      </w:pPr>
      <w:r>
        <w:rPr>
          <w:rFonts w:eastAsia="等线" w:ascii="Arial" w:cs="Arial" w:hAnsi="Arial"/>
          <w:sz w:val="22"/>
        </w:rPr>
        <w:t xml:space="preserve">Castello, A., B. Fischer, K. Schuschke, R. Horos, B.M. Beckmann, C. Strein, N.E. Davey, D.T. Humphreys, T. Preiss, L.M. Steinmetz, J. Krijgsveld and M.W. Hentze. </w:t>
      </w:r>
      <w:r>
        <w:rPr>
          <w:rFonts w:eastAsia="等线" w:ascii="Arial" w:cs="Arial" w:hAnsi="Arial"/>
          <w:sz w:val="22"/>
        </w:rPr>
        <w:t>Insights</w:t>
      </w:r>
      <w:r>
        <w:rPr>
          <w:rFonts w:eastAsia="等线" w:ascii="Arial" w:cs="Arial" w:hAnsi="Arial"/>
          <w:sz w:val="22"/>
        </w:rPr>
        <w:t xml:space="preserve"> into </w:t>
      </w:r>
      <w:r>
        <w:rPr>
          <w:rFonts w:eastAsia="等线" w:ascii="Arial" w:cs="Arial" w:hAnsi="Arial"/>
          <w:sz w:val="22"/>
        </w:rPr>
        <w:t>RNA</w:t>
      </w:r>
      <w:r>
        <w:rPr>
          <w:rFonts w:eastAsia="等线" w:ascii="Arial" w:cs="Arial" w:hAnsi="Arial"/>
          <w:sz w:val="22"/>
        </w:rPr>
        <w:t xml:space="preserve"> biology from an atlas of mammalian mRNA-binding proteins. Cell 149, 1393-1406, 2012.</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sz w:val="22"/>
        </w:rPr>
        <w:t xml:space="preserve">Beckmann, B.M., R. Horos, B. Fischer, A. Castello, K. Eichelbaum, A.-M. Alleaume, T. Schwarzl, T. Curk, S. Foehr, W. Huber, J. Krijgsveld and M.W. Hentze. The RNA-binding proteomes from yeast to man harbor conserved enigmRBPs. Nature Commun. 6:10127, </w:t>
      </w:r>
      <w:r>
        <w:rPr>
          <w:rFonts w:eastAsia="等线" w:ascii="Arial" w:cs="Arial" w:hAnsi="Arial"/>
          <w:sz w:val="22"/>
        </w:rPr>
        <w:t>DOI</w:t>
      </w:r>
      <w:r>
        <w:rPr>
          <w:rFonts w:eastAsia="等线" w:ascii="Arial" w:cs="Arial" w:hAnsi="Arial"/>
          <w:sz w:val="22"/>
        </w:rPr>
        <w:t>:10.1038/ncomms10127, 2015.</w:t>
      </w:r>
    </w:p>
    <w:p>
      <w:pPr>
        <w:spacing w:before="120" w:after="120" w:line="288" w:lineRule="auto"/>
        <w:ind w:left="0"/>
        <w:jc w:val="left"/>
      </w:pPr>
    </w:p>
    <w:p>
      <w:pPr>
        <w:numPr>
          <w:numId w:val="6"/>
        </w:numPr>
        <w:spacing w:before="120" w:after="120" w:line="288" w:lineRule="auto"/>
        <w:ind w:left="0"/>
        <w:jc w:val="left"/>
      </w:pPr>
      <w:r>
        <w:rPr>
          <w:rFonts w:eastAsia="等线" w:ascii="Arial" w:cs="Arial" w:hAnsi="Arial"/>
          <w:sz w:val="22"/>
        </w:rPr>
        <w:t xml:space="preserve">Castello, A., B. Fischer, C.K. Frese, R. Horos, A.-M. Alleaume, S. Foehr, T. Curk, J. Krijgsveld and M.W. Hentze. Comprehensive identification of RNA-binding domains in human cells. </w:t>
      </w:r>
      <w:r>
        <w:rPr>
          <w:rFonts w:eastAsia="等线" w:ascii="Arial" w:cs="Arial" w:hAnsi="Arial"/>
          <w:sz w:val="22"/>
        </w:rPr>
        <w:t>Mol</w:t>
      </w:r>
      <w:r>
        <w:rPr>
          <w:rFonts w:eastAsia="等线" w:ascii="Arial" w:cs="Arial" w:hAnsi="Arial"/>
          <w:sz w:val="22"/>
        </w:rPr>
        <w:t>. Cell 63, 696-710, 2016.</w:t>
      </w:r>
    </w:p>
    <w:p>
      <w:pPr>
        <w:spacing w:before="120" w:after="120" w:line="288" w:lineRule="auto"/>
        <w:ind w:left="0"/>
        <w:jc w:val="left"/>
      </w:pPr>
    </w:p>
    <w:p>
      <w:pPr>
        <w:numPr>
          <w:numId w:val="7"/>
        </w:numPr>
        <w:spacing w:before="120" w:after="120" w:line="288" w:lineRule="auto"/>
        <w:ind w:left="0"/>
        <w:jc w:val="left"/>
      </w:pPr>
      <w:r>
        <w:rPr>
          <w:rFonts w:eastAsia="等线" w:ascii="Arial" w:cs="Arial" w:hAnsi="Arial"/>
          <w:sz w:val="22"/>
        </w:rPr>
        <w:t>Hentze, M.W., A. Castello, T. Schwarzl and T. Preiss, A brave new world of RNA-binding proteins. Nature Rev. Mol. Cell Biol. 19, 327-341, 2018.</w:t>
      </w:r>
    </w:p>
    <w:p>
      <w:pPr>
        <w:spacing w:before="120" w:after="120" w:line="288" w:lineRule="auto"/>
        <w:ind w:left="0"/>
        <w:jc w:val="left"/>
      </w:pPr>
    </w:p>
    <w:p>
      <w:pPr>
        <w:numPr>
          <w:numId w:val="8"/>
        </w:numPr>
        <w:spacing w:before="120" w:after="120" w:line="288" w:lineRule="auto"/>
        <w:ind w:left="0"/>
        <w:jc w:val="left"/>
      </w:pPr>
      <w:r>
        <w:rPr>
          <w:rFonts w:eastAsia="等线" w:ascii="Arial" w:cs="Arial" w:hAnsi="Arial"/>
          <w:sz w:val="22"/>
        </w:rPr>
        <w:t xml:space="preserve">Horos, R., M. Büscher, R. Kleinendorst, A.-M. Alleaume, A.K. Tarafder, T. Schwarzl, D. Dziuba, C. Tischer, E.M. Zielonka, A. Adak, A. Castello, W. Huber, C. Sachse and M.W. Hentze, The small non-coding vault RNA1-1 acts as a riboregulator of </w:t>
      </w:r>
      <w:r>
        <w:rPr>
          <w:rFonts w:eastAsia="等线" w:ascii="Arial" w:cs="Arial" w:hAnsi="Arial"/>
          <w:sz w:val="22"/>
        </w:rPr>
        <w:t>autophagy</w:t>
      </w:r>
      <w:r>
        <w:rPr>
          <w:rFonts w:eastAsia="等线" w:ascii="Arial" w:cs="Arial" w:hAnsi="Arial"/>
          <w:sz w:val="22"/>
        </w:rPr>
        <w:t>. Cell 176, 1054-1067, 2019.</w:t>
      </w:r>
    </w:p>
    <w:p>
      <w:pPr>
        <w:spacing w:before="120" w:after="120" w:line="288" w:lineRule="auto"/>
        <w:ind w:left="0"/>
        <w:jc w:val="left"/>
      </w:pPr>
    </w:p>
    <w:p>
      <w:pPr>
        <w:numPr>
          <w:numId w:val="9"/>
        </w:numPr>
        <w:spacing w:before="120" w:after="120" w:line="288" w:lineRule="auto"/>
        <w:ind w:left="0"/>
        <w:jc w:val="left"/>
      </w:pPr>
      <w:r>
        <w:rPr>
          <w:rFonts w:eastAsia="等线" w:ascii="Arial" w:cs="Arial" w:hAnsi="Arial"/>
          <w:sz w:val="22"/>
        </w:rPr>
        <w:t xml:space="preserve">Huppertz, I., J.I. Perez-Perri, P. Mantas, T. Sekaran, T. Schwarzl, F. Russo, D. Ferring-Appel, L. Dimitrova-Paternoga, E. Kafkia, J. Hennig, P.A. Neveu, K. Patil and M.W. Hentze. Riboregulation of Enolase 1 Activity Controls Glycolysis and </w:t>
      </w:r>
      <w:r>
        <w:rPr>
          <w:rFonts w:eastAsia="等线" w:ascii="Arial" w:cs="Arial" w:hAnsi="Arial"/>
          <w:sz w:val="22"/>
        </w:rPr>
        <w:t>Embryonic Stem</w:t>
      </w:r>
      <w:r>
        <w:rPr>
          <w:rFonts w:eastAsia="等线" w:ascii="Arial" w:cs="Arial" w:hAnsi="Arial"/>
          <w:sz w:val="22"/>
        </w:rPr>
        <w:t xml:space="preserve"> Cell Differentiation. </w:t>
      </w:r>
      <w:r>
        <w:rPr>
          <w:rFonts w:eastAsia="等线" w:ascii="Arial" w:cs="Arial" w:hAnsi="Arial"/>
          <w:sz w:val="22"/>
        </w:rPr>
        <w:t>Mol</w:t>
      </w:r>
      <w:r>
        <w:rPr>
          <w:rFonts w:eastAsia="等线" w:ascii="Arial" w:cs="Arial" w:hAnsi="Arial"/>
          <w:sz w:val="22"/>
        </w:rPr>
        <w:t>. Cell 82, 2666-2680, 2022.</w:t>
      </w:r>
    </w:p>
    <w:p>
      <w:pPr>
        <w:spacing w:before="120" w:after="120" w:line="288" w:lineRule="auto"/>
        <w:ind w:left="0"/>
        <w:jc w:val="left"/>
      </w:pPr>
    </w:p>
    <w:p>
      <w:pPr>
        <w:numPr>
          <w:numId w:val="10"/>
        </w:numPr>
        <w:spacing w:before="120" w:after="120" w:line="288" w:lineRule="auto"/>
        <w:ind w:left="0"/>
        <w:jc w:val="left"/>
      </w:pPr>
      <w:r>
        <w:rPr>
          <w:rFonts w:eastAsia="等线" w:ascii="Arial" w:cs="Arial" w:hAnsi="Arial"/>
          <w:sz w:val="22"/>
        </w:rPr>
        <w:t xml:space="preserve">Perez-Perri, J.I., D. Ferring-Appel, I. Huppertz, T. Schwarzl, F. Stein, M. Rettel, B. Galy and M.W. Hentze. The RNA-binding protein landscapes differ between mammalian organs and cultured cells. Nature Comms. 14:2074, </w:t>
      </w:r>
      <w:r>
        <w:rPr>
          <w:rFonts w:eastAsia="等线" w:ascii="Arial" w:cs="Arial" w:hAnsi="Arial"/>
          <w:sz w:val="22"/>
        </w:rPr>
        <w:t>https://doi.org/10.1038/s41467-023-37494-w,</w:t>
      </w:r>
      <w:r>
        <w:rPr>
          <w:rFonts w:eastAsia="等线" w:ascii="Arial" w:cs="Arial" w:hAnsi="Arial"/>
          <w:sz w:val="22"/>
        </w:rPr>
        <w:t xml:space="preserve"> 2023.</w:t>
      </w:r>
    </w:p>
    <w:sectPr>
      <w:footerReference w:type="default" r:id="rId3"/>
      <w:headerReference w:type="default" r:id="rId1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57391">
    <w:lvl>
      <w:start w:val="1"/>
      <w:numFmt w:val="decimal"/>
      <w:suff w:val="tab"/>
      <w:lvlText w:val="%1."/>
      <w:rPr>
        <w:color w:val="3370ff"/>
      </w:rPr>
    </w:lvl>
  </w:abstractNum>
  <w:abstractNum w:abstractNumId="57392">
    <w:lvl>
      <w:start w:val="2"/>
      <w:numFmt w:val="decimal"/>
      <w:suff w:val="tab"/>
      <w:lvlText w:val="%1."/>
      <w:rPr>
        <w:color w:val="3370ff"/>
      </w:rPr>
    </w:lvl>
  </w:abstractNum>
  <w:abstractNum w:abstractNumId="57393">
    <w:lvl>
      <w:start w:val="3"/>
      <w:numFmt w:val="decimal"/>
      <w:suff w:val="tab"/>
      <w:lvlText w:val="%1."/>
      <w:rPr>
        <w:color w:val="3370ff"/>
      </w:rPr>
    </w:lvl>
  </w:abstractNum>
  <w:abstractNum w:abstractNumId="57394">
    <w:lvl>
      <w:start w:val="1"/>
      <w:numFmt w:val="decimal"/>
      <w:suff w:val="tab"/>
      <w:lvlText w:val="%1."/>
      <w:rPr>
        <w:color w:val="3370ff"/>
      </w:rPr>
    </w:lvl>
  </w:abstractNum>
  <w:abstractNum w:abstractNumId="57395">
    <w:lvl>
      <w:start w:val="2"/>
      <w:numFmt w:val="decimal"/>
      <w:suff w:val="tab"/>
      <w:lvlText w:val="%1."/>
      <w:rPr>
        <w:color w:val="3370ff"/>
      </w:rPr>
    </w:lvl>
  </w:abstractNum>
  <w:abstractNum w:abstractNumId="57396">
    <w:lvl>
      <w:start w:val="3"/>
      <w:numFmt w:val="decimal"/>
      <w:suff w:val="tab"/>
      <w:lvlText w:val="%1."/>
      <w:rPr>
        <w:color w:val="3370ff"/>
      </w:rPr>
    </w:lvl>
  </w:abstractNum>
  <w:abstractNum w:abstractNumId="57397">
    <w:lvl>
      <w:start w:val="4"/>
      <w:numFmt w:val="decimal"/>
      <w:suff w:val="tab"/>
      <w:lvlText w:val="%1."/>
      <w:rPr>
        <w:color w:val="3370ff"/>
      </w:rPr>
    </w:lvl>
  </w:abstractNum>
  <w:abstractNum w:abstractNumId="57398">
    <w:lvl>
      <w:start w:val="5"/>
      <w:numFmt w:val="decimal"/>
      <w:suff w:val="tab"/>
      <w:lvlText w:val="%1."/>
      <w:rPr>
        <w:color w:val="3370ff"/>
      </w:rPr>
    </w:lvl>
  </w:abstractNum>
  <w:abstractNum w:abstractNumId="57399">
    <w:lvl>
      <w:start w:val="6"/>
      <w:numFmt w:val="decimal"/>
      <w:suff w:val="tab"/>
      <w:lvlText w:val="%1."/>
      <w:rPr>
        <w:color w:val="3370ff"/>
      </w:rPr>
    </w:lvl>
  </w:abstractNum>
  <w:abstractNum w:abstractNumId="57400">
    <w:lvl>
      <w:start w:val="7"/>
      <w:numFmt w:val="decimal"/>
      <w:suff w:val="tab"/>
      <w:lvlText w:val="%1."/>
      <w:rPr>
        <w:color w:val="3370ff"/>
      </w:rPr>
    </w:lvl>
  </w:abstractNum>
  <w:num w:numId="1">
    <w:abstractNumId w:val="57391"/>
  </w:num>
  <w:num w:numId="2">
    <w:abstractNumId w:val="57392"/>
  </w:num>
  <w:num w:numId="3">
    <w:abstractNumId w:val="57393"/>
  </w:num>
  <w:num w:numId="4">
    <w:abstractNumId w:val="57394"/>
  </w:num>
  <w:num w:numId="5">
    <w:abstractNumId w:val="57395"/>
  </w:num>
  <w:num w:numId="6">
    <w:abstractNumId w:val="57396"/>
  </w:num>
  <w:num w:numId="7">
    <w:abstractNumId w:val="57397"/>
  </w:num>
  <w:num w:numId="8">
    <w:abstractNumId w:val="57398"/>
  </w:num>
  <w:num w:numId="9">
    <w:abstractNumId w:val="57399"/>
  </w:num>
  <w:num w:numId="10">
    <w:abstractNumId w:val="5740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numbering.xml" Type="http://schemas.openxmlformats.org/officeDocument/2006/relationships/numbering"/><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2023-12-03T01:38:05Z</dcterms:created>
  <dc:creator>Apache POI</dc:creator>
</cp:coreProperties>
</file>