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188E" w14:textId="77777777" w:rsidR="00B03D76" w:rsidRDefault="00000000">
      <w:pPr>
        <w:pStyle w:val="Heading1"/>
        <w:widowControl/>
        <w:spacing w:beforeAutospacing="0" w:after="120" w:afterAutospacing="0" w:line="560" w:lineRule="atLeast"/>
        <w:jc w:val="center"/>
        <w:rPr>
          <w:rFonts w:ascii="Times New Roman Regular" w:hAnsi="Times New Roman Regular" w:cs="Times New Roman Regular" w:hint="default"/>
          <w:b w:val="0"/>
          <w:sz w:val="28"/>
          <w:szCs w:val="28"/>
        </w:rPr>
      </w:pPr>
      <w:r>
        <w:rPr>
          <w:rFonts w:ascii="Times New Roman Regular" w:hAnsi="Times New Roman Regular" w:cs="Times New Roman Regular" w:hint="default"/>
          <w:bCs w:val="0"/>
          <w:sz w:val="28"/>
          <w:szCs w:val="28"/>
        </w:rPr>
        <w:t>Robert T. Batey</w:t>
      </w:r>
      <w:r>
        <w:rPr>
          <w:rFonts w:ascii="Times New Roman Regular" w:hAnsi="Times New Roman Regular" w:cs="Times New Roman Regular" w:hint="default"/>
          <w:bCs w:val="0"/>
          <w:sz w:val="28"/>
          <w:szCs w:val="28"/>
        </w:rPr>
        <w:t>教授讲座笔记</w:t>
      </w:r>
      <w:r>
        <w:rPr>
          <w:rFonts w:ascii="Times New Roman Regular" w:hAnsi="Times New Roman Regular" w:cs="Times New Roman Regular" w:hint="default"/>
          <w:b w:val="0"/>
          <w:sz w:val="28"/>
          <w:szCs w:val="28"/>
        </w:rPr>
        <w:t xml:space="preserve"> </w:t>
      </w:r>
    </w:p>
    <w:p w14:paraId="3974D933" w14:textId="77777777" w:rsidR="00B03D76" w:rsidRDefault="00000000">
      <w:pPr>
        <w:widowControl/>
        <w:jc w:val="left"/>
        <w:rPr>
          <w:rFonts w:ascii="Times New Roman Bold" w:eastAsia="SimSun" w:hAnsi="Times New Roman Bold" w:cs="Times New Roman Bold"/>
          <w:b/>
          <w:bCs/>
          <w:sz w:val="28"/>
          <w:szCs w:val="28"/>
        </w:rPr>
      </w:pPr>
      <w:r>
        <w:rPr>
          <w:rFonts w:ascii="Times New Roman Bold" w:eastAsia="SimSun" w:hAnsi="Times New Roman Bold" w:cs="Times New Roman Bold"/>
          <w:b/>
          <w:bCs/>
          <w:color w:val="18191C"/>
          <w:kern w:val="0"/>
          <w:sz w:val="28"/>
          <w:szCs w:val="28"/>
          <w:shd w:val="clear" w:color="auto" w:fill="FFFFFF"/>
          <w:lang w:bidi="ar"/>
        </w:rPr>
        <w:t>A mechanistic perspective on how small molecules drive mRNA expression by riboswitches</w:t>
      </w:r>
    </w:p>
    <w:p w14:paraId="4C73E12F" w14:textId="77777777" w:rsidR="000E31A9" w:rsidRPr="0093645A" w:rsidRDefault="000E31A9" w:rsidP="000E31A9">
      <w:pPr>
        <w:pStyle w:val="NormalWeb"/>
        <w:spacing w:before="0" w:beforeAutospacing="0" w:after="0" w:afterAutospacing="0"/>
        <w:rPr>
          <w:rFonts w:ascii="Arial" w:hAnsi="Arial" w:cs="Arial"/>
        </w:rPr>
      </w:pPr>
      <w:r>
        <w:rPr>
          <w:rFonts w:ascii="Arial" w:hAnsi="Arial" w:cs="Arial" w:hint="eastAsia"/>
        </w:rPr>
        <w:t>陈柯，黄林课题组</w:t>
      </w:r>
    </w:p>
    <w:p w14:paraId="52BD5CA8" w14:textId="77777777" w:rsidR="00B03D76" w:rsidRDefault="00B03D76"/>
    <w:p w14:paraId="45987EC9" w14:textId="77777777" w:rsidR="00B03D76" w:rsidRDefault="00000000">
      <w:pPr>
        <w:rPr>
          <w:rFonts w:ascii="Times New Roman Regular" w:eastAsia="SimSun" w:hAnsi="Times New Roman Regular" w:cs="Times New Roman Regular"/>
          <w:szCs w:val="21"/>
        </w:rPr>
      </w:pPr>
      <w:r>
        <w:rPr>
          <w:rFonts w:ascii="Times New Roman Regular" w:eastAsia="SimSun" w:hAnsi="Times New Roman Regular" w:cs="Times New Roman Regular"/>
          <w:szCs w:val="21"/>
        </w:rPr>
        <w:t>会议回顾</w:t>
      </w:r>
    </w:p>
    <w:p w14:paraId="0644B220" w14:textId="1452B70C"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2024</w:t>
      </w:r>
      <w:r>
        <w:rPr>
          <w:rFonts w:ascii="Times New Roman Regular" w:eastAsia="SimSun" w:hAnsi="Times New Roman Regular" w:cs="Times New Roman Regular"/>
          <w:szCs w:val="21"/>
        </w:rPr>
        <w:t>年</w:t>
      </w:r>
      <w:r>
        <w:rPr>
          <w:rFonts w:ascii="Times New Roman Regular" w:eastAsia="SimSun" w:hAnsi="Times New Roman Regular" w:cs="Times New Roman Regular"/>
          <w:szCs w:val="21"/>
        </w:rPr>
        <w:t>7</w:t>
      </w:r>
      <w:r>
        <w:rPr>
          <w:rFonts w:ascii="Times New Roman Regular" w:eastAsia="SimSun" w:hAnsi="Times New Roman Regular" w:cs="Times New Roman Regular"/>
          <w:szCs w:val="21"/>
        </w:rPr>
        <w:t>月</w:t>
      </w:r>
      <w:r>
        <w:rPr>
          <w:rFonts w:ascii="Times New Roman Regular" w:eastAsia="SimSun" w:hAnsi="Times New Roman Regular" w:cs="Times New Roman Regular"/>
          <w:szCs w:val="21"/>
        </w:rPr>
        <w:t>10</w:t>
      </w:r>
      <w:r>
        <w:rPr>
          <w:rFonts w:ascii="Times New Roman Regular" w:eastAsia="SimSun" w:hAnsi="Times New Roman Regular" w:cs="Times New Roman Regular"/>
          <w:szCs w:val="21"/>
        </w:rPr>
        <w:t>日，</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教授受</w:t>
      </w:r>
      <w:r w:rsidR="00EA1698" w:rsidRPr="00EA1698">
        <w:rPr>
          <w:rFonts w:ascii="Times New Roman Regular" w:eastAsia="SimSun" w:hAnsi="Times New Roman Regular" w:cs="Times New Roman Regular" w:hint="eastAsia"/>
          <w:szCs w:val="21"/>
        </w:rPr>
        <w:t>中山大学孙逸仙纪念医院黄林研究员</w:t>
      </w:r>
      <w:r>
        <w:rPr>
          <w:rFonts w:ascii="Times New Roman Regular" w:eastAsia="SimSun" w:hAnsi="Times New Roman Regular" w:cs="Times New Roman Regular"/>
          <w:szCs w:val="21"/>
        </w:rPr>
        <w:t>邀在</w:t>
      </w:r>
      <w:r>
        <w:rPr>
          <w:rFonts w:ascii="Times New Roman Regular" w:eastAsia="SimSun" w:hAnsi="Times New Roman Regular" w:cs="Times New Roman Regular"/>
          <w:szCs w:val="21"/>
        </w:rPr>
        <w:t>Guangzhou RNA club</w:t>
      </w:r>
      <w:r>
        <w:rPr>
          <w:rFonts w:ascii="Times New Roman Regular" w:eastAsia="SimSun" w:hAnsi="Times New Roman Regular" w:cs="Times New Roman Regular"/>
          <w:szCs w:val="21"/>
        </w:rPr>
        <w:t>进行题为</w:t>
      </w:r>
      <w:r>
        <w:rPr>
          <w:rFonts w:ascii="Times New Roman Regular" w:eastAsia="SimSun" w:hAnsi="Times New Roman Regular" w:cs="Times New Roman Regular"/>
          <w:szCs w:val="21"/>
        </w:rPr>
        <w:t>“</w:t>
      </w:r>
      <w:r>
        <w:rPr>
          <w:rFonts w:ascii="Times New Roman Regular" w:eastAsia="SimSun" w:hAnsi="Times New Roman Regular" w:cs="Times New Roman Regular"/>
          <w:color w:val="18191C"/>
          <w:kern w:val="0"/>
          <w:szCs w:val="21"/>
          <w:shd w:val="clear" w:color="auto" w:fill="FFFFFF"/>
          <w:lang w:bidi="ar"/>
        </w:rPr>
        <w:t>A mechanistic perspective on how small molecules drive mRNA expression by riboswitches</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的线上学术报告。</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教授是著名结构生物学家，就职于美国科罗拉多大学化学与生物化学系。他长期从事于</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调控基因表达的结构与机制研究，对相关领域做出了许多突出的贡献。值得一提的是</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教授在过去的二十多年时间中深耕于</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领域，不仅参与解析了如</w:t>
      </w:r>
      <w:r>
        <w:rPr>
          <w:rFonts w:ascii="Times New Roman Regular" w:eastAsia="SimSun" w:hAnsi="Times New Roman Regular" w:cs="Times New Roman Regular"/>
          <w:szCs w:val="21"/>
        </w:rPr>
        <w:t>SAM</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purine family</w:t>
      </w:r>
      <w:r>
        <w:rPr>
          <w:rFonts w:ascii="Times New Roman Regular" w:eastAsia="SimSun" w:hAnsi="Times New Roman Regular" w:cs="Times New Roman Regular"/>
          <w:szCs w:val="21"/>
        </w:rPr>
        <w:t>等多种重要的</w:t>
      </w:r>
      <w:r>
        <w:rPr>
          <w:rFonts w:ascii="Times New Roman Regular" w:eastAsia="SimSun" w:hAnsi="Times New Roman Regular" w:cs="Times New Roman Regular"/>
          <w:szCs w:val="21"/>
        </w:rPr>
        <w:t>riboswitches</w:t>
      </w:r>
      <w:r>
        <w:rPr>
          <w:rFonts w:ascii="Times New Roman Regular" w:eastAsia="SimSun" w:hAnsi="Times New Roman Regular" w:cs="Times New Roman Regular"/>
          <w:szCs w:val="21"/>
        </w:rPr>
        <w:t>，还深入探究如何借鉴已有的经验进一步将</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运用到更加广阔的范围，如在天然</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适体域的结构基础上建立文库从而筛选得到既有小分子结合位点又保留了骨架结构的重组适配体，在体内外均可发挥较好的作用。</w:t>
      </w:r>
    </w:p>
    <w:p w14:paraId="14722595"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在已有的研究中，</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适体域与小分子结合形成的复合物结构已经成为该领域的重要研究模型，但对于小分子结合后具体是如何调控下游基因表达的机制探究相对较少，</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w:t>
      </w:r>
      <w:r>
        <w:rPr>
          <w:rFonts w:ascii="Times New Roman Regular" w:eastAsia="SimSun" w:hAnsi="Times New Roman Regular" w:cs="Times New Roman Regular" w:hint="eastAsia"/>
          <w:szCs w:val="21"/>
        </w:rPr>
        <w:t>将通过此次讲座阐述小分子结合后如何介导下游</w:t>
      </w:r>
      <w:r>
        <w:rPr>
          <w:rFonts w:ascii="Times New Roman Regular" w:eastAsia="SimSun" w:hAnsi="Times New Roman Regular" w:cs="Times New Roman Regular" w:hint="eastAsia"/>
          <w:szCs w:val="21"/>
        </w:rPr>
        <w:t>m</w:t>
      </w:r>
      <w:r>
        <w:rPr>
          <w:rFonts w:ascii="Times New Roman Regular" w:eastAsia="SimSun" w:hAnsi="Times New Roman Regular" w:cs="Times New Roman Regular"/>
          <w:szCs w:val="21"/>
        </w:rPr>
        <w:t>RNA</w:t>
      </w:r>
      <w:r>
        <w:rPr>
          <w:rFonts w:ascii="Times New Roman Regular" w:eastAsia="SimSun" w:hAnsi="Times New Roman Regular" w:cs="Times New Roman Regular" w:hint="eastAsia"/>
          <w:szCs w:val="21"/>
        </w:rPr>
        <w:t>的相关表达过程。</w:t>
      </w:r>
    </w:p>
    <w:p w14:paraId="7A188231" w14:textId="77777777" w:rsidR="00B03D76" w:rsidRDefault="00B03D76">
      <w:pPr>
        <w:widowControl/>
        <w:jc w:val="left"/>
        <w:rPr>
          <w:rFonts w:ascii="Times New Roman Regular" w:eastAsia="SimSun" w:hAnsi="Times New Roman Regular" w:cs="Times New Roman Regular"/>
          <w:szCs w:val="21"/>
        </w:rPr>
      </w:pPr>
    </w:p>
    <w:p w14:paraId="1947936E" w14:textId="77777777" w:rsidR="00B03D76" w:rsidRDefault="00000000">
      <w:pPr>
        <w:widowControl/>
        <w:jc w:val="left"/>
        <w:rPr>
          <w:rFonts w:ascii="SimSun" w:eastAsia="SimSun" w:hAnsi="SimSun" w:cs="SimSun"/>
          <w:szCs w:val="21"/>
        </w:rPr>
      </w:pPr>
      <w:r>
        <w:rPr>
          <w:rFonts w:ascii="SimSun" w:eastAsia="SimSun" w:hAnsi="SimSun" w:cs="SimSun" w:hint="eastAsia"/>
          <w:szCs w:val="21"/>
        </w:rPr>
        <w:t>会议内容</w:t>
      </w:r>
    </w:p>
    <w:p w14:paraId="69EF9F93" w14:textId="77777777" w:rsidR="00B03D76" w:rsidRDefault="00000000">
      <w:pPr>
        <w:widowControl/>
        <w:jc w:val="left"/>
        <w:rPr>
          <w:rFonts w:ascii="Times New Roman Regular" w:eastAsia="SimSun" w:hAnsi="Times New Roman Regular" w:cs="Times New Roman Regular"/>
          <w:color w:val="000000" w:themeColor="text1"/>
          <w:kern w:val="0"/>
          <w:szCs w:val="21"/>
          <w:lang w:bidi="ar"/>
        </w:rPr>
      </w:pPr>
      <w:r>
        <w:rPr>
          <w:rFonts w:ascii="SimSun" w:eastAsia="SimSun" w:hAnsi="SimSun" w:cs="SimSun" w:hint="eastAsia"/>
          <w:color w:val="000000" w:themeColor="text1"/>
          <w:kern w:val="0"/>
          <w:szCs w:val="21"/>
          <w:lang w:bidi="ar"/>
        </w:rPr>
        <w:t xml:space="preserve">  </w:t>
      </w:r>
      <w:r>
        <w:rPr>
          <w:rFonts w:ascii="SimSun" w:eastAsia="SimSun" w:hAnsi="SimSun" w:cs="SimSun"/>
          <w:color w:val="000000" w:themeColor="text1"/>
          <w:kern w:val="0"/>
          <w:szCs w:val="21"/>
          <w:lang w:bidi="ar"/>
        </w:rPr>
        <w:t xml:space="preserve">  </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是</w:t>
      </w:r>
      <w:r>
        <w:rPr>
          <w:rFonts w:ascii="Times New Roman Regular" w:eastAsia="SimSun" w:hAnsi="Times New Roman Regular" w:cs="Times New Roman Regular"/>
          <w:color w:val="000000" w:themeColor="text1"/>
          <w:kern w:val="0"/>
          <w:szCs w:val="21"/>
          <w:lang w:bidi="ar"/>
        </w:rPr>
        <w:t>mRNA</w:t>
      </w:r>
      <w:r>
        <w:rPr>
          <w:rFonts w:ascii="Times New Roman Regular" w:eastAsia="SimSun" w:hAnsi="Times New Roman Regular" w:cs="Times New Roman Regular"/>
          <w:color w:val="000000" w:themeColor="text1"/>
          <w:kern w:val="0"/>
          <w:szCs w:val="21"/>
          <w:lang w:bidi="ar"/>
        </w:rPr>
        <w:t>中结合特定配体的调控元件，主要位于细菌</w:t>
      </w:r>
      <w:r>
        <w:rPr>
          <w:rFonts w:ascii="Times New Roman Regular" w:eastAsia="SimSun" w:hAnsi="Times New Roman Regular" w:cs="Times New Roman Regular"/>
          <w:color w:val="000000" w:themeColor="text1"/>
          <w:kern w:val="0"/>
          <w:szCs w:val="21"/>
          <w:lang w:bidi="ar"/>
        </w:rPr>
        <w:t>mRNA 5'-untranslated region (5'-UTR)</w:t>
      </w:r>
      <w:r>
        <w:rPr>
          <w:rFonts w:ascii="Times New Roman Regular" w:eastAsia="SimSun" w:hAnsi="Times New Roman Regular" w:cs="Times New Roman Regular"/>
          <w:color w:val="000000" w:themeColor="text1"/>
          <w:kern w:val="0"/>
          <w:szCs w:val="21"/>
          <w:lang w:bidi="ar"/>
        </w:rPr>
        <w:t>区。通常通过控制转录或翻译将小分子的结合与基因表达调节相结合。核糖开关具有两部分区域，包括适体域</w:t>
      </w:r>
      <w:r>
        <w:rPr>
          <w:rFonts w:ascii="Times New Roman Regular" w:eastAsia="SimSun" w:hAnsi="Times New Roman Regular" w:cs="Times New Roman Regular"/>
          <w:color w:val="000000" w:themeColor="text1"/>
          <w:kern w:val="0"/>
          <w:szCs w:val="21"/>
          <w:lang w:bidi="ar"/>
        </w:rPr>
        <w:t>(aptamer domain)</w:t>
      </w:r>
      <w:r>
        <w:rPr>
          <w:rFonts w:ascii="Times New Roman Regular" w:eastAsia="SimSun" w:hAnsi="Times New Roman Regular" w:cs="Times New Roman Regular"/>
          <w:color w:val="000000" w:themeColor="text1"/>
          <w:kern w:val="0"/>
          <w:szCs w:val="21"/>
          <w:lang w:bidi="ar"/>
        </w:rPr>
        <w:t>和表达平台</w:t>
      </w:r>
      <w:r>
        <w:rPr>
          <w:rFonts w:ascii="Times New Roman Regular" w:eastAsia="SimSun" w:hAnsi="Times New Roman Regular" w:cs="Times New Roman Regular"/>
          <w:color w:val="000000" w:themeColor="text1"/>
          <w:kern w:val="0"/>
          <w:szCs w:val="21"/>
          <w:lang w:bidi="ar"/>
        </w:rPr>
        <w:t>(expression platform)</w:t>
      </w:r>
      <w:r>
        <w:rPr>
          <w:rFonts w:ascii="Times New Roman Regular" w:eastAsia="SimSun" w:hAnsi="Times New Roman Regular" w:cs="Times New Roman Regular"/>
          <w:color w:val="000000" w:themeColor="text1"/>
          <w:kern w:val="0"/>
          <w:szCs w:val="21"/>
          <w:lang w:bidi="ar"/>
        </w:rPr>
        <w:t>。适体域充当特异性结合配体的受体。表达平台通过其在响应配体结合时产生的构象变化进而调控基因的</w:t>
      </w:r>
      <w:r>
        <w:rPr>
          <w:rFonts w:ascii="Times New Roman Regular" w:eastAsia="SimSun" w:hAnsi="Times New Roman Regular" w:cs="Times New Roman Regular" w:hint="eastAsia"/>
          <w:color w:val="000000" w:themeColor="text1"/>
          <w:kern w:val="0"/>
          <w:szCs w:val="21"/>
          <w:lang w:bidi="ar"/>
        </w:rPr>
        <w:t>转录、翻译等重要表达过程</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2007</w:t>
      </w:r>
      <w:r>
        <w:rPr>
          <w:rFonts w:ascii="Times New Roman Regular" w:eastAsia="SimSun" w:hAnsi="Times New Roman Regular" w:cs="Times New Roman Regular"/>
          <w:color w:val="000000" w:themeColor="text1"/>
          <w:kern w:val="0"/>
          <w:szCs w:val="21"/>
          <w:lang w:bidi="ar"/>
        </w:rPr>
        <w:t>年</w:t>
      </w:r>
      <w:r>
        <w:rPr>
          <w:rFonts w:ascii="Times New Roman Regular" w:eastAsia="SimSun" w:hAnsi="Times New Roman Regular" w:cs="Times New Roman Regular"/>
          <w:color w:val="000000" w:themeColor="text1"/>
          <w:kern w:val="0"/>
          <w:szCs w:val="21"/>
          <w:lang w:bidi="ar"/>
        </w:rPr>
        <w:t>Wachter</w:t>
      </w:r>
      <w:r>
        <w:rPr>
          <w:rFonts w:ascii="Times New Roman Regular" w:eastAsia="SimSun" w:hAnsi="Times New Roman Regular" w:cs="Times New Roman Regular"/>
          <w:color w:val="000000" w:themeColor="text1"/>
          <w:kern w:val="0"/>
          <w:szCs w:val="21"/>
          <w:lang w:bidi="ar"/>
        </w:rPr>
        <w:t>等人的研究发现并非所有核糖开关都位于原核生物的</w:t>
      </w:r>
      <w:r>
        <w:rPr>
          <w:rFonts w:ascii="Times New Roman Regular" w:eastAsia="SimSun" w:hAnsi="Times New Roman Regular" w:cs="Times New Roman Regular"/>
          <w:color w:val="000000" w:themeColor="text1"/>
          <w:kern w:val="0"/>
          <w:szCs w:val="21"/>
          <w:lang w:bidi="ar"/>
        </w:rPr>
        <w:t xml:space="preserve"> 5'-UTR</w:t>
      </w:r>
      <w:r>
        <w:rPr>
          <w:rFonts w:ascii="Times New Roman Regular" w:eastAsia="SimSun" w:hAnsi="Times New Roman Regular" w:cs="Times New Roman Regular"/>
          <w:color w:val="000000" w:themeColor="text1"/>
          <w:kern w:val="0"/>
          <w:szCs w:val="21"/>
          <w:lang w:bidi="ar"/>
        </w:rPr>
        <w:t>部分，某些真核生物</w:t>
      </w:r>
      <w:r>
        <w:rPr>
          <w:rFonts w:ascii="Times New Roman Regular" w:eastAsia="SimSun" w:hAnsi="Times New Roman Regular" w:cs="Times New Roman Regular"/>
          <w:color w:val="000000" w:themeColor="text1"/>
          <w:kern w:val="0"/>
          <w:szCs w:val="21"/>
          <w:lang w:bidi="ar"/>
        </w:rPr>
        <w:t>mRNA</w:t>
      </w:r>
      <w:r>
        <w:rPr>
          <w:rFonts w:ascii="Times New Roman Regular" w:eastAsia="SimSun" w:hAnsi="Times New Roman Regular" w:cs="Times New Roman Regular"/>
          <w:color w:val="000000" w:themeColor="text1"/>
          <w:kern w:val="0"/>
          <w:szCs w:val="21"/>
          <w:lang w:bidi="ar"/>
        </w:rPr>
        <w:t>中，硫胺素焦磷酸</w:t>
      </w:r>
      <w:r>
        <w:rPr>
          <w:rFonts w:ascii="Times New Roman Regular" w:eastAsia="SimSun" w:hAnsi="Times New Roman Regular" w:cs="Times New Roman Regular"/>
          <w:color w:val="000000" w:themeColor="text1"/>
          <w:kern w:val="0"/>
          <w:szCs w:val="21"/>
          <w:lang w:bidi="ar"/>
        </w:rPr>
        <w:t xml:space="preserve"> (TPP) </w:t>
      </w:r>
      <w:r>
        <w:rPr>
          <w:rFonts w:ascii="Times New Roman Regular" w:eastAsia="SimSun" w:hAnsi="Times New Roman Regular" w:cs="Times New Roman Regular"/>
          <w:color w:val="000000" w:themeColor="text1"/>
          <w:kern w:val="0"/>
          <w:szCs w:val="21"/>
          <w:lang w:bidi="ar"/>
        </w:rPr>
        <w:t>核糖开关调</w:t>
      </w:r>
      <w:r>
        <w:rPr>
          <w:rFonts w:ascii="Times New Roman Regular" w:eastAsia="SimSun" w:hAnsi="Times New Roman Regular" w:cs="Times New Roman Regular" w:hint="eastAsia"/>
          <w:color w:val="000000" w:themeColor="text1"/>
          <w:kern w:val="0"/>
          <w:szCs w:val="21"/>
          <w:lang w:bidi="ar"/>
        </w:rPr>
        <w:t>节</w:t>
      </w:r>
      <w:r>
        <w:rPr>
          <w:rFonts w:ascii="Times New Roman Regular" w:eastAsia="SimSun" w:hAnsi="Times New Roman Regular" w:cs="Times New Roman Regular"/>
          <w:color w:val="000000" w:themeColor="text1"/>
          <w:kern w:val="0"/>
          <w:szCs w:val="21"/>
          <w:lang w:bidi="ar"/>
        </w:rPr>
        <w:t>3'</w:t>
      </w:r>
      <w:r>
        <w:rPr>
          <w:rFonts w:ascii="Times New Roman Regular" w:eastAsia="SimSun" w:hAnsi="Times New Roman Regular" w:cs="Times New Roman Regular"/>
          <w:color w:val="000000" w:themeColor="text1"/>
          <w:kern w:val="0"/>
          <w:szCs w:val="21"/>
          <w:lang w:bidi="ar"/>
        </w:rPr>
        <w:t>端的剪接。</w:t>
      </w:r>
    </w:p>
    <w:p w14:paraId="28C9C895" w14:textId="77777777" w:rsidR="00B03D76" w:rsidRDefault="00B03D76">
      <w:pPr>
        <w:widowControl/>
        <w:jc w:val="left"/>
        <w:rPr>
          <w:rFonts w:ascii="SimSun" w:eastAsia="SimSun" w:hAnsi="SimSun" w:cs="SimSun"/>
          <w:color w:val="000000" w:themeColor="text1"/>
          <w:kern w:val="0"/>
          <w:szCs w:val="21"/>
          <w:lang w:bidi="ar"/>
        </w:rPr>
      </w:pPr>
    </w:p>
    <w:p w14:paraId="6020D178"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noProof/>
        </w:rPr>
        <w:drawing>
          <wp:inline distT="0" distB="0" distL="114300" distR="114300" wp14:anchorId="622D3FDE" wp14:editId="7CF82227">
            <wp:extent cx="3959860" cy="2160270"/>
            <wp:effectExtent l="0" t="0" r="2540" b="24130"/>
            <wp:docPr id="2" name="图片 1" descr="19271719287056_.pic"/>
            <wp:cNvGraphicFramePr/>
            <a:graphic xmlns:a="http://schemas.openxmlformats.org/drawingml/2006/main">
              <a:graphicData uri="http://schemas.openxmlformats.org/drawingml/2006/picture">
                <pic:pic xmlns:pic="http://schemas.openxmlformats.org/drawingml/2006/picture">
                  <pic:nvPicPr>
                    <pic:cNvPr id="2" name="图片 1" descr="19271719287056_.pic"/>
                    <pic:cNvPicPr/>
                  </pic:nvPicPr>
                  <pic:blipFill>
                    <a:blip r:embed="rId4"/>
                    <a:stretch>
                      <a:fillRect/>
                    </a:stretch>
                  </pic:blipFill>
                  <pic:spPr>
                    <a:xfrm>
                      <a:off x="0" y="0"/>
                      <a:ext cx="3959860" cy="2160270"/>
                    </a:xfrm>
                    <a:prstGeom prst="rect">
                      <a:avLst/>
                    </a:prstGeom>
                  </pic:spPr>
                </pic:pic>
              </a:graphicData>
            </a:graphic>
          </wp:inline>
        </w:drawing>
      </w:r>
    </w:p>
    <w:p w14:paraId="6610E486"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rFonts w:ascii="SimSun" w:eastAsia="SimSun" w:hAnsi="SimSun" w:cs="SimSun" w:hint="eastAsia"/>
          <w:color w:val="000000" w:themeColor="text1"/>
          <w:kern w:val="0"/>
          <w:szCs w:val="21"/>
          <w:lang w:bidi="ar"/>
        </w:rPr>
        <w:lastRenderedPageBreak/>
        <w:t>图1 mRNA的简要结构</w:t>
      </w:r>
    </w:p>
    <w:p w14:paraId="311BD327" w14:textId="77777777" w:rsidR="00B03D76" w:rsidRDefault="00B03D76">
      <w:pPr>
        <w:widowControl/>
        <w:ind w:firstLineChars="200" w:firstLine="420"/>
        <w:jc w:val="center"/>
        <w:rPr>
          <w:rFonts w:ascii="SimSun" w:eastAsia="SimSun" w:hAnsi="SimSun" w:cs="SimSun"/>
          <w:color w:val="000000" w:themeColor="text1"/>
          <w:kern w:val="0"/>
          <w:szCs w:val="21"/>
          <w:lang w:bidi="ar"/>
        </w:rPr>
      </w:pPr>
    </w:p>
    <w:p w14:paraId="13805D48" w14:textId="77777777" w:rsidR="00B03D76" w:rsidRDefault="00000000">
      <w:pPr>
        <w:widowControl/>
        <w:ind w:firstLineChars="200" w:firstLine="420"/>
        <w:jc w:val="left"/>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color w:val="000000" w:themeColor="text1"/>
          <w:kern w:val="0"/>
          <w:szCs w:val="21"/>
          <w:lang w:bidi="ar"/>
        </w:rPr>
        <w:t>以图</w:t>
      </w:r>
      <w:r>
        <w:rPr>
          <w:rFonts w:ascii="Times New Roman Regular" w:eastAsia="SimSun" w:hAnsi="Times New Roman Regular" w:cs="Times New Roman Regular"/>
          <w:color w:val="000000" w:themeColor="text1"/>
          <w:kern w:val="0"/>
          <w:szCs w:val="21"/>
          <w:lang w:bidi="ar"/>
        </w:rPr>
        <w:t>2</w:t>
      </w:r>
      <w:r>
        <w:rPr>
          <w:rFonts w:ascii="Times New Roman Regular" w:eastAsia="SimSun" w:hAnsi="Times New Roman Regular" w:cs="Times New Roman Regular"/>
          <w:color w:val="000000" w:themeColor="text1"/>
          <w:kern w:val="0"/>
          <w:szCs w:val="21"/>
          <w:lang w:bidi="ar"/>
        </w:rPr>
        <w:t>中调节转录的</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为例，当配体未结合时，处于适体域和表达平台间的</w:t>
      </w:r>
      <w:r>
        <w:rPr>
          <w:rFonts w:ascii="Times New Roman Regular" w:eastAsia="SimSun" w:hAnsi="Times New Roman Regular" w:cs="Times New Roman Regular"/>
          <w:color w:val="000000" w:themeColor="text1"/>
          <w:kern w:val="0"/>
          <w:szCs w:val="21"/>
          <w:lang w:bidi="ar"/>
        </w:rPr>
        <w:t>switching sequence</w:t>
      </w:r>
      <w:r>
        <w:rPr>
          <w:rFonts w:ascii="Times New Roman Regular" w:eastAsia="SimSun" w:hAnsi="Times New Roman Regular" w:cs="Times New Roman Regular"/>
          <w:color w:val="000000" w:themeColor="text1"/>
          <w:kern w:val="0"/>
          <w:szCs w:val="21"/>
          <w:lang w:bidi="ar"/>
        </w:rPr>
        <w:t>（红色序列）位于抗终止子茎环中，此时转录可以正常进行。但当配体结合时，</w:t>
      </w:r>
      <w:r>
        <w:rPr>
          <w:rFonts w:ascii="Times New Roman Regular" w:eastAsia="SimSun" w:hAnsi="Times New Roman Regular" w:cs="Times New Roman Regular"/>
          <w:color w:val="000000" w:themeColor="text1"/>
          <w:kern w:val="0"/>
          <w:szCs w:val="21"/>
          <w:lang w:bidi="ar"/>
        </w:rPr>
        <w:t>switching sequence</w:t>
      </w:r>
      <w:r>
        <w:rPr>
          <w:rFonts w:ascii="Times New Roman Regular" w:eastAsia="SimSun" w:hAnsi="Times New Roman Regular" w:cs="Times New Roman Regular"/>
          <w:color w:val="000000" w:themeColor="text1"/>
          <w:kern w:val="0"/>
          <w:szCs w:val="21"/>
          <w:lang w:bidi="ar"/>
        </w:rPr>
        <w:t>会整合到适体域中，表达平台的构象也随之改变，折叠成终止子茎环的形态，导致转录终止。</w:t>
      </w:r>
    </w:p>
    <w:p w14:paraId="3E874C07" w14:textId="77777777" w:rsidR="00B03D76" w:rsidRDefault="00B03D76">
      <w:pPr>
        <w:widowControl/>
        <w:ind w:firstLineChars="200" w:firstLine="420"/>
        <w:jc w:val="left"/>
        <w:rPr>
          <w:rFonts w:ascii="SimSun" w:eastAsia="SimSun" w:hAnsi="SimSun" w:cs="SimSun"/>
          <w:color w:val="000000" w:themeColor="text1"/>
          <w:kern w:val="0"/>
          <w:szCs w:val="21"/>
          <w:lang w:bidi="ar"/>
        </w:rPr>
      </w:pPr>
    </w:p>
    <w:p w14:paraId="677C7D36"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rFonts w:ascii="SimSun" w:eastAsia="SimSun" w:hAnsi="SimSun" w:cs="SimSun"/>
          <w:noProof/>
          <w:color w:val="000000" w:themeColor="text1"/>
          <w:kern w:val="0"/>
          <w:szCs w:val="21"/>
          <w:lang w:bidi="ar"/>
        </w:rPr>
        <w:drawing>
          <wp:inline distT="0" distB="0" distL="114300" distR="114300" wp14:anchorId="564331B2" wp14:editId="6AD65958">
            <wp:extent cx="3959860" cy="2160270"/>
            <wp:effectExtent l="0" t="0" r="2540" b="24130"/>
            <wp:docPr id="1" name="图片 1" descr="21551721279709_.pic"/>
            <wp:cNvGraphicFramePr/>
            <a:graphic xmlns:a="http://schemas.openxmlformats.org/drawingml/2006/main">
              <a:graphicData uri="http://schemas.openxmlformats.org/drawingml/2006/picture">
                <pic:pic xmlns:pic="http://schemas.openxmlformats.org/drawingml/2006/picture">
                  <pic:nvPicPr>
                    <pic:cNvPr id="1" name="图片 1" descr="21551721279709_.pic"/>
                    <pic:cNvPicPr/>
                  </pic:nvPicPr>
                  <pic:blipFill>
                    <a:blip r:embed="rId5"/>
                    <a:stretch>
                      <a:fillRect/>
                    </a:stretch>
                  </pic:blipFill>
                  <pic:spPr>
                    <a:xfrm>
                      <a:off x="0" y="0"/>
                      <a:ext cx="3959860" cy="2160270"/>
                    </a:xfrm>
                    <a:prstGeom prst="rect">
                      <a:avLst/>
                    </a:prstGeom>
                  </pic:spPr>
                </pic:pic>
              </a:graphicData>
            </a:graphic>
          </wp:inline>
        </w:drawing>
      </w:r>
    </w:p>
    <w:p w14:paraId="2DDC6433"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rFonts w:ascii="SimSun" w:eastAsia="SimSun" w:hAnsi="SimSun" w:cs="SimSun" w:hint="eastAsia"/>
          <w:color w:val="000000" w:themeColor="text1"/>
          <w:kern w:val="0"/>
          <w:szCs w:val="21"/>
          <w:lang w:bidi="ar"/>
        </w:rPr>
        <w:t>图2调节转录的riboswitch作用机制</w:t>
      </w:r>
    </w:p>
    <w:p w14:paraId="7AFCBB5C" w14:textId="77777777" w:rsidR="00B03D76" w:rsidRDefault="00B03D76">
      <w:pPr>
        <w:widowControl/>
        <w:ind w:firstLineChars="200" w:firstLine="420"/>
        <w:jc w:val="center"/>
        <w:rPr>
          <w:rFonts w:ascii="SimSun" w:eastAsia="SimSun" w:hAnsi="SimSun" w:cs="SimSun"/>
          <w:color w:val="000000" w:themeColor="text1"/>
          <w:kern w:val="0"/>
          <w:szCs w:val="21"/>
          <w:lang w:bidi="ar"/>
        </w:rPr>
      </w:pPr>
    </w:p>
    <w:p w14:paraId="4CACB986" w14:textId="3F70510A" w:rsidR="00B03D76" w:rsidRDefault="00000000">
      <w:pPr>
        <w:widowControl/>
        <w:ind w:firstLineChars="200" w:firstLine="420"/>
        <w:jc w:val="left"/>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color w:val="000000" w:themeColor="text1"/>
          <w:kern w:val="0"/>
          <w:szCs w:val="21"/>
          <w:lang w:bidi="ar"/>
        </w:rPr>
        <w:t>研究发现，</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广泛存在于细菌中，并且在过去的二十多年中已经发现了</w:t>
      </w:r>
      <w:r w:rsidR="00C53FD2">
        <w:rPr>
          <w:rFonts w:ascii="Times New Roman Regular" w:eastAsia="SimSun" w:hAnsi="Times New Roman Regular" w:cs="Times New Roman Regular" w:hint="eastAsia"/>
          <w:color w:val="000000" w:themeColor="text1"/>
          <w:kern w:val="0"/>
          <w:szCs w:val="21"/>
          <w:lang w:bidi="ar"/>
        </w:rPr>
        <w:t>大于</w:t>
      </w:r>
      <w:r w:rsidR="00C53FD2">
        <w:rPr>
          <w:rFonts w:ascii="Times New Roman Regular" w:eastAsia="SimSun" w:hAnsi="Times New Roman Regular" w:cs="Times New Roman Regular" w:hint="eastAsia"/>
          <w:color w:val="000000" w:themeColor="text1"/>
          <w:kern w:val="0"/>
          <w:szCs w:val="21"/>
          <w:lang w:bidi="ar"/>
        </w:rPr>
        <w:t>5</w:t>
      </w:r>
      <w:r w:rsidR="00C53FD2">
        <w:rPr>
          <w:rFonts w:ascii="Times New Roman Regular" w:eastAsia="SimSun" w:hAnsi="Times New Roman Regular" w:cs="Times New Roman Regular"/>
          <w:color w:val="000000" w:themeColor="text1"/>
          <w:kern w:val="0"/>
          <w:szCs w:val="21"/>
          <w:lang w:bidi="ar"/>
        </w:rPr>
        <w:t>5</w:t>
      </w:r>
      <w:r>
        <w:rPr>
          <w:rFonts w:ascii="Times New Roman Regular" w:eastAsia="SimSun" w:hAnsi="Times New Roman Regular" w:cs="Times New Roman Regular"/>
          <w:color w:val="000000" w:themeColor="text1"/>
          <w:kern w:val="0"/>
          <w:szCs w:val="21"/>
          <w:lang w:bidi="ar"/>
        </w:rPr>
        <w:t>种</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，极大丰富了</w:t>
      </w:r>
      <w:r>
        <w:rPr>
          <w:rFonts w:ascii="Times New Roman Regular" w:eastAsia="SimSun" w:hAnsi="Times New Roman Regular" w:cs="Times New Roman Regular"/>
          <w:color w:val="000000" w:themeColor="text1"/>
          <w:kern w:val="0"/>
          <w:szCs w:val="21"/>
          <w:lang w:bidi="ar"/>
        </w:rPr>
        <w:t>RNA</w:t>
      </w:r>
      <w:r>
        <w:rPr>
          <w:rFonts w:ascii="Times New Roman Regular" w:eastAsia="SimSun" w:hAnsi="Times New Roman Regular" w:cs="Times New Roman Regular"/>
          <w:color w:val="000000" w:themeColor="text1"/>
          <w:kern w:val="0"/>
          <w:szCs w:val="21"/>
          <w:lang w:bidi="ar"/>
        </w:rPr>
        <w:t>调控基因表达领域的研究。科研人员发现在大多数细菌中往往存在着丰富的</w:t>
      </w:r>
      <w:r>
        <w:rPr>
          <w:rFonts w:ascii="Times New Roman Regular" w:eastAsia="SimSun" w:hAnsi="Times New Roman Regular" w:cs="Times New Roman Regular"/>
          <w:color w:val="000000" w:themeColor="text1"/>
          <w:kern w:val="0"/>
          <w:szCs w:val="21"/>
          <w:lang w:bidi="ar"/>
        </w:rPr>
        <w:t>RNA</w:t>
      </w:r>
      <w:r>
        <w:rPr>
          <w:rFonts w:ascii="Times New Roman Regular" w:eastAsia="SimSun" w:hAnsi="Times New Roman Regular" w:cs="Times New Roman Regular"/>
          <w:color w:val="000000" w:themeColor="text1"/>
          <w:kern w:val="0"/>
          <w:szCs w:val="21"/>
          <w:lang w:bidi="ar"/>
        </w:rPr>
        <w:t>调控介导机制，例如</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antisense RNA</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RNA thermomter</w:t>
      </w:r>
      <w:r>
        <w:rPr>
          <w:rFonts w:ascii="Times New Roman Regular" w:eastAsia="SimSun" w:hAnsi="Times New Roman Regular" w:cs="Times New Roman Regular"/>
          <w:color w:val="000000" w:themeColor="text1"/>
          <w:kern w:val="0"/>
          <w:szCs w:val="21"/>
          <w:lang w:bidi="ar"/>
        </w:rPr>
        <w:t>等方面。尤其是在厚壁菌门的细菌中，</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的出现频率很高，说明在这一类细菌中</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在调控基因表达方面具有重要作用</w:t>
      </w:r>
      <w:r>
        <w:rPr>
          <w:rFonts w:ascii="Times New Roman Regular" w:eastAsia="SimSun" w:hAnsi="Times New Roman Regular" w:cs="Times New Roman Regular" w:hint="eastAsia"/>
          <w:color w:val="000000" w:themeColor="text1"/>
          <w:kern w:val="0"/>
          <w:szCs w:val="21"/>
          <w:lang w:bidi="ar"/>
        </w:rPr>
        <w:t>。</w:t>
      </w:r>
    </w:p>
    <w:p w14:paraId="19562253" w14:textId="77777777" w:rsidR="00B03D76" w:rsidRDefault="00B03D76">
      <w:pPr>
        <w:widowControl/>
        <w:ind w:firstLineChars="200" w:firstLine="420"/>
        <w:jc w:val="left"/>
        <w:rPr>
          <w:rFonts w:ascii="Times New Roman Regular" w:eastAsia="SimSun" w:hAnsi="Times New Roman Regular" w:cs="Times New Roman Regular"/>
          <w:color w:val="000000" w:themeColor="text1"/>
          <w:kern w:val="0"/>
          <w:szCs w:val="21"/>
          <w:lang w:bidi="ar"/>
        </w:rPr>
      </w:pPr>
    </w:p>
    <w:p w14:paraId="186F790F" w14:textId="77777777" w:rsidR="00B03D76" w:rsidRDefault="00000000">
      <w:pPr>
        <w:widowControl/>
        <w:ind w:firstLineChars="200" w:firstLine="420"/>
        <w:jc w:val="center"/>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hint="eastAsia"/>
          <w:noProof/>
          <w:color w:val="000000" w:themeColor="text1"/>
          <w:kern w:val="0"/>
          <w:szCs w:val="21"/>
          <w:lang w:bidi="ar"/>
        </w:rPr>
        <w:drawing>
          <wp:inline distT="0" distB="0" distL="114300" distR="114300" wp14:anchorId="3C2E8373" wp14:editId="5F759DA1">
            <wp:extent cx="3959860" cy="2160270"/>
            <wp:effectExtent l="0" t="0" r="2540" b="24130"/>
            <wp:docPr id="3" name="图片 3" descr="21561721280058_.pic"/>
            <wp:cNvGraphicFramePr/>
            <a:graphic xmlns:a="http://schemas.openxmlformats.org/drawingml/2006/main">
              <a:graphicData uri="http://schemas.openxmlformats.org/drawingml/2006/picture">
                <pic:pic xmlns:pic="http://schemas.openxmlformats.org/drawingml/2006/picture">
                  <pic:nvPicPr>
                    <pic:cNvPr id="3" name="图片 3" descr="21561721280058_.pic"/>
                    <pic:cNvPicPr/>
                  </pic:nvPicPr>
                  <pic:blipFill>
                    <a:blip r:embed="rId6"/>
                    <a:stretch>
                      <a:fillRect/>
                    </a:stretch>
                  </pic:blipFill>
                  <pic:spPr>
                    <a:xfrm>
                      <a:off x="0" y="0"/>
                      <a:ext cx="3959860" cy="2160270"/>
                    </a:xfrm>
                    <a:prstGeom prst="rect">
                      <a:avLst/>
                    </a:prstGeom>
                  </pic:spPr>
                </pic:pic>
              </a:graphicData>
            </a:graphic>
          </wp:inline>
        </w:drawing>
      </w:r>
    </w:p>
    <w:p w14:paraId="0784030E" w14:textId="77777777" w:rsidR="00B03D76" w:rsidRDefault="00000000">
      <w:pPr>
        <w:widowControl/>
        <w:ind w:firstLineChars="200" w:firstLine="420"/>
        <w:jc w:val="center"/>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hint="eastAsia"/>
          <w:color w:val="000000" w:themeColor="text1"/>
          <w:kern w:val="0"/>
          <w:szCs w:val="21"/>
          <w:lang w:bidi="ar"/>
        </w:rPr>
        <w:t>图</w:t>
      </w:r>
      <w:r>
        <w:rPr>
          <w:rFonts w:ascii="Times New Roman Regular" w:eastAsia="SimSun" w:hAnsi="Times New Roman Regular" w:cs="Times New Roman Regular" w:hint="eastAsia"/>
          <w:color w:val="000000" w:themeColor="text1"/>
          <w:kern w:val="0"/>
          <w:szCs w:val="21"/>
          <w:lang w:bidi="ar"/>
        </w:rPr>
        <w:t>3 riboswitch</w:t>
      </w:r>
      <w:r>
        <w:rPr>
          <w:rFonts w:ascii="Times New Roman Regular" w:eastAsia="SimSun" w:hAnsi="Times New Roman Regular" w:cs="Times New Roman Regular" w:hint="eastAsia"/>
          <w:color w:val="000000" w:themeColor="text1"/>
          <w:kern w:val="0"/>
          <w:szCs w:val="21"/>
          <w:lang w:bidi="ar"/>
        </w:rPr>
        <w:t>广泛分布于各类细菌中</w:t>
      </w:r>
    </w:p>
    <w:p w14:paraId="6E75D1F3" w14:textId="77777777" w:rsidR="00B03D76" w:rsidRDefault="00B03D76">
      <w:pPr>
        <w:widowControl/>
        <w:jc w:val="left"/>
        <w:rPr>
          <w:rFonts w:ascii="Times New Roman Regular" w:eastAsia="SimSun" w:hAnsi="Times New Roman Regular" w:cs="Times New Roman Regular"/>
          <w:color w:val="000000" w:themeColor="text1"/>
          <w:kern w:val="0"/>
          <w:szCs w:val="21"/>
          <w:lang w:bidi="ar"/>
        </w:rPr>
      </w:pPr>
    </w:p>
    <w:p w14:paraId="39045B60" w14:textId="77777777" w:rsidR="00B03D76" w:rsidRDefault="00000000">
      <w:pPr>
        <w:widowControl/>
        <w:jc w:val="left"/>
        <w:rPr>
          <w:rFonts w:ascii="Times New Roman Regular" w:eastAsia="SimSun" w:hAnsi="Times New Roman Regular" w:cs="Times New Roman Regular"/>
          <w:color w:val="000000" w:themeColor="text1"/>
          <w:kern w:val="0"/>
          <w:szCs w:val="21"/>
          <w:lang w:bidi="ar"/>
        </w:rPr>
      </w:pPr>
      <w:r>
        <w:rPr>
          <w:rFonts w:ascii="SimSun" w:eastAsia="SimSun" w:hAnsi="SimSun" w:cs="SimSun" w:hint="eastAsia"/>
          <w:color w:val="000000" w:themeColor="text1"/>
          <w:kern w:val="0"/>
          <w:szCs w:val="21"/>
          <w:lang w:bidi="ar"/>
        </w:rPr>
        <w:t xml:space="preserve">    </w:t>
      </w:r>
      <w:r>
        <w:rPr>
          <w:rFonts w:ascii="Times New Roman Regular" w:eastAsia="SimSun" w:hAnsi="Times New Roman Regular" w:cs="Times New Roman Regular"/>
          <w:color w:val="000000" w:themeColor="text1"/>
          <w:kern w:val="0"/>
          <w:szCs w:val="21"/>
          <w:lang w:bidi="ar"/>
        </w:rPr>
        <w:t>到目前为止已发现接近</w:t>
      </w:r>
      <w:r>
        <w:rPr>
          <w:rFonts w:ascii="Times New Roman Regular" w:eastAsia="SimSun" w:hAnsi="Times New Roman Regular" w:cs="Times New Roman Regular"/>
          <w:color w:val="000000" w:themeColor="text1"/>
          <w:kern w:val="0"/>
          <w:szCs w:val="21"/>
          <w:lang w:bidi="ar"/>
        </w:rPr>
        <w:t>60</w:t>
      </w:r>
      <w:r>
        <w:rPr>
          <w:rFonts w:ascii="Times New Roman Regular" w:eastAsia="SimSun" w:hAnsi="Times New Roman Regular" w:cs="Times New Roman Regular"/>
          <w:color w:val="000000" w:themeColor="text1"/>
          <w:kern w:val="0"/>
          <w:szCs w:val="21"/>
          <w:lang w:bidi="ar"/>
        </w:rPr>
        <w:t>种不同类型的</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，它们识别</w:t>
      </w:r>
      <w:r>
        <w:rPr>
          <w:rFonts w:ascii="Times New Roman Regular" w:eastAsia="SimSun" w:hAnsi="Times New Roman Regular" w:cs="Times New Roman Regular"/>
          <w:color w:val="000000" w:themeColor="text1"/>
          <w:kern w:val="0"/>
          <w:szCs w:val="21"/>
          <w:lang w:bidi="ar"/>
        </w:rPr>
        <w:t>amino acids</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sugars</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nucleobases and nucleosides</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ions</w:t>
      </w:r>
      <w:r>
        <w:rPr>
          <w:rFonts w:ascii="Times New Roman Regular" w:eastAsia="SimSun" w:hAnsi="Times New Roman Regular" w:cs="Times New Roman Regular"/>
          <w:color w:val="000000" w:themeColor="text1"/>
          <w:kern w:val="0"/>
          <w:szCs w:val="21"/>
          <w:lang w:bidi="ar"/>
        </w:rPr>
        <w:t>等多种不同类型的配体分子从而发挥广泛的作用。尚未在哺乳动物中鉴定出天然的</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，但已证实有几种合成的</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也能够调节哺乳</w:t>
      </w:r>
      <w:r>
        <w:rPr>
          <w:rFonts w:ascii="Times New Roman Regular" w:eastAsia="SimSun" w:hAnsi="Times New Roman Regular" w:cs="Times New Roman Regular"/>
          <w:color w:val="000000" w:themeColor="text1"/>
          <w:kern w:val="0"/>
          <w:szCs w:val="21"/>
          <w:lang w:bidi="ar"/>
        </w:rPr>
        <w:lastRenderedPageBreak/>
        <w:t>动物细胞中的基因表达，并且往往都是通过介导</w:t>
      </w:r>
      <w:r>
        <w:rPr>
          <w:rFonts w:ascii="Times New Roman Regular" w:eastAsia="SimSun" w:hAnsi="Times New Roman Regular" w:cs="Times New Roman Regular"/>
          <w:color w:val="000000" w:themeColor="text1"/>
          <w:kern w:val="0"/>
          <w:szCs w:val="21"/>
          <w:lang w:bidi="ar"/>
        </w:rPr>
        <w:t>pre-mRNA</w:t>
      </w:r>
      <w:r>
        <w:rPr>
          <w:rFonts w:ascii="Times New Roman Regular" w:eastAsia="SimSun" w:hAnsi="Times New Roman Regular" w:cs="Times New Roman Regular"/>
          <w:color w:val="000000" w:themeColor="text1"/>
          <w:kern w:val="0"/>
          <w:szCs w:val="21"/>
          <w:lang w:bidi="ar"/>
        </w:rPr>
        <w:t>的剪接过程，但提高其在体内的性能仍是一大挑战。在已发现的机制中，</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可通过结合配体后将剪接体识别位点例如</w:t>
      </w:r>
      <w:r>
        <w:rPr>
          <w:rFonts w:ascii="Times New Roman Regular" w:eastAsia="SimSun" w:hAnsi="Times New Roman Regular" w:cs="Times New Roman Regular"/>
          <w:color w:val="000000" w:themeColor="text1"/>
          <w:kern w:val="0"/>
          <w:szCs w:val="21"/>
          <w:lang w:bidi="ar"/>
        </w:rPr>
        <w:t>3′ SS</w:t>
      </w:r>
      <w:r>
        <w:rPr>
          <w:rFonts w:ascii="Times New Roman Regular" w:eastAsia="SimSun" w:hAnsi="Times New Roman Regular" w:cs="Times New Roman Regular"/>
          <w:color w:val="000000" w:themeColor="text1"/>
          <w:kern w:val="0"/>
          <w:szCs w:val="21"/>
          <w:lang w:bidi="ar"/>
        </w:rPr>
        <w:t>整合入适体域，使其隔离从而导致剪接体无法识别位点，进而跳过含有过早出现终止密码子的外显子，从而让后续的翻译过程能顺利进行下去，基于这一机制，治疗型的核糖开关在今后很可能成为一大发展趋势。由腺相关病毒</w:t>
      </w:r>
      <w:r>
        <w:rPr>
          <w:rFonts w:ascii="Times New Roman Regular" w:eastAsia="SimSun" w:hAnsi="Times New Roman Regular" w:cs="Times New Roman Regular"/>
          <w:color w:val="000000" w:themeColor="text1"/>
          <w:kern w:val="0"/>
          <w:szCs w:val="21"/>
          <w:lang w:bidi="ar"/>
        </w:rPr>
        <w:t xml:space="preserve"> (AAV) </w:t>
      </w:r>
      <w:r>
        <w:rPr>
          <w:rFonts w:ascii="Times New Roman Regular" w:eastAsia="SimSun" w:hAnsi="Times New Roman Regular" w:cs="Times New Roman Regular"/>
          <w:color w:val="000000" w:themeColor="text1"/>
          <w:kern w:val="0"/>
          <w:szCs w:val="21"/>
          <w:lang w:bidi="ar"/>
        </w:rPr>
        <w:t>开发的载体是在人类和动物模型中体内进行基因传递的强大工具，几种利用</w:t>
      </w:r>
      <w:r>
        <w:rPr>
          <w:rFonts w:ascii="Times New Roman Regular" w:eastAsia="SimSun" w:hAnsi="Times New Roman Regular" w:cs="Times New Roman Regular"/>
          <w:color w:val="000000" w:themeColor="text1"/>
          <w:kern w:val="0"/>
          <w:szCs w:val="21"/>
          <w:lang w:bidi="ar"/>
        </w:rPr>
        <w:t>AAV</w:t>
      </w:r>
      <w:r>
        <w:rPr>
          <w:rFonts w:ascii="Times New Roman Regular" w:eastAsia="SimSun" w:hAnsi="Times New Roman Regular" w:cs="Times New Roman Regular"/>
          <w:color w:val="000000" w:themeColor="text1"/>
          <w:kern w:val="0"/>
          <w:szCs w:val="21"/>
          <w:lang w:bidi="ar"/>
        </w:rPr>
        <w:t>作为载体递送的基因疗法目前已被批准用于临床。</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由于其尺寸较小、非免疫原性、模块化结构以及无需蛋白质开关元件即可发挥作用的特点，是控制</w:t>
      </w:r>
      <w:r>
        <w:rPr>
          <w:rFonts w:ascii="Times New Roman Regular" w:eastAsia="SimSun" w:hAnsi="Times New Roman Regular" w:cs="Times New Roman Regular"/>
          <w:color w:val="000000" w:themeColor="text1"/>
          <w:kern w:val="0"/>
          <w:szCs w:val="21"/>
          <w:lang w:bidi="ar"/>
        </w:rPr>
        <w:t>AAV</w:t>
      </w:r>
      <w:r>
        <w:rPr>
          <w:rFonts w:ascii="Times New Roman Regular" w:eastAsia="SimSun" w:hAnsi="Times New Roman Regular" w:cs="Times New Roman Regular"/>
          <w:color w:val="000000" w:themeColor="text1"/>
          <w:kern w:val="0"/>
          <w:szCs w:val="21"/>
          <w:lang w:bidi="ar"/>
        </w:rPr>
        <w:t>递送的治疗性基因表达的有力方法。通过</w:t>
      </w:r>
      <w:r>
        <w:rPr>
          <w:rFonts w:ascii="Times New Roman Regular" w:eastAsia="SimSun" w:hAnsi="Times New Roman Regular" w:cs="Times New Roman Regular"/>
          <w:color w:val="000000" w:themeColor="text1"/>
          <w:kern w:val="0"/>
          <w:szCs w:val="21"/>
          <w:lang w:bidi="ar"/>
        </w:rPr>
        <w:t>AAV</w:t>
      </w:r>
      <w:r>
        <w:rPr>
          <w:rFonts w:ascii="Times New Roman Regular" w:eastAsia="SimSun" w:hAnsi="Times New Roman Regular" w:cs="Times New Roman Regular"/>
          <w:color w:val="000000" w:themeColor="text1"/>
          <w:kern w:val="0"/>
          <w:szCs w:val="21"/>
          <w:lang w:bidi="ar"/>
        </w:rPr>
        <w:t>将</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与目的基因运送入目标区域，病人服入相关配体后，</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进行调控目的基因的表达，从而达到治疗目的。</w:t>
      </w:r>
    </w:p>
    <w:p w14:paraId="773254B4" w14:textId="77777777" w:rsidR="00B03D76" w:rsidRDefault="00B03D76">
      <w:pPr>
        <w:widowControl/>
        <w:jc w:val="left"/>
        <w:rPr>
          <w:rFonts w:ascii="Times New Roman Regular" w:eastAsia="SimSun" w:hAnsi="Times New Roman Regular" w:cs="Times New Roman Regular"/>
          <w:color w:val="000000" w:themeColor="text1"/>
          <w:kern w:val="0"/>
          <w:szCs w:val="21"/>
          <w:lang w:bidi="ar"/>
        </w:rPr>
      </w:pPr>
    </w:p>
    <w:p w14:paraId="60E86DA2" w14:textId="77777777" w:rsidR="00B03D76" w:rsidRDefault="00000000">
      <w:pPr>
        <w:widowControl/>
        <w:jc w:val="center"/>
        <w:rPr>
          <w:rFonts w:ascii="SimSun" w:eastAsia="SimSun" w:hAnsi="SimSun" w:cs="SimSun"/>
        </w:rPr>
      </w:pPr>
      <w:r>
        <w:rPr>
          <w:noProof/>
        </w:rPr>
        <w:drawing>
          <wp:inline distT="0" distB="0" distL="114300" distR="114300" wp14:anchorId="3E2D14F0" wp14:editId="628900CB">
            <wp:extent cx="3959860" cy="2160270"/>
            <wp:effectExtent l="0" t="0" r="2540" b="24130"/>
            <wp:docPr id="4" name="图片 4" descr="21571721281096_.pic_hd"/>
            <wp:cNvGraphicFramePr/>
            <a:graphic xmlns:a="http://schemas.openxmlformats.org/drawingml/2006/main">
              <a:graphicData uri="http://schemas.openxmlformats.org/drawingml/2006/picture">
                <pic:pic xmlns:pic="http://schemas.openxmlformats.org/drawingml/2006/picture">
                  <pic:nvPicPr>
                    <pic:cNvPr id="4" name="图片 4" descr="21571721281096_.pic_hd"/>
                    <pic:cNvPicPr/>
                  </pic:nvPicPr>
                  <pic:blipFill>
                    <a:blip r:embed="rId7"/>
                    <a:stretch>
                      <a:fillRect/>
                    </a:stretch>
                  </pic:blipFill>
                  <pic:spPr>
                    <a:xfrm>
                      <a:off x="0" y="0"/>
                      <a:ext cx="3959860" cy="2160270"/>
                    </a:xfrm>
                    <a:prstGeom prst="rect">
                      <a:avLst/>
                    </a:prstGeom>
                  </pic:spPr>
                </pic:pic>
              </a:graphicData>
            </a:graphic>
          </wp:inline>
        </w:drawing>
      </w:r>
    </w:p>
    <w:p w14:paraId="4FC2BD70" w14:textId="77777777" w:rsidR="00B03D76" w:rsidRDefault="00000000">
      <w:pPr>
        <w:widowControl/>
        <w:ind w:firstLineChars="200" w:firstLine="420"/>
        <w:jc w:val="center"/>
        <w:rPr>
          <w:rFonts w:ascii="SimSun" w:eastAsia="SimSun" w:hAnsi="SimSun" w:cs="SimSun"/>
        </w:rPr>
      </w:pPr>
      <w:r>
        <w:rPr>
          <w:rFonts w:ascii="SimSun" w:eastAsia="SimSun" w:hAnsi="SimSun" w:cs="SimSun" w:hint="eastAsia"/>
        </w:rPr>
        <w:t>图4 riboswitch所识别的多种配体类型</w:t>
      </w:r>
    </w:p>
    <w:p w14:paraId="7CEA4681" w14:textId="77777777" w:rsidR="00B03D76" w:rsidRDefault="00B03D76">
      <w:pPr>
        <w:widowControl/>
        <w:rPr>
          <w:rFonts w:ascii="SimSun" w:eastAsia="SimSun" w:hAnsi="SimSun" w:cs="SimSun"/>
        </w:rPr>
      </w:pPr>
    </w:p>
    <w:p w14:paraId="429FB461" w14:textId="77777777" w:rsidR="00B03D76" w:rsidRDefault="00000000">
      <w:pPr>
        <w:widowControl/>
        <w:ind w:firstLineChars="200" w:firstLine="420"/>
        <w:jc w:val="center"/>
        <w:rPr>
          <w:rFonts w:ascii="SimSun" w:eastAsia="SimSun" w:hAnsi="SimSun" w:cs="SimSun"/>
        </w:rPr>
      </w:pPr>
      <w:r>
        <w:rPr>
          <w:rFonts w:ascii="SimSun" w:eastAsia="SimSun" w:hAnsi="SimSun" w:cs="SimSun"/>
          <w:noProof/>
        </w:rPr>
        <w:drawing>
          <wp:inline distT="0" distB="0" distL="114300" distR="114300" wp14:anchorId="3CF06222" wp14:editId="6CF18BE3">
            <wp:extent cx="5039995" cy="2160270"/>
            <wp:effectExtent l="0" t="0" r="14605" b="24130"/>
            <wp:docPr id="8" name="图片 8" descr="21611721308270_.pic"/>
            <wp:cNvGraphicFramePr/>
            <a:graphic xmlns:a="http://schemas.openxmlformats.org/drawingml/2006/main">
              <a:graphicData uri="http://schemas.openxmlformats.org/drawingml/2006/picture">
                <pic:pic xmlns:pic="http://schemas.openxmlformats.org/drawingml/2006/picture">
                  <pic:nvPicPr>
                    <pic:cNvPr id="8" name="图片 8" descr="21611721308270_.pic"/>
                    <pic:cNvPicPr/>
                  </pic:nvPicPr>
                  <pic:blipFill>
                    <a:blip r:embed="rId8"/>
                    <a:srcRect l="945"/>
                    <a:stretch>
                      <a:fillRect/>
                    </a:stretch>
                  </pic:blipFill>
                  <pic:spPr>
                    <a:xfrm>
                      <a:off x="0" y="0"/>
                      <a:ext cx="5039995" cy="2160270"/>
                    </a:xfrm>
                    <a:prstGeom prst="rect">
                      <a:avLst/>
                    </a:prstGeom>
                  </pic:spPr>
                </pic:pic>
              </a:graphicData>
            </a:graphic>
          </wp:inline>
        </w:drawing>
      </w:r>
    </w:p>
    <w:p w14:paraId="03D7CE46" w14:textId="77777777" w:rsidR="00B03D76" w:rsidRDefault="00000000">
      <w:pPr>
        <w:widowControl/>
        <w:ind w:firstLineChars="200" w:firstLine="420"/>
        <w:jc w:val="center"/>
        <w:rPr>
          <w:rFonts w:ascii="SimSun" w:eastAsia="SimSun" w:hAnsi="SimSun" w:cs="SimSun"/>
        </w:rPr>
      </w:pPr>
      <w:r>
        <w:rPr>
          <w:rFonts w:ascii="SimSun" w:eastAsia="SimSun" w:hAnsi="SimSun" w:cs="SimSun" w:hint="eastAsia"/>
        </w:rPr>
        <w:t>图5 riboswitch调控m</w:t>
      </w:r>
      <w:r>
        <w:rPr>
          <w:rFonts w:ascii="SimSun" w:eastAsia="SimSun" w:hAnsi="SimSun" w:cs="SimSun"/>
        </w:rPr>
        <w:t>RNA</w:t>
      </w:r>
      <w:r>
        <w:rPr>
          <w:rFonts w:ascii="SimSun" w:eastAsia="SimSun" w:hAnsi="SimSun" w:cs="SimSun" w:hint="eastAsia"/>
        </w:rPr>
        <w:t>剪接的机制</w:t>
      </w:r>
    </w:p>
    <w:p w14:paraId="09110F87" w14:textId="77777777" w:rsidR="00B03D76" w:rsidRDefault="00B03D76">
      <w:pPr>
        <w:widowControl/>
        <w:rPr>
          <w:rFonts w:ascii="SimSun" w:eastAsia="SimSun" w:hAnsi="SimSun" w:cs="SimSun"/>
        </w:rPr>
      </w:pPr>
    </w:p>
    <w:p w14:paraId="6E8D5514"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教授教授指出，科研人员在过往的研究中大多专注于对</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的适体域进行单独研究，不仅是因为其序列相对较短，并且在于配体形成复合物后构象一般都较为稳定，在后续的结晶及测量亲和力等方面都较为方便，故而对于全长的</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研究较少。</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教授以</w:t>
      </w:r>
      <w:r>
        <w:rPr>
          <w:rFonts w:ascii="Times New Roman Regular" w:eastAsia="SimSun" w:hAnsi="Times New Roman Regular" w:cs="Times New Roman Regular"/>
          <w:szCs w:val="21"/>
        </w:rPr>
        <w:t>lysine riboswitch</w:t>
      </w:r>
      <w:r>
        <w:rPr>
          <w:rFonts w:ascii="Times New Roman Regular" w:eastAsia="SimSun" w:hAnsi="Times New Roman Regular" w:cs="Times New Roman Regular"/>
          <w:szCs w:val="21"/>
        </w:rPr>
        <w:t>为例向我们详细介绍了其适体域是如何结合</w:t>
      </w:r>
      <w:r>
        <w:rPr>
          <w:rFonts w:ascii="Times New Roman Regular" w:eastAsia="SimSun" w:hAnsi="Times New Roman Regular" w:cs="Times New Roman Regular"/>
          <w:szCs w:val="21"/>
        </w:rPr>
        <w:t>lysine</w:t>
      </w:r>
      <w:r>
        <w:rPr>
          <w:rFonts w:ascii="Times New Roman Regular" w:eastAsia="SimSun" w:hAnsi="Times New Roman Regular" w:cs="Times New Roman Regular"/>
          <w:szCs w:val="21"/>
        </w:rPr>
        <w:t>的。由图</w:t>
      </w:r>
      <w:r>
        <w:rPr>
          <w:rFonts w:ascii="Times New Roman Regular" w:eastAsia="SimSun" w:hAnsi="Times New Roman Regular" w:cs="Times New Roman Regular"/>
          <w:szCs w:val="21"/>
        </w:rPr>
        <w:t>5</w:t>
      </w:r>
      <w:r>
        <w:rPr>
          <w:rFonts w:ascii="Times New Roman Regular" w:eastAsia="SimSun" w:hAnsi="Times New Roman Regular" w:cs="Times New Roman Regular"/>
          <w:szCs w:val="21"/>
        </w:rPr>
        <w:t>不难发现，该适体域有典型的多螺旋结构，在解析出三级结构后研究者还</w:t>
      </w:r>
      <w:r>
        <w:rPr>
          <w:rFonts w:ascii="Times New Roman Regular" w:eastAsia="SimSun" w:hAnsi="Times New Roman Regular" w:cs="Times New Roman Regular"/>
          <w:szCs w:val="21"/>
        </w:rPr>
        <w:lastRenderedPageBreak/>
        <w:t>发现结构中存在三个同轴堆叠现象，分别是</w:t>
      </w:r>
      <w:r>
        <w:rPr>
          <w:rFonts w:ascii="Times New Roman Regular" w:eastAsia="SimSun" w:hAnsi="Times New Roman Regular" w:cs="Times New Roman Regular"/>
          <w:szCs w:val="21"/>
        </w:rPr>
        <w:t>P2</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P2a</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P2b</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P3</w:t>
      </w:r>
      <w:r>
        <w:rPr>
          <w:rFonts w:ascii="Times New Roman Regular" w:eastAsia="SimSun" w:hAnsi="Times New Roman Regular" w:cs="Times New Roman Regular"/>
          <w:szCs w:val="21"/>
        </w:rPr>
        <w:t>以及</w:t>
      </w:r>
      <w:r>
        <w:rPr>
          <w:rFonts w:ascii="Times New Roman Regular" w:eastAsia="SimSun" w:hAnsi="Times New Roman Regular" w:cs="Times New Roman Regular"/>
          <w:szCs w:val="21"/>
        </w:rPr>
        <w:t>P4</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P5</w:t>
      </w:r>
      <w:r>
        <w:rPr>
          <w:rFonts w:ascii="Times New Roman Regular" w:eastAsia="SimSun" w:hAnsi="Times New Roman Regular" w:cs="Times New Roman Regular"/>
          <w:szCs w:val="21"/>
        </w:rPr>
        <w:t>螺旋，而且还存在环环相互作用。此外，</w:t>
      </w:r>
      <w:r>
        <w:rPr>
          <w:rFonts w:ascii="Times New Roman Regular" w:eastAsia="SimSun" w:hAnsi="Times New Roman Regular" w:cs="Times New Roman Regular"/>
          <w:szCs w:val="21"/>
        </w:rPr>
        <w:t>lysine</w:t>
      </w:r>
      <w:r>
        <w:rPr>
          <w:rFonts w:ascii="Times New Roman Regular" w:eastAsia="SimSun" w:hAnsi="Times New Roman Regular" w:cs="Times New Roman Regular"/>
          <w:szCs w:val="21"/>
        </w:rPr>
        <w:t>紧紧包裹在由五个</w:t>
      </w:r>
      <w:r>
        <w:rPr>
          <w:rFonts w:ascii="Times New Roman Regular" w:eastAsia="SimSun" w:hAnsi="Times New Roman Regular" w:cs="Times New Roman Regular"/>
          <w:szCs w:val="21"/>
        </w:rPr>
        <w:t>stem</w:t>
      </w:r>
      <w:r>
        <w:rPr>
          <w:rFonts w:ascii="Times New Roman Regular" w:eastAsia="SimSun" w:hAnsi="Times New Roman Regular" w:cs="Times New Roman Regular"/>
          <w:szCs w:val="21"/>
        </w:rPr>
        <w:t>连接处组成的结合口袋中。</w:t>
      </w:r>
    </w:p>
    <w:p w14:paraId="3F05D275"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D67A573"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hint="eastAsia"/>
          <w:noProof/>
          <w:szCs w:val="21"/>
        </w:rPr>
        <w:drawing>
          <wp:inline distT="0" distB="0" distL="114300" distR="114300" wp14:anchorId="099085FE" wp14:editId="087124CA">
            <wp:extent cx="1979930" cy="2160270"/>
            <wp:effectExtent l="0" t="0" r="1270" b="24130"/>
            <wp:docPr id="5" name="图片 5" descr="21581721296591_.pic"/>
            <wp:cNvGraphicFramePr/>
            <a:graphic xmlns:a="http://schemas.openxmlformats.org/drawingml/2006/main">
              <a:graphicData uri="http://schemas.openxmlformats.org/drawingml/2006/picture">
                <pic:pic xmlns:pic="http://schemas.openxmlformats.org/drawingml/2006/picture">
                  <pic:nvPicPr>
                    <pic:cNvPr id="5" name="图片 5" descr="21581721296591_.pic"/>
                    <pic:cNvPicPr/>
                  </pic:nvPicPr>
                  <pic:blipFill>
                    <a:blip r:embed="rId9"/>
                    <a:stretch>
                      <a:fillRect/>
                    </a:stretch>
                  </pic:blipFill>
                  <pic:spPr>
                    <a:xfrm>
                      <a:off x="0" y="0"/>
                      <a:ext cx="1979930" cy="2160270"/>
                    </a:xfrm>
                    <a:prstGeom prst="rect">
                      <a:avLst/>
                    </a:prstGeom>
                  </pic:spPr>
                </pic:pic>
              </a:graphicData>
            </a:graphic>
          </wp:inline>
        </w:drawing>
      </w:r>
      <w:r>
        <w:rPr>
          <w:rFonts w:ascii="Times New Roman Regular" w:eastAsia="SimSun" w:hAnsi="Times New Roman Regular" w:cs="Times New Roman Regular" w:hint="eastAsia"/>
          <w:noProof/>
          <w:szCs w:val="21"/>
        </w:rPr>
        <w:drawing>
          <wp:inline distT="0" distB="0" distL="114300" distR="114300" wp14:anchorId="779CFFBE" wp14:editId="5D0C1C39">
            <wp:extent cx="1979930" cy="2160270"/>
            <wp:effectExtent l="0" t="0" r="1270" b="24130"/>
            <wp:docPr id="6" name="图片 6" descr="21591721296654_.pic"/>
            <wp:cNvGraphicFramePr/>
            <a:graphic xmlns:a="http://schemas.openxmlformats.org/drawingml/2006/main">
              <a:graphicData uri="http://schemas.openxmlformats.org/drawingml/2006/picture">
                <pic:pic xmlns:pic="http://schemas.openxmlformats.org/drawingml/2006/picture">
                  <pic:nvPicPr>
                    <pic:cNvPr id="6" name="图片 6" descr="21591721296654_.pic"/>
                    <pic:cNvPicPr/>
                  </pic:nvPicPr>
                  <pic:blipFill>
                    <a:blip r:embed="rId10"/>
                    <a:stretch>
                      <a:fillRect/>
                    </a:stretch>
                  </pic:blipFill>
                  <pic:spPr>
                    <a:xfrm>
                      <a:off x="0" y="0"/>
                      <a:ext cx="1979930" cy="2160270"/>
                    </a:xfrm>
                    <a:prstGeom prst="rect">
                      <a:avLst/>
                    </a:prstGeom>
                  </pic:spPr>
                </pic:pic>
              </a:graphicData>
            </a:graphic>
          </wp:inline>
        </w:drawing>
      </w:r>
    </w:p>
    <w:p w14:paraId="6C430989" w14:textId="77777777" w:rsidR="00B03D76" w:rsidRDefault="00000000">
      <w:pPr>
        <w:tabs>
          <w:tab w:val="left" w:pos="2762"/>
        </w:tabs>
        <w:jc w:val="center"/>
        <w:rPr>
          <w:rFonts w:ascii="SimSun" w:eastAsia="SimSun" w:hAnsi="SimSun" w:cs="SimSun"/>
          <w:color w:val="000000" w:themeColor="text1"/>
          <w:kern w:val="0"/>
          <w:szCs w:val="21"/>
          <w:lang w:bidi="ar"/>
        </w:rPr>
      </w:pPr>
      <w:r>
        <w:rPr>
          <w:rFonts w:ascii="SimSun" w:eastAsia="SimSun" w:hAnsi="SimSun" w:cs="SimSun" w:hint="eastAsia"/>
        </w:rPr>
        <w:t xml:space="preserve">图6 </w:t>
      </w:r>
      <w:r>
        <w:rPr>
          <w:rFonts w:ascii="SimSun" w:eastAsia="SimSun" w:hAnsi="SimSun" w:cs="SimSun"/>
        </w:rPr>
        <w:t>lysine riboswitch</w:t>
      </w:r>
      <w:r>
        <w:rPr>
          <w:rFonts w:ascii="SimSun" w:eastAsia="SimSun" w:hAnsi="SimSun" w:cs="SimSun" w:hint="eastAsia"/>
        </w:rPr>
        <w:t>适体域的二级结构与三级结构</w:t>
      </w:r>
    </w:p>
    <w:p w14:paraId="62D1C806" w14:textId="77777777" w:rsidR="00B03D76" w:rsidRDefault="00B03D76">
      <w:pPr>
        <w:widowControl/>
        <w:jc w:val="center"/>
        <w:rPr>
          <w:rFonts w:ascii="SimSun" w:eastAsia="SimSun" w:hAnsi="SimSun" w:cs="SimSun"/>
          <w:color w:val="000000" w:themeColor="text1"/>
          <w:kern w:val="0"/>
          <w:szCs w:val="21"/>
          <w:lang w:bidi="ar"/>
        </w:rPr>
      </w:pPr>
    </w:p>
    <w:p w14:paraId="24F386BE" w14:textId="77777777" w:rsidR="00B03D76" w:rsidRDefault="00000000">
      <w:pPr>
        <w:widowControl/>
        <w:ind w:firstLineChars="200" w:firstLine="420"/>
        <w:jc w:val="left"/>
        <w:rPr>
          <w:rFonts w:ascii="Times New Roman Regular" w:eastAsia="SimSun" w:hAnsi="Times New Roman Regular" w:cs="Times New Roman Regular"/>
        </w:rPr>
      </w:pPr>
      <w:r>
        <w:rPr>
          <w:rFonts w:ascii="Times New Roman Regular" w:eastAsia="SimSun" w:hAnsi="Times New Roman Regular" w:cs="Times New Roman Regular"/>
        </w:rPr>
        <w:t>再进一步对结合位点分析后发现，</w:t>
      </w:r>
      <w:r>
        <w:rPr>
          <w:rFonts w:ascii="Times New Roman Regular" w:eastAsia="SimSun" w:hAnsi="Times New Roman Regular" w:cs="Times New Roman Regular"/>
        </w:rPr>
        <w:t>lysine riboswitch</w:t>
      </w:r>
      <w:r>
        <w:rPr>
          <w:rFonts w:ascii="Times New Roman Regular" w:eastAsia="SimSun" w:hAnsi="Times New Roman Regular" w:cs="Times New Roman Regular"/>
        </w:rPr>
        <w:t>与</w:t>
      </w:r>
      <w:r>
        <w:rPr>
          <w:rFonts w:ascii="Times New Roman Regular" w:eastAsia="SimSun" w:hAnsi="Times New Roman Regular" w:cs="Times New Roman Regular"/>
        </w:rPr>
        <w:t>lysine transport protein</w:t>
      </w:r>
      <w:r>
        <w:rPr>
          <w:rFonts w:ascii="Times New Roman Regular" w:eastAsia="SimSun" w:hAnsi="Times New Roman Regular" w:cs="Times New Roman Regular"/>
        </w:rPr>
        <w:t>尽管在组成成分、空间结构、理化特性等方面都存在显著差异，但对</w:t>
      </w:r>
      <w:r>
        <w:rPr>
          <w:rFonts w:ascii="Times New Roman Regular" w:eastAsia="SimSun" w:hAnsi="Times New Roman Regular" w:cs="Times New Roman Regular"/>
        </w:rPr>
        <w:t>lysine</w:t>
      </w:r>
      <w:r>
        <w:rPr>
          <w:rFonts w:ascii="Times New Roman Regular" w:eastAsia="SimSun" w:hAnsi="Times New Roman Regular" w:cs="Times New Roman Regular"/>
        </w:rPr>
        <w:t>的识别结合位点却表现出高度的相似性。</w:t>
      </w:r>
    </w:p>
    <w:p w14:paraId="2D84E477" w14:textId="77777777" w:rsidR="00B03D76" w:rsidRDefault="00B03D76">
      <w:pPr>
        <w:widowControl/>
        <w:ind w:firstLineChars="200" w:firstLine="420"/>
        <w:jc w:val="left"/>
        <w:rPr>
          <w:rFonts w:ascii="Times New Roman Regular" w:eastAsia="SimSun" w:hAnsi="Times New Roman Regular" w:cs="Times New Roman Regular"/>
        </w:rPr>
      </w:pPr>
    </w:p>
    <w:p w14:paraId="5E3D80F8" w14:textId="77777777" w:rsidR="00B03D76" w:rsidRDefault="00000000">
      <w:pPr>
        <w:widowControl/>
        <w:ind w:firstLineChars="200" w:firstLine="420"/>
        <w:jc w:val="center"/>
        <w:rPr>
          <w:rFonts w:ascii="SimSun" w:eastAsia="SimSun" w:hAnsi="SimSun" w:cs="SimSun"/>
        </w:rPr>
      </w:pPr>
      <w:r>
        <w:rPr>
          <w:rFonts w:ascii="SimSun" w:eastAsia="SimSun" w:hAnsi="SimSun" w:cs="SimSun"/>
          <w:noProof/>
        </w:rPr>
        <w:drawing>
          <wp:inline distT="0" distB="0" distL="114300" distR="114300" wp14:anchorId="34A3AED1" wp14:editId="0676684A">
            <wp:extent cx="3959860" cy="2160270"/>
            <wp:effectExtent l="0" t="0" r="2540" b="24130"/>
            <wp:docPr id="7" name="图片 7" descr="21601721306812_.pic_hd"/>
            <wp:cNvGraphicFramePr/>
            <a:graphic xmlns:a="http://schemas.openxmlformats.org/drawingml/2006/main">
              <a:graphicData uri="http://schemas.openxmlformats.org/drawingml/2006/picture">
                <pic:pic xmlns:pic="http://schemas.openxmlformats.org/drawingml/2006/picture">
                  <pic:nvPicPr>
                    <pic:cNvPr id="7" name="图片 7" descr="21601721306812_.pic_hd"/>
                    <pic:cNvPicPr/>
                  </pic:nvPicPr>
                  <pic:blipFill>
                    <a:blip r:embed="rId11"/>
                    <a:stretch>
                      <a:fillRect/>
                    </a:stretch>
                  </pic:blipFill>
                  <pic:spPr>
                    <a:xfrm>
                      <a:off x="0" y="0"/>
                      <a:ext cx="3959860" cy="2160270"/>
                    </a:xfrm>
                    <a:prstGeom prst="rect">
                      <a:avLst/>
                    </a:prstGeom>
                  </pic:spPr>
                </pic:pic>
              </a:graphicData>
            </a:graphic>
          </wp:inline>
        </w:drawing>
      </w:r>
    </w:p>
    <w:p w14:paraId="78899ED4" w14:textId="77777777" w:rsidR="00B03D76" w:rsidRDefault="00000000">
      <w:pPr>
        <w:tabs>
          <w:tab w:val="left" w:pos="2762"/>
        </w:tabs>
        <w:jc w:val="center"/>
        <w:rPr>
          <w:rFonts w:ascii="SimSun" w:eastAsia="SimSun" w:hAnsi="SimSun" w:cs="SimSun"/>
        </w:rPr>
      </w:pPr>
      <w:r>
        <w:rPr>
          <w:rFonts w:ascii="SimSun" w:eastAsia="SimSun" w:hAnsi="SimSun" w:cs="SimSun" w:hint="eastAsia"/>
        </w:rPr>
        <w:t>图7 lysine riboswitch与lysine</w:t>
      </w:r>
      <w:r>
        <w:rPr>
          <w:rFonts w:ascii="SimSun" w:eastAsia="SimSun" w:hAnsi="SimSun" w:cs="SimSun"/>
        </w:rPr>
        <w:t xml:space="preserve"> transport protein</w:t>
      </w:r>
      <w:r>
        <w:rPr>
          <w:rFonts w:ascii="SimSun" w:eastAsia="SimSun" w:hAnsi="SimSun" w:cs="SimSun" w:hint="eastAsia"/>
        </w:rPr>
        <w:t>与lysine的结合位点</w:t>
      </w:r>
    </w:p>
    <w:p w14:paraId="529F2B11" w14:textId="77777777" w:rsidR="00B03D76" w:rsidRDefault="00B03D76">
      <w:pPr>
        <w:tabs>
          <w:tab w:val="left" w:pos="2762"/>
        </w:tabs>
        <w:jc w:val="center"/>
        <w:rPr>
          <w:rFonts w:ascii="SimSun" w:eastAsia="SimSun" w:hAnsi="SimSun" w:cs="SimSun"/>
        </w:rPr>
      </w:pPr>
    </w:p>
    <w:p w14:paraId="3F441559"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教授教授强调目前对于适体域的研究已经较为深入，我们也应该更多关注当配体结合到适体域后，表达平台是如何影响这种变化以及后续是通过怎样的机制调节下游基因表达的。他形象地将适体域比做</w:t>
      </w:r>
      <w:r>
        <w:rPr>
          <w:rFonts w:ascii="Times New Roman Regular" w:eastAsia="SimSun" w:hAnsi="Times New Roman Regular" w:cs="Times New Roman Regular"/>
          <w:szCs w:val="21"/>
        </w:rPr>
        <w:t>input domain</w:t>
      </w:r>
      <w:r>
        <w:rPr>
          <w:rFonts w:ascii="Times New Roman Regular" w:eastAsia="SimSun" w:hAnsi="Times New Roman Regular" w:cs="Times New Roman Regular"/>
          <w:szCs w:val="21"/>
        </w:rPr>
        <w:t>，而表达平台则是</w:t>
      </w:r>
      <w:r>
        <w:rPr>
          <w:rFonts w:ascii="Times New Roman Regular" w:eastAsia="SimSun" w:hAnsi="Times New Roman Regular" w:cs="Times New Roman Regular"/>
          <w:szCs w:val="21"/>
        </w:rPr>
        <w:t>output domain</w:t>
      </w:r>
      <w:r>
        <w:rPr>
          <w:rFonts w:ascii="Times New Roman Regular" w:eastAsia="SimSun" w:hAnsi="Times New Roman Regular" w:cs="Times New Roman Regular"/>
          <w:szCs w:val="21"/>
        </w:rPr>
        <w:t>。配体起到效应分子的作用，通过其与适体域的结合，进而使表达平台开始变化，从而发挥作用。作为</w:t>
      </w:r>
      <w:r>
        <w:rPr>
          <w:rFonts w:ascii="Times New Roman Regular" w:eastAsia="SimSun" w:hAnsi="Times New Roman Regular" w:cs="Times New Roman Regular"/>
          <w:szCs w:val="21"/>
        </w:rPr>
        <w:t>output domain</w:t>
      </w:r>
      <w:r>
        <w:rPr>
          <w:rFonts w:ascii="Times New Roman Regular" w:eastAsia="SimSun" w:hAnsi="Times New Roman Regular" w:cs="Times New Roman Regular"/>
          <w:szCs w:val="21"/>
        </w:rPr>
        <w:t>的表达平台往往包含终止子</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抗终止子序列或核糖体结合位点序列信息，起到调控转录或翻译的作用。目前认为适体域结合配体后，表达平台通过三种机制进行响应，分别是</w:t>
      </w:r>
      <w:r>
        <w:rPr>
          <w:rFonts w:ascii="Times New Roman Regular" w:eastAsia="SimSun" w:hAnsi="Times New Roman Regular" w:cs="Times New Roman Regular"/>
          <w:szCs w:val="21"/>
        </w:rPr>
        <w:t>direct occlusion</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interdomain docking</w:t>
      </w:r>
      <w:r>
        <w:rPr>
          <w:rFonts w:ascii="Times New Roman Regular" w:eastAsia="SimSun" w:hAnsi="Times New Roman Regular" w:cs="Times New Roman Regular"/>
          <w:szCs w:val="21"/>
        </w:rPr>
        <w:t>以及</w:t>
      </w:r>
      <w:r>
        <w:rPr>
          <w:rFonts w:ascii="Times New Roman Regular" w:eastAsia="SimSun" w:hAnsi="Times New Roman Regular" w:cs="Times New Roman Regular"/>
          <w:szCs w:val="21"/>
        </w:rPr>
        <w:t>strand invasion</w:t>
      </w:r>
      <w:r>
        <w:rPr>
          <w:rFonts w:ascii="Times New Roman Regular" w:eastAsia="SimSun" w:hAnsi="Times New Roman Regular" w:cs="Times New Roman Regular"/>
          <w:szCs w:val="21"/>
        </w:rPr>
        <w:t>。</w:t>
      </w:r>
    </w:p>
    <w:p w14:paraId="31F3DFEF"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lastRenderedPageBreak/>
        <w:t>首先是</w:t>
      </w:r>
      <w:r>
        <w:rPr>
          <w:rFonts w:ascii="Times New Roman Regular" w:eastAsia="SimSun" w:hAnsi="Times New Roman Regular" w:cs="Times New Roman Regular"/>
          <w:szCs w:val="21"/>
        </w:rPr>
        <w:t>direct occlusion</w:t>
      </w:r>
      <w:r>
        <w:rPr>
          <w:rFonts w:ascii="Times New Roman Regular" w:eastAsia="SimSun" w:hAnsi="Times New Roman Regular" w:cs="Times New Roman Regular"/>
          <w:szCs w:val="21"/>
        </w:rPr>
        <w:t>，在这种机制中，</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教授以</w:t>
      </w:r>
      <w:r>
        <w:rPr>
          <w:rFonts w:ascii="Times New Roman Regular" w:eastAsia="SimSun" w:hAnsi="Times New Roman Regular" w:cs="Times New Roman Regular"/>
          <w:szCs w:val="21"/>
        </w:rPr>
        <w:t>SAM-II riboswitch</w:t>
      </w:r>
      <w:r>
        <w:rPr>
          <w:rFonts w:ascii="Times New Roman Regular" w:eastAsia="SimSun" w:hAnsi="Times New Roman Regular" w:cs="Times New Roman Regular"/>
          <w:szCs w:val="21"/>
        </w:rPr>
        <w:t>为例，适体域和表达平台往往形成一个整体不会分开成单独的两部分，当配体结合后，复合物形成的结构会对核糖体结合位点序列产生遮挡作用，使得核糖体无法与之结合，导致翻译的阻滞。</w:t>
      </w:r>
    </w:p>
    <w:p w14:paraId="73E29D2D"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7B4C0E1"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noProof/>
          <w:szCs w:val="21"/>
        </w:rPr>
        <w:drawing>
          <wp:inline distT="0" distB="0" distL="114300" distR="114300" wp14:anchorId="078B82A1" wp14:editId="0E1F0041">
            <wp:extent cx="3959860" cy="2160270"/>
            <wp:effectExtent l="0" t="0" r="2540" b="24130"/>
            <wp:docPr id="9" name="图片 9" descr="21621721313613_.pic"/>
            <wp:cNvGraphicFramePr/>
            <a:graphic xmlns:a="http://schemas.openxmlformats.org/drawingml/2006/main">
              <a:graphicData uri="http://schemas.openxmlformats.org/drawingml/2006/picture">
                <pic:pic xmlns:pic="http://schemas.openxmlformats.org/drawingml/2006/picture">
                  <pic:nvPicPr>
                    <pic:cNvPr id="9" name="图片 9" descr="21621721313613_.pic"/>
                    <pic:cNvPicPr/>
                  </pic:nvPicPr>
                  <pic:blipFill>
                    <a:blip r:embed="rId12"/>
                    <a:stretch>
                      <a:fillRect/>
                    </a:stretch>
                  </pic:blipFill>
                  <pic:spPr>
                    <a:xfrm>
                      <a:off x="0" y="0"/>
                      <a:ext cx="3959860" cy="2160270"/>
                    </a:xfrm>
                    <a:prstGeom prst="rect">
                      <a:avLst/>
                    </a:prstGeom>
                  </pic:spPr>
                </pic:pic>
              </a:graphicData>
            </a:graphic>
          </wp:inline>
        </w:drawing>
      </w:r>
    </w:p>
    <w:p w14:paraId="4C586967" w14:textId="77777777" w:rsidR="00B03D76" w:rsidRDefault="00000000">
      <w:pPr>
        <w:tabs>
          <w:tab w:val="left" w:pos="2762"/>
        </w:tabs>
        <w:jc w:val="center"/>
        <w:rPr>
          <w:rFonts w:ascii="SimSun" w:eastAsia="SimSun" w:hAnsi="SimSun" w:cs="SimSun"/>
        </w:rPr>
      </w:pPr>
      <w:r>
        <w:rPr>
          <w:rFonts w:ascii="SimSun" w:eastAsia="SimSun" w:hAnsi="SimSun" w:cs="SimSun" w:hint="eastAsia"/>
        </w:rPr>
        <w:t>图8 d</w:t>
      </w:r>
      <w:r>
        <w:rPr>
          <w:rFonts w:ascii="SimSun" w:eastAsia="SimSun" w:hAnsi="SimSun" w:cs="SimSun"/>
        </w:rPr>
        <w:t>irect occlusion</w:t>
      </w:r>
      <w:r>
        <w:rPr>
          <w:rFonts w:ascii="SimSun" w:eastAsia="SimSun" w:hAnsi="SimSun" w:cs="SimSun" w:hint="eastAsia"/>
        </w:rPr>
        <w:t>机制的原理图</w:t>
      </w:r>
    </w:p>
    <w:p w14:paraId="76D0834F" w14:textId="77777777" w:rsidR="00B03D76" w:rsidRDefault="00B03D76">
      <w:pPr>
        <w:tabs>
          <w:tab w:val="left" w:pos="2762"/>
        </w:tabs>
        <w:jc w:val="center"/>
        <w:rPr>
          <w:rFonts w:ascii="SimSun" w:eastAsia="SimSun" w:hAnsi="SimSun" w:cs="SimSun"/>
        </w:rPr>
      </w:pPr>
    </w:p>
    <w:p w14:paraId="384A674F" w14:textId="77777777" w:rsidR="00B03D76" w:rsidRDefault="00000000">
      <w:pPr>
        <w:tabs>
          <w:tab w:val="left" w:pos="2762"/>
        </w:tabs>
        <w:jc w:val="center"/>
        <w:rPr>
          <w:rFonts w:ascii="SimSun" w:eastAsia="SimSun" w:hAnsi="SimSun" w:cs="SimSun"/>
        </w:rPr>
      </w:pPr>
      <w:r>
        <w:rPr>
          <w:rFonts w:ascii="SimSun" w:eastAsia="SimSun" w:hAnsi="SimSun" w:cs="SimSun"/>
          <w:noProof/>
        </w:rPr>
        <w:drawing>
          <wp:inline distT="0" distB="0" distL="114300" distR="114300" wp14:anchorId="56598611" wp14:editId="43792CD1">
            <wp:extent cx="3959860" cy="2160270"/>
            <wp:effectExtent l="0" t="0" r="2540" b="24130"/>
            <wp:docPr id="10" name="图片 10" descr="21651721315027_.pic_hd"/>
            <wp:cNvGraphicFramePr/>
            <a:graphic xmlns:a="http://schemas.openxmlformats.org/drawingml/2006/main">
              <a:graphicData uri="http://schemas.openxmlformats.org/drawingml/2006/picture">
                <pic:pic xmlns:pic="http://schemas.openxmlformats.org/drawingml/2006/picture">
                  <pic:nvPicPr>
                    <pic:cNvPr id="10" name="图片 10" descr="21651721315027_.pic_hd"/>
                    <pic:cNvPicPr/>
                  </pic:nvPicPr>
                  <pic:blipFill>
                    <a:blip r:embed="rId13"/>
                    <a:stretch>
                      <a:fillRect/>
                    </a:stretch>
                  </pic:blipFill>
                  <pic:spPr>
                    <a:xfrm>
                      <a:off x="0" y="0"/>
                      <a:ext cx="3959860" cy="2160270"/>
                    </a:xfrm>
                    <a:prstGeom prst="rect">
                      <a:avLst/>
                    </a:prstGeom>
                  </pic:spPr>
                </pic:pic>
              </a:graphicData>
            </a:graphic>
          </wp:inline>
        </w:drawing>
      </w:r>
    </w:p>
    <w:p w14:paraId="196A140C" w14:textId="77777777" w:rsidR="00B03D76" w:rsidRDefault="00000000">
      <w:pPr>
        <w:tabs>
          <w:tab w:val="left" w:pos="2762"/>
        </w:tabs>
        <w:jc w:val="center"/>
        <w:rPr>
          <w:rFonts w:ascii="SimSun" w:eastAsia="SimSun" w:hAnsi="SimSun" w:cs="SimSun"/>
        </w:rPr>
      </w:pPr>
      <w:r>
        <w:rPr>
          <w:rFonts w:ascii="SimSun" w:eastAsia="SimSun" w:hAnsi="SimSun" w:cs="SimSun" w:hint="eastAsia"/>
        </w:rPr>
        <w:t>图9 SAM-</w:t>
      </w:r>
      <w:r>
        <w:rPr>
          <w:rFonts w:ascii="SimSun" w:eastAsia="SimSun" w:hAnsi="SimSun" w:cs="SimSun"/>
        </w:rPr>
        <w:t>II riboswitch</w:t>
      </w:r>
      <w:r>
        <w:rPr>
          <w:rFonts w:ascii="SimSun" w:eastAsia="SimSun" w:hAnsi="SimSun" w:cs="SimSun" w:hint="eastAsia"/>
        </w:rPr>
        <w:t>的二级结构与三级结构</w:t>
      </w:r>
    </w:p>
    <w:p w14:paraId="158FDBBD" w14:textId="77777777" w:rsidR="00B03D76" w:rsidRDefault="00B03D76">
      <w:pPr>
        <w:widowControl/>
        <w:ind w:firstLineChars="200" w:firstLine="420"/>
        <w:rPr>
          <w:rFonts w:ascii="SimSun" w:eastAsia="SimSun" w:hAnsi="SimSun" w:cs="SimSun"/>
        </w:rPr>
      </w:pPr>
    </w:p>
    <w:p w14:paraId="4AEDB129" w14:textId="77777777" w:rsidR="00B03D76" w:rsidRDefault="00000000">
      <w:pPr>
        <w:widowControl/>
        <w:ind w:firstLineChars="200" w:firstLine="420"/>
        <w:jc w:val="left"/>
        <w:rPr>
          <w:rFonts w:ascii="Times New Roman Regular" w:eastAsia="SimSun" w:hAnsi="Times New Roman Regular" w:cs="Times New Roman Regular"/>
        </w:rPr>
      </w:pPr>
      <w:r>
        <w:rPr>
          <w:rFonts w:ascii="Times New Roman Regular" w:eastAsia="SimSun" w:hAnsi="Times New Roman Regular" w:cs="Times New Roman Regular"/>
        </w:rPr>
        <w:t>2023</w:t>
      </w:r>
      <w:r>
        <w:rPr>
          <w:rFonts w:ascii="Times New Roman Regular" w:eastAsia="SimSun" w:hAnsi="Times New Roman Regular" w:cs="Times New Roman Regular"/>
        </w:rPr>
        <w:t>年</w:t>
      </w:r>
      <w:r>
        <w:rPr>
          <w:rFonts w:ascii="Times New Roman Regular" w:eastAsia="SimSun" w:hAnsi="Times New Roman Regular" w:cs="Times New Roman Regular"/>
        </w:rPr>
        <w:t>1</w:t>
      </w:r>
      <w:r>
        <w:rPr>
          <w:rFonts w:ascii="Times New Roman Regular" w:eastAsia="SimSun" w:hAnsi="Times New Roman Regular" w:cs="Times New Roman Regular"/>
        </w:rPr>
        <w:t>月清华大学方显杨团队发表的论文报道了</w:t>
      </w:r>
      <w:r>
        <w:rPr>
          <w:rFonts w:ascii="Times New Roman Regular" w:eastAsia="SimSun" w:hAnsi="Times New Roman Regular" w:cs="Times New Roman Regular"/>
        </w:rPr>
        <w:t>THF-II riboswitch</w:t>
      </w:r>
      <w:r>
        <w:rPr>
          <w:rFonts w:ascii="Times New Roman Regular" w:eastAsia="SimSun" w:hAnsi="Times New Roman Regular" w:cs="Times New Roman Regular"/>
        </w:rPr>
        <w:t>的晶体结构，研究发现当缺乏</w:t>
      </w:r>
      <w:r>
        <w:rPr>
          <w:rFonts w:ascii="Times New Roman Regular" w:eastAsia="SimSun" w:hAnsi="Times New Roman Regular" w:cs="Times New Roman Regular"/>
        </w:rPr>
        <w:t>Mg</w:t>
      </w:r>
      <w:r>
        <w:rPr>
          <w:rFonts w:ascii="Times New Roman Regular" w:eastAsia="SimSun" w:hAnsi="Times New Roman Regular" w:cs="Times New Roman Regular"/>
          <w:vertAlign w:val="superscript"/>
        </w:rPr>
        <w:t>2+</w:t>
      </w:r>
      <w:r>
        <w:rPr>
          <w:rFonts w:ascii="Times New Roman Regular" w:eastAsia="SimSun" w:hAnsi="Times New Roman Regular" w:cs="Times New Roman Regular"/>
        </w:rPr>
        <w:t>时，</w:t>
      </w:r>
      <w:r>
        <w:rPr>
          <w:rFonts w:ascii="Times New Roman Regular" w:eastAsia="SimSun" w:hAnsi="Times New Roman Regular" w:cs="Times New Roman Regular"/>
        </w:rPr>
        <w:t>THF-II riboswitch</w:t>
      </w:r>
      <w:r>
        <w:rPr>
          <w:rFonts w:ascii="Times New Roman Regular" w:eastAsia="SimSun" w:hAnsi="Times New Roman Regular" w:cs="Times New Roman Regular"/>
        </w:rPr>
        <w:t>的结合口袋未折叠或部分折叠，无法与配体结合。此时</w:t>
      </w:r>
      <w:r>
        <w:rPr>
          <w:rFonts w:ascii="Times New Roman Regular" w:eastAsia="SimSun" w:hAnsi="Times New Roman Regular" w:cs="Times New Roman Regular"/>
        </w:rPr>
        <w:t>P1</w:t>
      </w:r>
      <w:r>
        <w:rPr>
          <w:rFonts w:ascii="Times New Roman Regular" w:eastAsia="SimSun" w:hAnsi="Times New Roman Regular" w:cs="Times New Roman Regular"/>
        </w:rPr>
        <w:t>的核糖体结合位点序列易与核糖体结合。在存在</w:t>
      </w:r>
      <w:r>
        <w:rPr>
          <w:rFonts w:ascii="Times New Roman Regular" w:eastAsia="SimSun" w:hAnsi="Times New Roman Regular" w:cs="Times New Roman Regular"/>
        </w:rPr>
        <w:t>Mg</w:t>
      </w:r>
      <w:r>
        <w:rPr>
          <w:rFonts w:ascii="Times New Roman Regular" w:eastAsia="SimSun" w:hAnsi="Times New Roman Regular" w:cs="Times New Roman Regular"/>
          <w:vertAlign w:val="superscript"/>
        </w:rPr>
        <w:t>2+</w:t>
      </w:r>
      <w:r>
        <w:rPr>
          <w:rFonts w:ascii="Times New Roman Regular" w:eastAsia="SimSun" w:hAnsi="Times New Roman Regular" w:cs="Times New Roman Regular"/>
        </w:rPr>
        <w:t>时，结合口袋构象发生改变。</w:t>
      </w:r>
      <w:r>
        <w:rPr>
          <w:rFonts w:ascii="Times New Roman Regular" w:eastAsia="SimSun" w:hAnsi="Times New Roman Regular" w:cs="Times New Roman Regular"/>
        </w:rPr>
        <w:t>P1</w:t>
      </w:r>
      <w:r>
        <w:rPr>
          <w:rFonts w:ascii="Times New Roman Regular" w:eastAsia="SimSun" w:hAnsi="Times New Roman Regular" w:cs="Times New Roman Regular"/>
        </w:rPr>
        <w:t>双螺旋稳定性增强导致核糖体的结合能力减弱。</w:t>
      </w:r>
      <w:r>
        <w:rPr>
          <w:rFonts w:ascii="Times New Roman Regular" w:eastAsia="SimSun" w:hAnsi="Times New Roman Regular" w:cs="Times New Roman Regular"/>
        </w:rPr>
        <w:t>Mg</w:t>
      </w:r>
      <w:r>
        <w:rPr>
          <w:rFonts w:ascii="Times New Roman Regular" w:eastAsia="SimSun" w:hAnsi="Times New Roman Regular" w:cs="Times New Roman Regular"/>
          <w:vertAlign w:val="superscript"/>
        </w:rPr>
        <w:t>2+</w:t>
      </w:r>
      <w:r>
        <w:rPr>
          <w:rFonts w:ascii="Times New Roman Regular" w:eastAsia="SimSun" w:hAnsi="Times New Roman Regular" w:cs="Times New Roman Regular"/>
        </w:rPr>
        <w:t>和配体同时存在条件下，</w:t>
      </w:r>
      <w:r>
        <w:rPr>
          <w:rFonts w:ascii="Times New Roman Regular" w:eastAsia="SimSun" w:hAnsi="Times New Roman Regular" w:cs="Times New Roman Regular"/>
        </w:rPr>
        <w:t>riboswitch</w:t>
      </w:r>
      <w:r>
        <w:rPr>
          <w:rFonts w:ascii="Times New Roman Regular" w:eastAsia="SimSun" w:hAnsi="Times New Roman Regular" w:cs="Times New Roman Regular"/>
        </w:rPr>
        <w:t>进一步发生共轴堆积变化，最终形成棒状结构。核糖体无法结合，下游翻译被抑制。有趣的是，在本次研究中发现当结合配体后，</w:t>
      </w:r>
      <w:r>
        <w:rPr>
          <w:rFonts w:ascii="Times New Roman Regular" w:eastAsia="SimSun" w:hAnsi="Times New Roman Regular" w:cs="Times New Roman Regular"/>
        </w:rPr>
        <w:t>P1</w:t>
      </w:r>
      <w:r>
        <w:rPr>
          <w:rFonts w:ascii="Times New Roman Regular" w:eastAsia="SimSun" w:hAnsi="Times New Roman Regular" w:cs="Times New Roman Regular"/>
        </w:rPr>
        <w:t>右臂的核糖体结合位点序列在原有三个经典配对的基础上还与左臂的序列形成了三个非经典的碱基配对，这些较强的相互作用不仅稳定了</w:t>
      </w:r>
      <w:r>
        <w:rPr>
          <w:rFonts w:ascii="Times New Roman Regular" w:eastAsia="SimSun" w:hAnsi="Times New Roman Regular" w:cs="Times New Roman Regular"/>
        </w:rPr>
        <w:t>P1</w:t>
      </w:r>
      <w:r>
        <w:rPr>
          <w:rFonts w:ascii="Times New Roman Regular" w:eastAsia="SimSun" w:hAnsi="Times New Roman Regular" w:cs="Times New Roman Regular"/>
        </w:rPr>
        <w:t>的螺旋结构，还使得核糖体无法结合位点进行翻译。此外，</w:t>
      </w:r>
      <w:r>
        <w:rPr>
          <w:rFonts w:ascii="Times New Roman Regular" w:eastAsia="SimSun" w:hAnsi="Times New Roman Regular" w:cs="Times New Roman Regular"/>
        </w:rPr>
        <w:t>RNase H</w:t>
      </w:r>
      <w:r>
        <w:rPr>
          <w:rFonts w:ascii="Times New Roman Regular" w:eastAsia="SimSun" w:hAnsi="Times New Roman Regular" w:cs="Times New Roman Regular"/>
        </w:rPr>
        <w:t>切割实验表明配体结合后减少了核糖体结合位点序列的暴露，可及性降低，说明配体的结合也导致了遮挡作用，正是第一种机制的典型体现。</w:t>
      </w:r>
    </w:p>
    <w:p w14:paraId="1BB24105" w14:textId="77777777" w:rsidR="00B03D76" w:rsidRDefault="00B03D76">
      <w:pPr>
        <w:widowControl/>
        <w:ind w:firstLineChars="200" w:firstLine="420"/>
        <w:jc w:val="left"/>
        <w:rPr>
          <w:rFonts w:ascii="SimSun" w:eastAsia="SimSun" w:hAnsi="SimSun" w:cs="SimSun"/>
        </w:rPr>
      </w:pPr>
    </w:p>
    <w:p w14:paraId="20752F77" w14:textId="77777777" w:rsidR="00B03D76" w:rsidRDefault="00000000">
      <w:pPr>
        <w:widowControl/>
        <w:ind w:firstLineChars="200" w:firstLine="420"/>
        <w:jc w:val="center"/>
        <w:rPr>
          <w:rFonts w:ascii="SimSun" w:eastAsia="SimSun" w:hAnsi="SimSun" w:cs="SimSun"/>
        </w:rPr>
      </w:pPr>
      <w:r>
        <w:rPr>
          <w:rFonts w:ascii="SimSun" w:eastAsia="SimSun" w:hAnsi="SimSun" w:cs="SimSun"/>
          <w:noProof/>
        </w:rPr>
        <w:lastRenderedPageBreak/>
        <w:drawing>
          <wp:inline distT="0" distB="0" distL="114300" distR="114300" wp14:anchorId="1AB92452" wp14:editId="4BB321D3">
            <wp:extent cx="3959860" cy="2160270"/>
            <wp:effectExtent l="0" t="0" r="2540" b="24130"/>
            <wp:docPr id="12" name="图片 12" descr="21671721316206_.pic"/>
            <wp:cNvGraphicFramePr/>
            <a:graphic xmlns:a="http://schemas.openxmlformats.org/drawingml/2006/main">
              <a:graphicData uri="http://schemas.openxmlformats.org/drawingml/2006/picture">
                <pic:pic xmlns:pic="http://schemas.openxmlformats.org/drawingml/2006/picture">
                  <pic:nvPicPr>
                    <pic:cNvPr id="12" name="图片 12" descr="21671721316206_.pic"/>
                    <pic:cNvPicPr/>
                  </pic:nvPicPr>
                  <pic:blipFill>
                    <a:blip r:embed="rId14"/>
                    <a:stretch>
                      <a:fillRect/>
                    </a:stretch>
                  </pic:blipFill>
                  <pic:spPr>
                    <a:xfrm>
                      <a:off x="0" y="0"/>
                      <a:ext cx="3959860" cy="2160270"/>
                    </a:xfrm>
                    <a:prstGeom prst="rect">
                      <a:avLst/>
                    </a:prstGeom>
                  </pic:spPr>
                </pic:pic>
              </a:graphicData>
            </a:graphic>
          </wp:inline>
        </w:drawing>
      </w:r>
    </w:p>
    <w:p w14:paraId="4AAAA91E" w14:textId="77777777" w:rsidR="00B03D76" w:rsidRDefault="00000000">
      <w:pPr>
        <w:tabs>
          <w:tab w:val="left" w:pos="2762"/>
        </w:tabs>
        <w:jc w:val="center"/>
        <w:rPr>
          <w:rFonts w:ascii="SimSun" w:eastAsia="SimSun" w:hAnsi="SimSun" w:cs="SimSun"/>
        </w:rPr>
      </w:pPr>
      <w:r>
        <w:rPr>
          <w:rFonts w:ascii="SimSun" w:eastAsia="SimSun" w:hAnsi="SimSun" w:cs="SimSun" w:hint="eastAsia"/>
        </w:rPr>
        <w:t>图10 THF-II riboswitch调节翻译的机制</w:t>
      </w:r>
    </w:p>
    <w:p w14:paraId="1026C948" w14:textId="77777777" w:rsidR="00B03D76" w:rsidRDefault="00B03D76">
      <w:pPr>
        <w:tabs>
          <w:tab w:val="left" w:pos="2762"/>
        </w:tabs>
        <w:jc w:val="center"/>
        <w:rPr>
          <w:rFonts w:ascii="SimSun" w:eastAsia="SimSun" w:hAnsi="SimSun" w:cs="SimSun"/>
        </w:rPr>
      </w:pPr>
    </w:p>
    <w:p w14:paraId="3B04796B" w14:textId="77777777" w:rsidR="00B03D76" w:rsidRDefault="00000000">
      <w:pPr>
        <w:widowControl/>
        <w:ind w:firstLineChars="200" w:firstLine="420"/>
        <w:jc w:val="left"/>
        <w:rPr>
          <w:rFonts w:ascii="Times New Roman Regular" w:eastAsia="SimSun" w:hAnsi="Times New Roman Regular" w:cs="Times New Roman Regular"/>
        </w:rPr>
      </w:pPr>
      <w:r>
        <w:rPr>
          <w:rFonts w:ascii="Times New Roman Regular" w:eastAsia="SimSun" w:hAnsi="Times New Roman Regular" w:cs="Times New Roman Regular"/>
        </w:rPr>
        <w:t>其次是</w:t>
      </w:r>
      <w:r>
        <w:rPr>
          <w:rFonts w:ascii="Times New Roman Regular" w:eastAsia="SimSun" w:hAnsi="Times New Roman Regular" w:cs="Times New Roman Regular"/>
        </w:rPr>
        <w:t>interdomain docking</w:t>
      </w:r>
      <w:r>
        <w:rPr>
          <w:rFonts w:ascii="Times New Roman Regular" w:eastAsia="SimSun" w:hAnsi="Times New Roman Regular" w:cs="Times New Roman Regular"/>
        </w:rPr>
        <w:t>，在这种机制中，适体域和表达平台间是分隔开的。当配体结合到适体域后，表达平台与适体域可以发生相互作用，也会起到遮挡核糖体结合位点序列的作用，从而影响翻译过程。</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教授以</w:t>
      </w:r>
      <w:r>
        <w:rPr>
          <w:rFonts w:ascii="Times New Roman Regular" w:eastAsia="SimSun" w:hAnsi="Times New Roman Regular" w:cs="Times New Roman Regular"/>
          <w:szCs w:val="21"/>
        </w:rPr>
        <w:t>c</w:t>
      </w:r>
      <w:r>
        <w:rPr>
          <w:rFonts w:ascii="Times New Roman Regular" w:eastAsia="SimSun" w:hAnsi="Times New Roman Regular" w:cs="Times New Roman Regular"/>
        </w:rPr>
        <w:t>obalamin riboswitch</w:t>
      </w:r>
      <w:r>
        <w:rPr>
          <w:rFonts w:ascii="Times New Roman Regular" w:eastAsia="SimSun" w:hAnsi="Times New Roman Regular" w:cs="Times New Roman Regular"/>
        </w:rPr>
        <w:t>为例向我们介绍了具体的机制，当</w:t>
      </w:r>
      <w:r>
        <w:rPr>
          <w:rFonts w:ascii="Times New Roman Regular" w:eastAsia="SimSun" w:hAnsi="Times New Roman Regular" w:cs="Times New Roman Regular"/>
        </w:rPr>
        <w:t>cobalamin</w:t>
      </w:r>
      <w:r>
        <w:rPr>
          <w:rFonts w:ascii="Times New Roman Regular" w:eastAsia="SimSun" w:hAnsi="Times New Roman Regular" w:cs="Times New Roman Regular"/>
        </w:rPr>
        <w:t>结合到适体域后，复合物形成的结构允许表达平台</w:t>
      </w:r>
      <w:r>
        <w:rPr>
          <w:rFonts w:ascii="Times New Roman Regular" w:eastAsia="SimSun" w:hAnsi="Times New Roman Regular" w:cs="Times New Roman Regular"/>
        </w:rPr>
        <w:t>“</w:t>
      </w:r>
      <w:r>
        <w:rPr>
          <w:rFonts w:ascii="Times New Roman Regular" w:eastAsia="SimSun" w:hAnsi="Times New Roman Regular" w:cs="Times New Roman Regular"/>
        </w:rPr>
        <w:t>停靠</w:t>
      </w:r>
      <w:r>
        <w:rPr>
          <w:rFonts w:ascii="Times New Roman Regular" w:eastAsia="SimSun" w:hAnsi="Times New Roman Regular" w:cs="Times New Roman Regular"/>
        </w:rPr>
        <w:t>”</w:t>
      </w:r>
      <w:r>
        <w:rPr>
          <w:rFonts w:ascii="Times New Roman Regular" w:eastAsia="SimSun" w:hAnsi="Times New Roman Regular" w:cs="Times New Roman Regular"/>
        </w:rPr>
        <w:t>并发生相互作用，含有核糖体结合位点序列的</w:t>
      </w:r>
      <w:r>
        <w:rPr>
          <w:rFonts w:ascii="Times New Roman Regular" w:eastAsia="SimSun" w:hAnsi="Times New Roman Regular" w:cs="Times New Roman Regular"/>
        </w:rPr>
        <w:t>L14</w:t>
      </w:r>
      <w:r>
        <w:rPr>
          <w:rFonts w:ascii="Times New Roman Regular" w:eastAsia="SimSun" w:hAnsi="Times New Roman Regular" w:cs="Times New Roman Regular"/>
        </w:rPr>
        <w:t>与适体域的</w:t>
      </w:r>
      <w:r>
        <w:rPr>
          <w:rFonts w:ascii="Times New Roman Regular" w:eastAsia="SimSun" w:hAnsi="Times New Roman Regular" w:cs="Times New Roman Regular"/>
        </w:rPr>
        <w:t>L5</w:t>
      </w:r>
      <w:r>
        <w:rPr>
          <w:rFonts w:ascii="Times New Roman Regular" w:eastAsia="SimSun" w:hAnsi="Times New Roman Regular" w:cs="Times New Roman Regular"/>
        </w:rPr>
        <w:t>间会发生环环相互作用形成碱基配对。同时研究人员还发现</w:t>
      </w:r>
      <w:r>
        <w:rPr>
          <w:rFonts w:ascii="Times New Roman Regular" w:eastAsia="SimSun" w:hAnsi="Times New Roman Regular" w:cs="Times New Roman Regular"/>
        </w:rPr>
        <w:t>cobalamin</w:t>
      </w:r>
      <w:r>
        <w:rPr>
          <w:rFonts w:ascii="Times New Roman Regular" w:eastAsia="SimSun" w:hAnsi="Times New Roman Regular" w:cs="Times New Roman Regular"/>
        </w:rPr>
        <w:t>也会提供一部分表面以稳定这种相互作用，在上述的机理下，核糖体结合位点序列不仅与适体域形成较强的相互作用且也因为空间结构的遮挡使得序列暴露程度降低，核糖体无法结合，导致翻译过程受阻。</w:t>
      </w:r>
    </w:p>
    <w:p w14:paraId="35B2C26E" w14:textId="77777777" w:rsidR="00B03D76" w:rsidRDefault="00B03D76">
      <w:pPr>
        <w:widowControl/>
        <w:ind w:firstLineChars="200" w:firstLine="420"/>
        <w:jc w:val="left"/>
        <w:rPr>
          <w:rFonts w:ascii="SimSun" w:eastAsia="SimSun" w:hAnsi="SimSun" w:cs="SimSun"/>
        </w:rPr>
      </w:pPr>
    </w:p>
    <w:p w14:paraId="25D9D785" w14:textId="77777777" w:rsidR="00B03D76" w:rsidRDefault="00000000">
      <w:pPr>
        <w:tabs>
          <w:tab w:val="left" w:pos="2762"/>
        </w:tabs>
        <w:jc w:val="center"/>
        <w:rPr>
          <w:rFonts w:ascii="SimSun" w:eastAsia="SimSun" w:hAnsi="SimSun" w:cs="SimSun"/>
        </w:rPr>
      </w:pPr>
      <w:r>
        <w:rPr>
          <w:rFonts w:ascii="SimSun" w:eastAsia="SimSun" w:hAnsi="SimSun" w:cs="SimSun"/>
          <w:noProof/>
        </w:rPr>
        <w:drawing>
          <wp:inline distT="0" distB="0" distL="114300" distR="114300" wp14:anchorId="322572CC" wp14:editId="61B1B919">
            <wp:extent cx="3959860" cy="2160270"/>
            <wp:effectExtent l="0" t="0" r="2540" b="24130"/>
            <wp:docPr id="13" name="图片 13" descr="21691721351119_.pic"/>
            <wp:cNvGraphicFramePr/>
            <a:graphic xmlns:a="http://schemas.openxmlformats.org/drawingml/2006/main">
              <a:graphicData uri="http://schemas.openxmlformats.org/drawingml/2006/picture">
                <pic:pic xmlns:pic="http://schemas.openxmlformats.org/drawingml/2006/picture">
                  <pic:nvPicPr>
                    <pic:cNvPr id="13" name="图片 13" descr="21691721351119_.pic"/>
                    <pic:cNvPicPr/>
                  </pic:nvPicPr>
                  <pic:blipFill>
                    <a:blip r:embed="rId15"/>
                    <a:stretch>
                      <a:fillRect/>
                    </a:stretch>
                  </pic:blipFill>
                  <pic:spPr>
                    <a:xfrm>
                      <a:off x="0" y="0"/>
                      <a:ext cx="3959860" cy="2160270"/>
                    </a:xfrm>
                    <a:prstGeom prst="rect">
                      <a:avLst/>
                    </a:prstGeom>
                  </pic:spPr>
                </pic:pic>
              </a:graphicData>
            </a:graphic>
          </wp:inline>
        </w:drawing>
      </w:r>
    </w:p>
    <w:p w14:paraId="312DCFD3" w14:textId="77777777" w:rsidR="00B03D76" w:rsidRDefault="00000000">
      <w:pPr>
        <w:tabs>
          <w:tab w:val="left" w:pos="2762"/>
        </w:tabs>
        <w:jc w:val="center"/>
        <w:rPr>
          <w:rFonts w:ascii="SimSun" w:eastAsia="SimSun" w:hAnsi="SimSun" w:cs="SimSun"/>
        </w:rPr>
      </w:pPr>
      <w:r>
        <w:rPr>
          <w:rFonts w:ascii="SimSun" w:eastAsia="SimSun" w:hAnsi="SimSun" w:cs="SimSun" w:hint="eastAsia"/>
        </w:rPr>
        <w:t>图11 interdomain</w:t>
      </w:r>
      <w:r>
        <w:rPr>
          <w:rFonts w:ascii="SimSun" w:eastAsia="SimSun" w:hAnsi="SimSun" w:cs="SimSun"/>
        </w:rPr>
        <w:t xml:space="preserve"> dock</w:t>
      </w:r>
      <w:r>
        <w:rPr>
          <w:rFonts w:ascii="SimSun" w:eastAsia="SimSun" w:hAnsi="SimSun" w:cs="SimSun" w:hint="eastAsia"/>
        </w:rPr>
        <w:t>ing机制的原理图</w:t>
      </w:r>
    </w:p>
    <w:p w14:paraId="458AA892" w14:textId="77777777" w:rsidR="00B03D76" w:rsidRDefault="00B03D76">
      <w:pPr>
        <w:tabs>
          <w:tab w:val="left" w:pos="2762"/>
        </w:tabs>
        <w:jc w:val="center"/>
        <w:rPr>
          <w:rFonts w:ascii="SimSun" w:eastAsia="SimSun" w:hAnsi="SimSun" w:cs="SimSun"/>
        </w:rPr>
      </w:pPr>
    </w:p>
    <w:p w14:paraId="7371B77C" w14:textId="77777777" w:rsidR="00B03D76" w:rsidRDefault="00000000">
      <w:pPr>
        <w:tabs>
          <w:tab w:val="left" w:pos="2762"/>
        </w:tabs>
        <w:jc w:val="center"/>
        <w:rPr>
          <w:rFonts w:ascii="SimSun" w:eastAsia="SimSun" w:hAnsi="SimSun" w:cs="SimSun"/>
        </w:rPr>
      </w:pPr>
      <w:r>
        <w:rPr>
          <w:rFonts w:ascii="SimSun" w:eastAsia="SimSun" w:hAnsi="SimSun" w:cs="SimSun"/>
          <w:noProof/>
        </w:rPr>
        <w:lastRenderedPageBreak/>
        <w:drawing>
          <wp:inline distT="0" distB="0" distL="114300" distR="114300" wp14:anchorId="7A16EEBD" wp14:editId="5CD1AFC3">
            <wp:extent cx="1979930" cy="2160270"/>
            <wp:effectExtent l="0" t="0" r="1270" b="24130"/>
            <wp:docPr id="14" name="图片 14" descr="21711721352069_.pic"/>
            <wp:cNvGraphicFramePr/>
            <a:graphic xmlns:a="http://schemas.openxmlformats.org/drawingml/2006/main">
              <a:graphicData uri="http://schemas.openxmlformats.org/drawingml/2006/picture">
                <pic:pic xmlns:pic="http://schemas.openxmlformats.org/drawingml/2006/picture">
                  <pic:nvPicPr>
                    <pic:cNvPr id="14" name="图片 14" descr="21711721352069_.pic"/>
                    <pic:cNvPicPr/>
                  </pic:nvPicPr>
                  <pic:blipFill>
                    <a:blip r:embed="rId16"/>
                    <a:stretch>
                      <a:fillRect/>
                    </a:stretch>
                  </pic:blipFill>
                  <pic:spPr>
                    <a:xfrm>
                      <a:off x="0" y="0"/>
                      <a:ext cx="1979930" cy="2160270"/>
                    </a:xfrm>
                    <a:prstGeom prst="rect">
                      <a:avLst/>
                    </a:prstGeom>
                  </pic:spPr>
                </pic:pic>
              </a:graphicData>
            </a:graphic>
          </wp:inline>
        </w:drawing>
      </w:r>
      <w:r>
        <w:rPr>
          <w:rFonts w:ascii="SimSun" w:eastAsia="SimSun" w:hAnsi="SimSun" w:cs="SimSun"/>
          <w:noProof/>
        </w:rPr>
        <w:drawing>
          <wp:inline distT="0" distB="0" distL="114300" distR="114300" wp14:anchorId="7350A347" wp14:editId="7794DA05">
            <wp:extent cx="1979930" cy="2160270"/>
            <wp:effectExtent l="0" t="0" r="1270" b="24130"/>
            <wp:docPr id="15" name="图片 15" descr="21721721352208_.pic"/>
            <wp:cNvGraphicFramePr/>
            <a:graphic xmlns:a="http://schemas.openxmlformats.org/drawingml/2006/main">
              <a:graphicData uri="http://schemas.openxmlformats.org/drawingml/2006/picture">
                <pic:pic xmlns:pic="http://schemas.openxmlformats.org/drawingml/2006/picture">
                  <pic:nvPicPr>
                    <pic:cNvPr id="15" name="图片 15" descr="21721721352208_.pic"/>
                    <pic:cNvPicPr/>
                  </pic:nvPicPr>
                  <pic:blipFill>
                    <a:blip r:embed="rId17"/>
                    <a:stretch>
                      <a:fillRect/>
                    </a:stretch>
                  </pic:blipFill>
                  <pic:spPr>
                    <a:xfrm>
                      <a:off x="0" y="0"/>
                      <a:ext cx="1979930" cy="2160270"/>
                    </a:xfrm>
                    <a:prstGeom prst="rect">
                      <a:avLst/>
                    </a:prstGeom>
                  </pic:spPr>
                </pic:pic>
              </a:graphicData>
            </a:graphic>
          </wp:inline>
        </w:drawing>
      </w:r>
    </w:p>
    <w:p w14:paraId="6C991711" w14:textId="77777777" w:rsidR="00B03D76" w:rsidRDefault="00000000">
      <w:pPr>
        <w:tabs>
          <w:tab w:val="left" w:pos="2762"/>
        </w:tabs>
        <w:jc w:val="center"/>
        <w:rPr>
          <w:rFonts w:ascii="SimSun" w:eastAsia="SimSun" w:hAnsi="SimSun" w:cs="SimSun"/>
        </w:rPr>
      </w:pPr>
      <w:r>
        <w:rPr>
          <w:rFonts w:ascii="SimSun" w:eastAsia="SimSun" w:hAnsi="SimSun" w:cs="SimSun" w:hint="eastAsia"/>
        </w:rPr>
        <w:t>图12 cobala</w:t>
      </w:r>
      <w:r>
        <w:rPr>
          <w:rFonts w:ascii="SimSun" w:eastAsia="SimSun" w:hAnsi="SimSun" w:cs="SimSun"/>
        </w:rPr>
        <w:t>min</w:t>
      </w:r>
      <w:r>
        <w:rPr>
          <w:rFonts w:ascii="SimSun" w:eastAsia="SimSun" w:hAnsi="SimSun" w:cs="SimSun" w:hint="eastAsia"/>
        </w:rPr>
        <w:t xml:space="preserve"> riboswitch中表达平台和适体域间的相互作用</w:t>
      </w:r>
    </w:p>
    <w:p w14:paraId="4816CD27" w14:textId="77777777" w:rsidR="00B03D76" w:rsidRDefault="00B03D76">
      <w:pPr>
        <w:tabs>
          <w:tab w:val="left" w:pos="2762"/>
        </w:tabs>
        <w:ind w:firstLineChars="200" w:firstLine="420"/>
        <w:rPr>
          <w:rFonts w:ascii="SimSun" w:eastAsia="SimSun" w:hAnsi="SimSun" w:cs="SimSun"/>
          <w:i/>
          <w:iCs/>
        </w:rPr>
      </w:pPr>
    </w:p>
    <w:p w14:paraId="2DC93340" w14:textId="77777777" w:rsidR="00B03D76" w:rsidRDefault="00000000">
      <w:pPr>
        <w:tabs>
          <w:tab w:val="left" w:pos="2762"/>
        </w:tabs>
        <w:ind w:firstLineChars="200" w:firstLine="420"/>
        <w:rPr>
          <w:rFonts w:ascii="Times New Roman Regular" w:eastAsia="SimSun" w:hAnsi="Times New Roman Regular" w:cs="Times New Roman Regular"/>
        </w:rPr>
      </w:pPr>
      <w:r>
        <w:rPr>
          <w:rFonts w:ascii="Times New Roman Regular" w:eastAsia="SimSun" w:hAnsi="Times New Roman Regular" w:cs="Times New Roman Regular"/>
        </w:rPr>
        <w:t>第三种机制是</w:t>
      </w:r>
      <w:r>
        <w:rPr>
          <w:rFonts w:ascii="Times New Roman Regular" w:eastAsia="SimSun" w:hAnsi="Times New Roman Regular" w:cs="Times New Roman Regular"/>
        </w:rPr>
        <w:t>strand invasion</w:t>
      </w:r>
      <w:r>
        <w:rPr>
          <w:rFonts w:ascii="Times New Roman Regular" w:eastAsia="SimSun" w:hAnsi="Times New Roman Regular" w:cs="Times New Roman Regular"/>
        </w:rPr>
        <w:t>，也是最普遍存在的一种机制，大约有</w:t>
      </w:r>
      <w:r>
        <w:rPr>
          <w:rFonts w:ascii="Times New Roman Regular" w:eastAsia="SimSun" w:hAnsi="Times New Roman Regular" w:cs="Times New Roman Regular"/>
        </w:rPr>
        <w:t>90%</w:t>
      </w:r>
      <w:r>
        <w:rPr>
          <w:rFonts w:ascii="Times New Roman Regular" w:eastAsia="SimSun" w:hAnsi="Times New Roman Regular" w:cs="Times New Roman Regular"/>
        </w:rPr>
        <w:t>以上的</w:t>
      </w:r>
      <w:r>
        <w:rPr>
          <w:rFonts w:ascii="Times New Roman Regular" w:eastAsia="SimSun" w:hAnsi="Times New Roman Regular" w:cs="Times New Roman Regular"/>
        </w:rPr>
        <w:t>riboswitch</w:t>
      </w:r>
      <w:r>
        <w:rPr>
          <w:rFonts w:ascii="Times New Roman Regular" w:eastAsia="SimSun" w:hAnsi="Times New Roman Regular" w:cs="Times New Roman Regular"/>
        </w:rPr>
        <w:t>都采用这种方式调节基因表达。在这种机制中，配体结合到适体域时，</w:t>
      </w:r>
      <w:r>
        <w:rPr>
          <w:rFonts w:ascii="Times New Roman Regular" w:eastAsia="SimSun" w:hAnsi="Times New Roman Regular" w:cs="Times New Roman Regular"/>
        </w:rPr>
        <w:t>switching sequence</w:t>
      </w:r>
      <w:r>
        <w:rPr>
          <w:rFonts w:ascii="Times New Roman Regular" w:eastAsia="SimSun" w:hAnsi="Times New Roman Regular" w:cs="Times New Roman Regular"/>
        </w:rPr>
        <w:t>（红色序列）整合在抗终止子茎环中，此时转录可以正常进行，而当配体结合到适体域后，表达平台中的</w:t>
      </w:r>
      <w:r>
        <w:rPr>
          <w:rFonts w:ascii="Times New Roman Regular" w:eastAsia="SimSun" w:hAnsi="Times New Roman Regular" w:cs="Times New Roman Regular"/>
        </w:rPr>
        <w:t>switching sequence</w:t>
      </w:r>
      <w:r>
        <w:rPr>
          <w:rFonts w:ascii="Times New Roman Regular" w:eastAsia="SimSun" w:hAnsi="Times New Roman Regular" w:cs="Times New Roman Regular"/>
        </w:rPr>
        <w:t>会</w:t>
      </w:r>
      <w:r>
        <w:rPr>
          <w:rFonts w:ascii="Times New Roman Regular" w:eastAsia="SimSun" w:hAnsi="Times New Roman Regular" w:cs="Times New Roman Regular"/>
        </w:rPr>
        <w:t>“</w:t>
      </w:r>
      <w:r>
        <w:rPr>
          <w:rFonts w:ascii="Times New Roman Regular" w:eastAsia="SimSun" w:hAnsi="Times New Roman Regular" w:cs="Times New Roman Regular"/>
        </w:rPr>
        <w:t>入侵</w:t>
      </w:r>
      <w:r>
        <w:rPr>
          <w:rFonts w:ascii="Times New Roman Regular" w:eastAsia="SimSun" w:hAnsi="Times New Roman Regular" w:cs="Times New Roman Regular"/>
        </w:rPr>
        <w:t>”</w:t>
      </w:r>
      <w:r>
        <w:rPr>
          <w:rFonts w:ascii="Times New Roman Regular" w:eastAsia="SimSun" w:hAnsi="Times New Roman Regular" w:cs="Times New Roman Regular"/>
        </w:rPr>
        <w:t>到适体域中形成配对，从而稳定</w:t>
      </w:r>
      <w:r>
        <w:rPr>
          <w:rFonts w:ascii="Times New Roman Regular" w:eastAsia="SimSun" w:hAnsi="Times New Roman Regular" w:cs="Times New Roman Regular"/>
        </w:rPr>
        <w:t>P1</w:t>
      </w:r>
      <w:r>
        <w:rPr>
          <w:rFonts w:ascii="Times New Roman Regular" w:eastAsia="SimSun" w:hAnsi="Times New Roman Regular" w:cs="Times New Roman Regular"/>
        </w:rPr>
        <w:t>茎环结构，与此同时表达平台的构象也发生变化，形成终止子茎环结构，导致下游转录过程终止。</w:t>
      </w:r>
    </w:p>
    <w:p w14:paraId="1ABFEF2D" w14:textId="77777777" w:rsidR="00B03D76" w:rsidRDefault="00B03D76">
      <w:pPr>
        <w:tabs>
          <w:tab w:val="left" w:pos="2762"/>
        </w:tabs>
        <w:ind w:firstLineChars="200" w:firstLine="420"/>
        <w:rPr>
          <w:rFonts w:ascii="SimSun" w:eastAsia="SimSun" w:hAnsi="SimSun" w:cs="SimSun"/>
        </w:rPr>
      </w:pPr>
    </w:p>
    <w:p w14:paraId="50474B6B" w14:textId="77777777" w:rsidR="00B03D76" w:rsidRDefault="00000000">
      <w:pPr>
        <w:tabs>
          <w:tab w:val="left" w:pos="2762"/>
        </w:tabs>
        <w:ind w:firstLineChars="200" w:firstLine="420"/>
        <w:jc w:val="center"/>
        <w:rPr>
          <w:rFonts w:ascii="SimSun" w:eastAsia="SimSun" w:hAnsi="SimSun" w:cs="SimSun"/>
          <w:i/>
          <w:iCs/>
        </w:rPr>
      </w:pPr>
      <w:r>
        <w:rPr>
          <w:rFonts w:ascii="SimSun" w:eastAsia="SimSun" w:hAnsi="SimSun" w:cs="SimSun"/>
          <w:noProof/>
        </w:rPr>
        <w:drawing>
          <wp:inline distT="0" distB="0" distL="114300" distR="114300" wp14:anchorId="247CDBFE" wp14:editId="65106195">
            <wp:extent cx="5039995" cy="2160270"/>
            <wp:effectExtent l="0" t="0" r="14605" b="24130"/>
            <wp:docPr id="16" name="图片 16" descr="21731721353146_.pic"/>
            <wp:cNvGraphicFramePr/>
            <a:graphic xmlns:a="http://schemas.openxmlformats.org/drawingml/2006/main">
              <a:graphicData uri="http://schemas.openxmlformats.org/drawingml/2006/picture">
                <pic:pic xmlns:pic="http://schemas.openxmlformats.org/drawingml/2006/picture">
                  <pic:nvPicPr>
                    <pic:cNvPr id="16" name="图片 16" descr="21731721353146_.pic"/>
                    <pic:cNvPicPr/>
                  </pic:nvPicPr>
                  <pic:blipFill>
                    <a:blip r:embed="rId18"/>
                    <a:stretch>
                      <a:fillRect/>
                    </a:stretch>
                  </pic:blipFill>
                  <pic:spPr>
                    <a:xfrm>
                      <a:off x="0" y="0"/>
                      <a:ext cx="5039995" cy="2160270"/>
                    </a:xfrm>
                    <a:prstGeom prst="rect">
                      <a:avLst/>
                    </a:prstGeom>
                  </pic:spPr>
                </pic:pic>
              </a:graphicData>
            </a:graphic>
          </wp:inline>
        </w:drawing>
      </w:r>
    </w:p>
    <w:p w14:paraId="5A2518F1" w14:textId="7777777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t>图13 strand</w:t>
      </w:r>
      <w:r>
        <w:rPr>
          <w:rFonts w:ascii="SimSun" w:eastAsia="SimSun" w:hAnsi="SimSun" w:cs="SimSun"/>
        </w:rPr>
        <w:t xml:space="preserve"> invasion</w:t>
      </w:r>
      <w:r>
        <w:rPr>
          <w:rFonts w:ascii="SimSun" w:eastAsia="SimSun" w:hAnsi="SimSun" w:cs="SimSun" w:hint="eastAsia"/>
        </w:rPr>
        <w:t>机制的原理图</w:t>
      </w:r>
    </w:p>
    <w:p w14:paraId="5C3AC3EB" w14:textId="77777777" w:rsidR="00B03D76" w:rsidRDefault="00B03D76">
      <w:pPr>
        <w:tabs>
          <w:tab w:val="left" w:pos="2762"/>
          <w:tab w:val="center" w:pos="4213"/>
          <w:tab w:val="right" w:pos="8306"/>
        </w:tabs>
        <w:rPr>
          <w:rFonts w:ascii="SimSun" w:eastAsia="SimSun" w:hAnsi="SimSun" w:cs="SimSun"/>
        </w:rPr>
      </w:pPr>
    </w:p>
    <w:p w14:paraId="557AFD90" w14:textId="77777777" w:rsidR="00B03D76" w:rsidRDefault="00000000">
      <w:pPr>
        <w:tabs>
          <w:tab w:val="left" w:pos="2762"/>
          <w:tab w:val="center" w:pos="4213"/>
          <w:tab w:val="right" w:pos="8306"/>
        </w:tabs>
        <w:ind w:firstLineChars="200" w:firstLine="420"/>
        <w:rPr>
          <w:rFonts w:ascii="Times New Roman Regular" w:eastAsia="SimSun" w:hAnsi="Times New Roman Regular" w:cs="Times New Roman Regular"/>
        </w:rPr>
      </w:pP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教授强调由于转录的先后性，所以适体域比起表达平台较先形成，可以优先感知细胞内环境与代谢物浓度。若配体结合到适体域上，则</w:t>
      </w:r>
      <w:r>
        <w:rPr>
          <w:rFonts w:ascii="Times New Roman Regular" w:eastAsia="SimSun" w:hAnsi="Times New Roman Regular" w:cs="Times New Roman Regular"/>
          <w:szCs w:val="21"/>
        </w:rPr>
        <w:t>switching sequence</w:t>
      </w:r>
      <w:r>
        <w:rPr>
          <w:rFonts w:ascii="Times New Roman Regular" w:eastAsia="SimSun" w:hAnsi="Times New Roman Regular" w:cs="Times New Roman Regular"/>
          <w:szCs w:val="21"/>
        </w:rPr>
        <w:t>（红色序列）则会整合到适体域中，表达平台折叠成终止子构象，</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聚合酶脱离，无法再进行转录。若不结合配体，表达平台则将</w:t>
      </w:r>
      <w:r>
        <w:rPr>
          <w:rFonts w:ascii="Times New Roman Regular" w:eastAsia="SimSun" w:hAnsi="Times New Roman Regular" w:cs="Times New Roman Regular"/>
          <w:szCs w:val="21"/>
        </w:rPr>
        <w:t>switching sequence</w:t>
      </w:r>
      <w:r>
        <w:rPr>
          <w:rFonts w:ascii="Times New Roman Regular" w:eastAsia="SimSun" w:hAnsi="Times New Roman Regular" w:cs="Times New Roman Regular"/>
          <w:szCs w:val="21"/>
        </w:rPr>
        <w:t>则整合到抗终止子中，下游的转录过程可以继续进行。</w:t>
      </w:r>
    </w:p>
    <w:p w14:paraId="6A5E6C6E" w14:textId="77777777" w:rsidR="00B03D76" w:rsidRDefault="00000000">
      <w:pPr>
        <w:tabs>
          <w:tab w:val="left" w:pos="2762"/>
          <w:tab w:val="center" w:pos="4213"/>
          <w:tab w:val="right" w:pos="8306"/>
        </w:tabs>
        <w:ind w:firstLineChars="200" w:firstLine="420"/>
        <w:jc w:val="center"/>
        <w:rPr>
          <w:rFonts w:ascii="SimSun" w:eastAsia="SimSun" w:hAnsi="SimSun" w:cs="SimSun"/>
        </w:rPr>
      </w:pPr>
      <w:r>
        <w:rPr>
          <w:rFonts w:ascii="SimSun" w:eastAsia="SimSun" w:hAnsi="SimSun" w:cs="SimSun"/>
          <w:noProof/>
        </w:rPr>
        <w:lastRenderedPageBreak/>
        <w:drawing>
          <wp:inline distT="0" distB="0" distL="114300" distR="114300" wp14:anchorId="407C87D1" wp14:editId="04732BFB">
            <wp:extent cx="3959860" cy="2160270"/>
            <wp:effectExtent l="0" t="0" r="2540" b="24130"/>
            <wp:docPr id="17" name="图片 17" descr="21741721354835_.pic_hd"/>
            <wp:cNvGraphicFramePr/>
            <a:graphic xmlns:a="http://schemas.openxmlformats.org/drawingml/2006/main">
              <a:graphicData uri="http://schemas.openxmlformats.org/drawingml/2006/picture">
                <pic:pic xmlns:pic="http://schemas.openxmlformats.org/drawingml/2006/picture">
                  <pic:nvPicPr>
                    <pic:cNvPr id="17" name="图片 17" descr="21741721354835_.pic_hd"/>
                    <pic:cNvPicPr/>
                  </pic:nvPicPr>
                  <pic:blipFill>
                    <a:blip r:embed="rId19"/>
                    <a:stretch>
                      <a:fillRect/>
                    </a:stretch>
                  </pic:blipFill>
                  <pic:spPr>
                    <a:xfrm>
                      <a:off x="0" y="0"/>
                      <a:ext cx="3959860" cy="2160270"/>
                    </a:xfrm>
                    <a:prstGeom prst="rect">
                      <a:avLst/>
                    </a:prstGeom>
                  </pic:spPr>
                </pic:pic>
              </a:graphicData>
            </a:graphic>
          </wp:inline>
        </w:drawing>
      </w:r>
    </w:p>
    <w:p w14:paraId="4372A01D" w14:textId="7777777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t xml:space="preserve">图14 riboswitch调节转录的机制示意图 </w:t>
      </w:r>
    </w:p>
    <w:p w14:paraId="1F753E72" w14:textId="77777777" w:rsidR="00B03D76" w:rsidRDefault="00B03D76">
      <w:pPr>
        <w:tabs>
          <w:tab w:val="left" w:pos="2762"/>
          <w:tab w:val="center" w:pos="4213"/>
          <w:tab w:val="right" w:pos="8306"/>
        </w:tabs>
        <w:jc w:val="center"/>
        <w:rPr>
          <w:rFonts w:ascii="SimSun" w:eastAsia="SimSun" w:hAnsi="SimSun" w:cs="SimSun"/>
        </w:rPr>
      </w:pPr>
    </w:p>
    <w:p w14:paraId="6FE960F2" w14:textId="77777777" w:rsidR="00B03D76" w:rsidRDefault="00000000">
      <w:pPr>
        <w:tabs>
          <w:tab w:val="left" w:pos="2762"/>
          <w:tab w:val="center" w:pos="4213"/>
          <w:tab w:val="right" w:pos="8306"/>
        </w:tabs>
        <w:ind w:firstLineChars="200" w:firstLine="420"/>
        <w:rPr>
          <w:rFonts w:ascii="Times New Roman Regular" w:eastAsia="SimSun" w:hAnsi="Times New Roman Regular" w:cs="Times New Roman Regular"/>
        </w:rPr>
      </w:pPr>
      <w:r>
        <w:rPr>
          <w:rFonts w:ascii="Times New Roman Regular" w:eastAsia="SimSun" w:hAnsi="Times New Roman Regular" w:cs="Times New Roman Regular"/>
          <w:szCs w:val="21"/>
        </w:rPr>
        <w:t>随后</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教授简要介绍了</w:t>
      </w:r>
      <w:r>
        <w:rPr>
          <w:rFonts w:ascii="Times New Roman Regular" w:eastAsia="SimSun" w:hAnsi="Times New Roman Regular" w:cs="Times New Roman Regular"/>
          <w:szCs w:val="21"/>
        </w:rPr>
        <w:t>strand invasion</w:t>
      </w:r>
      <w:r>
        <w:rPr>
          <w:rFonts w:ascii="Times New Roman Regular" w:eastAsia="SimSun" w:hAnsi="Times New Roman Regular" w:cs="Times New Roman Regular"/>
          <w:szCs w:val="21"/>
        </w:rPr>
        <w:t>的原理，该过程在体内外都非常迅速高效并且不需要需要能量，在一个</w:t>
      </w:r>
      <w:r>
        <w:rPr>
          <w:rFonts w:ascii="Times New Roman Regular" w:eastAsia="SimSun" w:hAnsi="Times New Roman Regular" w:cs="Times New Roman Regular"/>
          <w:szCs w:val="21"/>
        </w:rPr>
        <w:t>duplex motif</w:t>
      </w:r>
      <w:r>
        <w:rPr>
          <w:rFonts w:ascii="Times New Roman Regular" w:eastAsia="SimSun" w:hAnsi="Times New Roman Regular" w:cs="Times New Roman Regular"/>
          <w:szCs w:val="21"/>
        </w:rPr>
        <w:t>中，外来的</w:t>
      </w:r>
      <w:r>
        <w:rPr>
          <w:rFonts w:ascii="Times New Roman Regular" w:eastAsia="SimSun" w:hAnsi="Times New Roman Regular" w:cs="Times New Roman Regular"/>
          <w:szCs w:val="21"/>
        </w:rPr>
        <w:t>single stranded nucleic acid</w:t>
      </w:r>
      <w:r>
        <w:rPr>
          <w:rFonts w:ascii="Times New Roman Regular" w:eastAsia="SimSun" w:hAnsi="Times New Roman Regular" w:cs="Times New Roman Regular"/>
          <w:szCs w:val="21"/>
        </w:rPr>
        <w:t>会识别</w:t>
      </w:r>
      <w:r>
        <w:rPr>
          <w:rFonts w:ascii="Times New Roman Regular" w:eastAsia="SimSun" w:hAnsi="Times New Roman Regular" w:cs="Times New Roman Regular"/>
          <w:szCs w:val="21"/>
        </w:rPr>
        <w:t>toehold</w:t>
      </w:r>
      <w:r>
        <w:rPr>
          <w:rFonts w:ascii="Times New Roman Regular" w:eastAsia="SimSun" w:hAnsi="Times New Roman Regular" w:cs="Times New Roman Regular"/>
          <w:szCs w:val="21"/>
        </w:rPr>
        <w:t>初步进行一个定位，然后通过</w:t>
      </w:r>
      <w:r>
        <w:rPr>
          <w:rFonts w:ascii="Times New Roman Regular" w:eastAsia="SimSun" w:hAnsi="Times New Roman Regular" w:cs="Times New Roman Regular"/>
          <w:szCs w:val="21"/>
        </w:rPr>
        <w:t>annealing</w:t>
      </w:r>
      <w:r>
        <w:rPr>
          <w:rFonts w:ascii="Times New Roman Regular" w:eastAsia="SimSun" w:hAnsi="Times New Roman Regular" w:cs="Times New Roman Regular"/>
          <w:szCs w:val="21"/>
        </w:rPr>
        <w:t>过程朝着与互补序列相反的方向进行</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入侵</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延伸，直到完全取代</w:t>
      </w:r>
      <w:r>
        <w:rPr>
          <w:rFonts w:ascii="Times New Roman Regular" w:eastAsia="SimSun" w:hAnsi="Times New Roman Regular" w:cs="Times New Roman Regular"/>
          <w:szCs w:val="21"/>
        </w:rPr>
        <w:t>duplex motif</w:t>
      </w:r>
      <w:r>
        <w:rPr>
          <w:rFonts w:ascii="Times New Roman Regular" w:eastAsia="SimSun" w:hAnsi="Times New Roman Regular" w:cs="Times New Roman Regular"/>
          <w:szCs w:val="21"/>
        </w:rPr>
        <w:t>中原有的一条链。</w:t>
      </w:r>
      <w:r>
        <w:rPr>
          <w:rFonts w:ascii="Times New Roman Regular" w:eastAsia="SimSun" w:hAnsi="Times New Roman Regular" w:cs="Times New Roman Regular"/>
        </w:rPr>
        <w:t>当在</w:t>
      </w:r>
      <w:r>
        <w:rPr>
          <w:rFonts w:ascii="Times New Roman Regular" w:eastAsia="SimSun" w:hAnsi="Times New Roman Regular" w:cs="Times New Roman Regular"/>
        </w:rPr>
        <w:t>riboswitch</w:t>
      </w:r>
      <w:r>
        <w:rPr>
          <w:rFonts w:ascii="Times New Roman Regular" w:eastAsia="SimSun" w:hAnsi="Times New Roman Regular" w:cs="Times New Roman Regular"/>
        </w:rPr>
        <w:t>中时，需要对上述的机制做一些小修改。在配体结合后，复合物形成的三级结构会产生空间阻碍作用，阻止进一步的</w:t>
      </w:r>
      <w:r>
        <w:rPr>
          <w:rFonts w:ascii="Times New Roman Regular" w:eastAsia="SimSun" w:hAnsi="Times New Roman Regular" w:cs="Times New Roman Regular"/>
        </w:rPr>
        <w:t>“</w:t>
      </w:r>
      <w:r>
        <w:rPr>
          <w:rFonts w:ascii="Times New Roman Regular" w:eastAsia="SimSun" w:hAnsi="Times New Roman Regular" w:cs="Times New Roman Regular"/>
        </w:rPr>
        <w:t>入侵</w:t>
      </w:r>
      <w:r>
        <w:rPr>
          <w:rFonts w:ascii="Times New Roman Regular" w:eastAsia="SimSun" w:hAnsi="Times New Roman Regular" w:cs="Times New Roman Regular"/>
        </w:rPr>
        <w:t>”</w:t>
      </w:r>
      <w:r>
        <w:rPr>
          <w:rFonts w:ascii="Times New Roman Regular" w:eastAsia="SimSun" w:hAnsi="Times New Roman Regular" w:cs="Times New Roman Regular"/>
        </w:rPr>
        <w:t>作用。</w:t>
      </w:r>
    </w:p>
    <w:p w14:paraId="67391355" w14:textId="77777777" w:rsidR="00B03D76" w:rsidRDefault="00B03D76">
      <w:pPr>
        <w:tabs>
          <w:tab w:val="left" w:pos="2762"/>
          <w:tab w:val="center" w:pos="4213"/>
          <w:tab w:val="right" w:pos="8306"/>
        </w:tabs>
        <w:ind w:firstLineChars="200" w:firstLine="420"/>
        <w:rPr>
          <w:rFonts w:ascii="SimSun" w:eastAsia="SimSun" w:hAnsi="SimSun" w:cs="SimSun"/>
        </w:rPr>
      </w:pPr>
    </w:p>
    <w:p w14:paraId="13A7819E" w14:textId="77777777" w:rsidR="00B03D76" w:rsidRDefault="00000000">
      <w:pPr>
        <w:tabs>
          <w:tab w:val="left" w:pos="2762"/>
          <w:tab w:val="center" w:pos="4213"/>
          <w:tab w:val="right" w:pos="8306"/>
        </w:tabs>
        <w:ind w:firstLineChars="200" w:firstLine="420"/>
        <w:jc w:val="center"/>
        <w:rPr>
          <w:rFonts w:ascii="SimSun" w:eastAsia="SimSun" w:hAnsi="SimSun" w:cs="SimSun"/>
        </w:rPr>
      </w:pPr>
      <w:r>
        <w:rPr>
          <w:rFonts w:ascii="SimSun" w:eastAsia="SimSun" w:hAnsi="SimSun" w:cs="SimSun"/>
          <w:noProof/>
        </w:rPr>
        <w:drawing>
          <wp:inline distT="0" distB="0" distL="114300" distR="114300" wp14:anchorId="516AE17F" wp14:editId="0C59B083">
            <wp:extent cx="3959860" cy="1979930"/>
            <wp:effectExtent l="0" t="0" r="2540" b="1270"/>
            <wp:docPr id="18" name="图片 18" descr="21751721355351_.pic"/>
            <wp:cNvGraphicFramePr/>
            <a:graphic xmlns:a="http://schemas.openxmlformats.org/drawingml/2006/main">
              <a:graphicData uri="http://schemas.openxmlformats.org/drawingml/2006/picture">
                <pic:pic xmlns:pic="http://schemas.openxmlformats.org/drawingml/2006/picture">
                  <pic:nvPicPr>
                    <pic:cNvPr id="18" name="图片 18" descr="21751721355351_.pic"/>
                    <pic:cNvPicPr/>
                  </pic:nvPicPr>
                  <pic:blipFill>
                    <a:blip r:embed="rId20"/>
                    <a:srcRect r="33146"/>
                    <a:stretch>
                      <a:fillRect/>
                    </a:stretch>
                  </pic:blipFill>
                  <pic:spPr>
                    <a:xfrm>
                      <a:off x="0" y="0"/>
                      <a:ext cx="3959860" cy="1979930"/>
                    </a:xfrm>
                    <a:prstGeom prst="rect">
                      <a:avLst/>
                    </a:prstGeom>
                  </pic:spPr>
                </pic:pic>
              </a:graphicData>
            </a:graphic>
          </wp:inline>
        </w:drawing>
      </w:r>
    </w:p>
    <w:p w14:paraId="1C2446CB" w14:textId="7777777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t>图15 strand</w:t>
      </w:r>
      <w:r>
        <w:rPr>
          <w:rFonts w:ascii="SimSun" w:eastAsia="SimSun" w:hAnsi="SimSun" w:cs="SimSun"/>
        </w:rPr>
        <w:t xml:space="preserve"> invasion</w:t>
      </w:r>
      <w:r>
        <w:rPr>
          <w:rFonts w:ascii="SimSun" w:eastAsia="SimSun" w:hAnsi="SimSun" w:cs="SimSun" w:hint="eastAsia"/>
        </w:rPr>
        <w:t>原理示意图</w:t>
      </w:r>
    </w:p>
    <w:p w14:paraId="36BC9CA8" w14:textId="77777777" w:rsidR="00B03D76" w:rsidRDefault="00B03D76">
      <w:pPr>
        <w:tabs>
          <w:tab w:val="left" w:pos="2762"/>
          <w:tab w:val="center" w:pos="4213"/>
          <w:tab w:val="right" w:pos="8306"/>
        </w:tabs>
        <w:jc w:val="center"/>
        <w:rPr>
          <w:rFonts w:ascii="SimSun" w:eastAsia="SimSun" w:hAnsi="SimSun" w:cs="SimSun"/>
        </w:rPr>
      </w:pPr>
    </w:p>
    <w:p w14:paraId="7CD2BABC" w14:textId="7777777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noProof/>
        </w:rPr>
        <w:drawing>
          <wp:inline distT="0" distB="0" distL="114300" distR="114300" wp14:anchorId="67D5503A" wp14:editId="7D73BB93">
            <wp:extent cx="3959860" cy="1979930"/>
            <wp:effectExtent l="0" t="0" r="2540" b="1270"/>
            <wp:docPr id="11" name="图片 11" descr="21831721401075_.pic"/>
            <wp:cNvGraphicFramePr/>
            <a:graphic xmlns:a="http://schemas.openxmlformats.org/drawingml/2006/main">
              <a:graphicData uri="http://schemas.openxmlformats.org/drawingml/2006/picture">
                <pic:pic xmlns:pic="http://schemas.openxmlformats.org/drawingml/2006/picture">
                  <pic:nvPicPr>
                    <pic:cNvPr id="11" name="图片 11" descr="21831721401075_.pic"/>
                    <pic:cNvPicPr/>
                  </pic:nvPicPr>
                  <pic:blipFill>
                    <a:blip r:embed="rId21"/>
                    <a:stretch>
                      <a:fillRect/>
                    </a:stretch>
                  </pic:blipFill>
                  <pic:spPr>
                    <a:xfrm>
                      <a:off x="0" y="0"/>
                      <a:ext cx="3959860" cy="1979930"/>
                    </a:xfrm>
                    <a:prstGeom prst="rect">
                      <a:avLst/>
                    </a:prstGeom>
                  </pic:spPr>
                </pic:pic>
              </a:graphicData>
            </a:graphic>
          </wp:inline>
        </w:drawing>
      </w:r>
    </w:p>
    <w:p w14:paraId="3B52B91B" w14:textId="7777777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lastRenderedPageBreak/>
        <w:t>图16 riboswitch中strand</w:t>
      </w:r>
      <w:r>
        <w:rPr>
          <w:rFonts w:ascii="SimSun" w:eastAsia="SimSun" w:hAnsi="SimSun" w:cs="SimSun"/>
        </w:rPr>
        <w:t xml:space="preserve"> invasion</w:t>
      </w:r>
      <w:r>
        <w:rPr>
          <w:rFonts w:ascii="SimSun" w:eastAsia="SimSun" w:hAnsi="SimSun" w:cs="SimSun" w:hint="eastAsia"/>
        </w:rPr>
        <w:t>的不同之处</w:t>
      </w:r>
    </w:p>
    <w:p w14:paraId="6F940F8E" w14:textId="77777777" w:rsidR="00B03D76" w:rsidRDefault="00B03D76">
      <w:pPr>
        <w:tabs>
          <w:tab w:val="left" w:pos="2762"/>
          <w:tab w:val="center" w:pos="4213"/>
          <w:tab w:val="right" w:pos="8306"/>
        </w:tabs>
        <w:jc w:val="center"/>
        <w:rPr>
          <w:rFonts w:ascii="SimSun" w:eastAsia="SimSun" w:hAnsi="SimSun" w:cs="SimSun"/>
        </w:rPr>
      </w:pPr>
    </w:p>
    <w:p w14:paraId="1E25B71F" w14:textId="77777777" w:rsidR="00B03D76" w:rsidRDefault="00000000">
      <w:pPr>
        <w:tabs>
          <w:tab w:val="left" w:pos="2762"/>
          <w:tab w:val="center" w:pos="4213"/>
          <w:tab w:val="right" w:pos="8306"/>
        </w:tabs>
        <w:jc w:val="left"/>
        <w:rPr>
          <w:rFonts w:ascii="Times New Roman Regular" w:eastAsia="SimSun" w:hAnsi="Times New Roman Regular" w:cs="Times New Roman Regular"/>
          <w:szCs w:val="21"/>
        </w:rPr>
      </w:pPr>
      <w:r>
        <w:rPr>
          <w:rFonts w:ascii="SimSun" w:eastAsia="SimSun" w:hAnsi="SimSun" w:cs="SimSun" w:hint="eastAsia"/>
        </w:rPr>
        <w:t xml:space="preserve">    </w:t>
      </w:r>
      <w:r>
        <w:rPr>
          <w:rFonts w:ascii="Times New Roman Regular" w:eastAsia="SimSun" w:hAnsi="Times New Roman Regular" w:cs="Times New Roman Regular"/>
        </w:rPr>
        <w:t>最后，</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教授对本次讲座的内容进行了简短的总结。他认为截至目前大多数研究还是将重心发在解析适体域与配体结合后的复合物结构，但要具体了解</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的作用机制，研究人员也需要多关</w:t>
      </w:r>
      <w:r>
        <w:rPr>
          <w:rFonts w:ascii="Times New Roman Regular" w:eastAsia="SimSun" w:hAnsi="Times New Roman Regular" w:cs="Times New Roman Regular" w:hint="eastAsia"/>
          <w:szCs w:val="21"/>
        </w:rPr>
        <w:t>注配体结合适体域状态下发挥作用的表达平台是如何变化以调控介导下游基因的表达。</w:t>
      </w:r>
    </w:p>
    <w:p w14:paraId="27EECF65"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提问环节苗智超老师首先提出了一个非常有意思的问题，他好奇如何通过</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来促进转录或翻译而非对二者产生抑制作用。对于该问题，</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教授介绍了曾经在</w:t>
      </w:r>
      <w:r>
        <w:rPr>
          <w:rFonts w:ascii="Times New Roman Regular" w:eastAsia="SimSun" w:hAnsi="Times New Roman Regular" w:cs="Times New Roman Regular"/>
          <w:szCs w:val="21"/>
        </w:rPr>
        <w:t>cobalamin riboswitch</w:t>
      </w:r>
      <w:r>
        <w:rPr>
          <w:rFonts w:ascii="Times New Roman Regular" w:eastAsia="SimSun" w:hAnsi="Times New Roman Regular" w:cs="Times New Roman Regular"/>
          <w:szCs w:val="21"/>
        </w:rPr>
        <w:t>中所做过的一个尝试性实验，他将一个</w:t>
      </w:r>
      <w:r>
        <w:rPr>
          <w:rFonts w:ascii="Times New Roman Regular" w:eastAsia="SimSun" w:hAnsi="Times New Roman Regular" w:cs="Times New Roman Regular"/>
          <w:szCs w:val="21"/>
        </w:rPr>
        <w:t>linker</w:t>
      </w:r>
      <w:r>
        <w:rPr>
          <w:rFonts w:ascii="Times New Roman Regular" w:eastAsia="SimSun" w:hAnsi="Times New Roman Regular" w:cs="Times New Roman Regular"/>
          <w:szCs w:val="21"/>
        </w:rPr>
        <w:t>放置在适体域和表达平台间，并不断加入核苷酸延长其长度，使适体域不能与表达平台发生相互作用，增加核糖体结合位点序列的暴露程度，使得适体域不能再阻止核糖体结合到对应的位点上。通过实验发现这种方法确实出现了提高翻译表达的结果，但将长度延长到</w:t>
      </w:r>
      <w:r>
        <w:rPr>
          <w:rFonts w:ascii="Times New Roman Regular" w:eastAsia="SimSun" w:hAnsi="Times New Roman Regular" w:cs="Times New Roman Regular"/>
          <w:szCs w:val="21"/>
        </w:rPr>
        <w:t>30</w:t>
      </w:r>
      <w:r>
        <w:rPr>
          <w:rFonts w:ascii="Times New Roman Regular" w:eastAsia="SimSun" w:hAnsi="Times New Roman Regular" w:cs="Times New Roman Regular"/>
          <w:szCs w:val="21"/>
        </w:rPr>
        <w:t>个核苷酸之后，由于距离太长，</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已无法正常发挥作用了。苗老师总结了</w:t>
      </w:r>
      <w:r>
        <w:rPr>
          <w:rFonts w:ascii="Times New Roman Regular" w:eastAsia="SimSun" w:hAnsi="Times New Roman Regular" w:cs="Times New Roman Regular"/>
          <w:szCs w:val="21"/>
        </w:rPr>
        <w:t>Robert</w:t>
      </w:r>
      <w:r>
        <w:rPr>
          <w:rFonts w:ascii="Times New Roman Regular" w:eastAsia="SimSun" w:hAnsi="Times New Roman Regular" w:cs="Times New Roman Regular"/>
          <w:szCs w:val="21"/>
        </w:rPr>
        <w:t>的观点，即通过一些方法增加核糖体结合到对应位点序列的机会，从而促进翻译，他也提出如果能通过优化从而招募一些促进翻译的因子也许也会是一个解决方法。</w:t>
      </w:r>
    </w:p>
    <w:p w14:paraId="0F9712D6"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不久前</w:t>
      </w:r>
      <w:r>
        <w:rPr>
          <w:rFonts w:ascii="Times New Roman Regular" w:eastAsia="SimSun" w:hAnsi="Times New Roman Regular" w:cs="Times New Roman Regular"/>
          <w:szCs w:val="21"/>
        </w:rPr>
        <w:t>Daniel B. Haack</w:t>
      </w:r>
      <w:r>
        <w:rPr>
          <w:rFonts w:ascii="Times New Roman Regular" w:eastAsia="SimSun" w:hAnsi="Times New Roman Regular" w:cs="Times New Roman Regular"/>
          <w:szCs w:val="21"/>
        </w:rPr>
        <w:t>等人通过</w:t>
      </w:r>
      <w:r>
        <w:rPr>
          <w:rFonts w:ascii="Times New Roman Regular" w:eastAsia="SimSun" w:hAnsi="Times New Roman Regular" w:cs="Times New Roman Regular"/>
          <w:szCs w:val="21"/>
        </w:rPr>
        <w:t>scaffold</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cryo-EM</w:t>
      </w:r>
      <w:r>
        <w:rPr>
          <w:rFonts w:ascii="Times New Roman Regular" w:eastAsia="SimSun" w:hAnsi="Times New Roman Regular" w:cs="Times New Roman Regular"/>
          <w:szCs w:val="21"/>
        </w:rPr>
        <w:t>技术对</w:t>
      </w:r>
      <w:r>
        <w:rPr>
          <w:rFonts w:ascii="Times New Roman Regular" w:eastAsia="SimSun" w:hAnsi="Times New Roman Regular" w:cs="Times New Roman Regular"/>
          <w:szCs w:val="21"/>
        </w:rPr>
        <w:t>TPP riboswitch</w:t>
      </w:r>
      <w:r>
        <w:rPr>
          <w:rFonts w:ascii="Times New Roman Regular" w:eastAsia="SimSun" w:hAnsi="Times New Roman Regular" w:cs="Times New Roman Regular"/>
          <w:szCs w:val="21"/>
        </w:rPr>
        <w:t>结合配体前后的结构进行了解析，因为</w:t>
      </w:r>
      <w:r>
        <w:rPr>
          <w:rFonts w:ascii="Times New Roman Regular" w:eastAsia="SimSun" w:hAnsi="Times New Roman Regular" w:cs="Times New Roman Regular"/>
          <w:szCs w:val="21"/>
        </w:rPr>
        <w:t>TPP riboswitch</w:t>
      </w:r>
      <w:r>
        <w:rPr>
          <w:rFonts w:ascii="Times New Roman Regular" w:eastAsia="SimSun" w:hAnsi="Times New Roman Regular" w:cs="Times New Roman Regular"/>
          <w:szCs w:val="21"/>
        </w:rPr>
        <w:t>较小，所以本次研究中使用</w:t>
      </w:r>
      <w:r>
        <w:rPr>
          <w:rFonts w:ascii="Times New Roman Regular" w:eastAsia="SimSun" w:hAnsi="Times New Roman Regular" w:cs="Times New Roman Regular"/>
          <w:szCs w:val="21"/>
        </w:rPr>
        <w:t>O.i. group IIC intron</w:t>
      </w:r>
      <w:r>
        <w:rPr>
          <w:rFonts w:ascii="Times New Roman Regular" w:eastAsia="SimSun" w:hAnsi="Times New Roman Regular" w:cs="Times New Roman Regular"/>
          <w:szCs w:val="21"/>
        </w:rPr>
        <w:t>作为</w:t>
      </w:r>
      <w:r>
        <w:rPr>
          <w:rFonts w:ascii="Times New Roman Regular" w:eastAsia="SimSun" w:hAnsi="Times New Roman Regular" w:cs="Times New Roman Regular"/>
          <w:szCs w:val="21"/>
        </w:rPr>
        <w:t>scaffold</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TPP riboswitch</w:t>
      </w:r>
      <w:r>
        <w:rPr>
          <w:rFonts w:ascii="Times New Roman Regular" w:eastAsia="SimSun" w:hAnsi="Times New Roman Regular" w:cs="Times New Roman Regular"/>
          <w:szCs w:val="21"/>
        </w:rPr>
        <w:t>连接起来，</w:t>
      </w:r>
      <w:r>
        <w:rPr>
          <w:rFonts w:ascii="Times New Roman Regular" w:eastAsia="SimSun" w:hAnsi="Times New Roman Regular" w:cs="Times New Roman Regular"/>
          <w:szCs w:val="21"/>
        </w:rPr>
        <w:t>scaffold</w:t>
      </w:r>
      <w:r>
        <w:rPr>
          <w:rFonts w:ascii="Times New Roman Regular" w:eastAsia="SimSun" w:hAnsi="Times New Roman Regular" w:cs="Times New Roman Regular"/>
          <w:szCs w:val="21"/>
        </w:rPr>
        <w:t>的高分辨率特点可以帮助我们更好地定位观察目标</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的结构。</w:t>
      </w:r>
    </w:p>
    <w:p w14:paraId="31BA579C"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4BFDA88"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hint="eastAsia"/>
          <w:noProof/>
          <w:szCs w:val="21"/>
        </w:rPr>
        <w:drawing>
          <wp:inline distT="0" distB="0" distL="114300" distR="114300" wp14:anchorId="5BEFF5EE" wp14:editId="1FBA8B26">
            <wp:extent cx="3959860" cy="2160270"/>
            <wp:effectExtent l="0" t="0" r="2540" b="24130"/>
            <wp:docPr id="19" name="图片 19" descr="21771721366441_.pic"/>
            <wp:cNvGraphicFramePr/>
            <a:graphic xmlns:a="http://schemas.openxmlformats.org/drawingml/2006/main">
              <a:graphicData uri="http://schemas.openxmlformats.org/drawingml/2006/picture">
                <pic:pic xmlns:pic="http://schemas.openxmlformats.org/drawingml/2006/picture">
                  <pic:nvPicPr>
                    <pic:cNvPr id="19" name="图片 19" descr="21771721366441_.pic"/>
                    <pic:cNvPicPr/>
                  </pic:nvPicPr>
                  <pic:blipFill>
                    <a:blip r:embed="rId22"/>
                    <a:stretch>
                      <a:fillRect/>
                    </a:stretch>
                  </pic:blipFill>
                  <pic:spPr>
                    <a:xfrm>
                      <a:off x="0" y="0"/>
                      <a:ext cx="3959860" cy="2160270"/>
                    </a:xfrm>
                    <a:prstGeom prst="rect">
                      <a:avLst/>
                    </a:prstGeom>
                  </pic:spPr>
                </pic:pic>
              </a:graphicData>
            </a:graphic>
          </wp:inline>
        </w:drawing>
      </w:r>
    </w:p>
    <w:p w14:paraId="5F2F6B98"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hint="eastAsia"/>
          <w:szCs w:val="21"/>
        </w:rPr>
        <w:t>图</w:t>
      </w:r>
      <w:r>
        <w:rPr>
          <w:rFonts w:ascii="Times New Roman Regular" w:eastAsia="SimSun" w:hAnsi="Times New Roman Regular" w:cs="Times New Roman Regular" w:hint="eastAsia"/>
          <w:szCs w:val="21"/>
        </w:rPr>
        <w:t xml:space="preserve">17 </w:t>
      </w:r>
      <w:r>
        <w:rPr>
          <w:rFonts w:ascii="Times New Roman Regular" w:eastAsia="SimSun" w:hAnsi="Times New Roman Regular" w:cs="Times New Roman Regular"/>
          <w:szCs w:val="21"/>
        </w:rPr>
        <w:t>O.i. group IIC intron</w:t>
      </w:r>
      <w:r>
        <w:rPr>
          <w:rFonts w:ascii="Times New Roman Regular" w:eastAsia="SimSun" w:hAnsi="Times New Roman Regular" w:cs="Times New Roman Regular" w:hint="eastAsia"/>
          <w:szCs w:val="21"/>
        </w:rPr>
        <w:t xml:space="preserve"> scoffo</w:t>
      </w:r>
      <w:r>
        <w:rPr>
          <w:rFonts w:ascii="Times New Roman Regular" w:eastAsia="SimSun" w:hAnsi="Times New Roman Regular" w:cs="Times New Roman Regular"/>
          <w:szCs w:val="21"/>
        </w:rPr>
        <w:t>ld</w:t>
      </w:r>
      <w:r>
        <w:rPr>
          <w:rFonts w:ascii="Times New Roman Regular" w:eastAsia="SimSun" w:hAnsi="Times New Roman Regular" w:cs="Times New Roman Regular" w:hint="eastAsia"/>
          <w:szCs w:val="21"/>
        </w:rPr>
        <w:t>与</w:t>
      </w:r>
      <w:r>
        <w:rPr>
          <w:rFonts w:ascii="Times New Roman Regular" w:eastAsia="SimSun" w:hAnsi="Times New Roman Regular" w:cs="Times New Roman Regular" w:hint="eastAsia"/>
          <w:szCs w:val="21"/>
        </w:rPr>
        <w:t>TPP riboswitch</w:t>
      </w:r>
      <w:r>
        <w:rPr>
          <w:rFonts w:ascii="Times New Roman Regular" w:eastAsia="SimSun" w:hAnsi="Times New Roman Regular" w:cs="Times New Roman Regular" w:hint="eastAsia"/>
          <w:szCs w:val="21"/>
        </w:rPr>
        <w:t>连接形成的复合物结构</w:t>
      </w:r>
    </w:p>
    <w:p w14:paraId="393F9E68"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8ACBCBE" w14:textId="77777777" w:rsidR="00B03D76" w:rsidRDefault="00000000">
      <w:pPr>
        <w:widowControl/>
        <w:ind w:leftChars="100" w:left="210"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黄林老师在最后提出我们目前是否有必要探究</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在无配体结合状态下（</w:t>
      </w:r>
      <w:r>
        <w:rPr>
          <w:rFonts w:ascii="Times New Roman Regular" w:eastAsia="SimSun" w:hAnsi="Times New Roman Regular" w:cs="Times New Roman Regular"/>
          <w:szCs w:val="21"/>
        </w:rPr>
        <w:t>apo state</w:t>
      </w:r>
      <w:r>
        <w:rPr>
          <w:rFonts w:ascii="Times New Roman Regular" w:eastAsia="SimSun" w:hAnsi="Times New Roman Regular" w:cs="Times New Roman Regular"/>
          <w:szCs w:val="21"/>
        </w:rPr>
        <w:t>）的结构，对于这个问题</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教授认为无配体结合状态下的结构可能是非常复杂多变的，他并不认为目前的方法可以让我们能完整地探究到</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折叠的多样性，但在未来如果研究人员可以改善决定分子动力学模拟精度的中的</w:t>
      </w:r>
      <w:r>
        <w:rPr>
          <w:rFonts w:ascii="Times New Roman Regular" w:eastAsia="SimSun" w:hAnsi="Times New Roman Regular" w:cs="Times New Roman Regular"/>
          <w:szCs w:val="21"/>
        </w:rPr>
        <w:t>force field</w:t>
      </w:r>
      <w:r>
        <w:rPr>
          <w:rFonts w:ascii="Times New Roman Regular" w:eastAsia="SimSun" w:hAnsi="Times New Roman Regular" w:cs="Times New Roman Regular"/>
          <w:szCs w:val="21"/>
        </w:rPr>
        <w:t>，也许我们能够更好地在原子层面研究生物大分子结构与动态变化。此外，诸如</w:t>
      </w:r>
      <w:r>
        <w:rPr>
          <w:rFonts w:ascii="Times New Roman Regular" w:eastAsia="SimSun" w:hAnsi="Times New Roman Regular" w:cs="Times New Roman Regular"/>
          <w:szCs w:val="21"/>
        </w:rPr>
        <w:t>Alphafold</w:t>
      </w:r>
      <w:r>
        <w:rPr>
          <w:rFonts w:ascii="Times New Roman Regular" w:eastAsia="SimSun" w:hAnsi="Times New Roman Regular" w:cs="Times New Roman Regular"/>
          <w:szCs w:val="21"/>
        </w:rPr>
        <w:t>这一类软件的高速发展对于未来预测</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结构也是可以产生极大帮助的。</w:t>
      </w:r>
    </w:p>
    <w:p w14:paraId="75D1B15E"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088E5604" w14:textId="77777777" w:rsidR="00B03D76" w:rsidRDefault="00B03D76">
      <w:pPr>
        <w:tabs>
          <w:tab w:val="left" w:pos="2762"/>
          <w:tab w:val="center" w:pos="4213"/>
          <w:tab w:val="right" w:pos="8306"/>
        </w:tabs>
        <w:rPr>
          <w:rFonts w:ascii="SimSun" w:eastAsia="SimSun" w:hAnsi="SimSun" w:cs="SimSun"/>
        </w:rPr>
      </w:pPr>
    </w:p>
    <w:p w14:paraId="57869C76" w14:textId="77777777" w:rsidR="00B03D76" w:rsidRDefault="00B03D76">
      <w:pPr>
        <w:tabs>
          <w:tab w:val="left" w:pos="2762"/>
          <w:tab w:val="center" w:pos="4213"/>
          <w:tab w:val="right" w:pos="8306"/>
        </w:tabs>
        <w:ind w:firstLineChars="200" w:firstLine="420"/>
        <w:jc w:val="center"/>
        <w:rPr>
          <w:rFonts w:ascii="SimSun" w:eastAsia="SimSun" w:hAnsi="SimSun" w:cs="SimSun"/>
        </w:rPr>
      </w:pPr>
    </w:p>
    <w:sectPr w:rsidR="00B03D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Regular">
    <w:altName w:val="Times New Roman"/>
    <w:panose1 w:val="020B0604020202020204"/>
    <w:charset w:val="00"/>
    <w:family w:val="auto"/>
    <w:pitch w:val="default"/>
    <w:sig w:usb0="E0000AFF" w:usb1="00007843" w:usb2="00000001" w:usb3="00000000" w:csb0="400001BF" w:csb1="DFF70000"/>
  </w:font>
  <w:font w:name="Times New Roman Bold">
    <w:altName w:val="Times New Roman"/>
    <w:panose1 w:val="020B0604020202020204"/>
    <w:charset w:val="00"/>
    <w:family w:val="auto"/>
    <w:pitch w:val="default"/>
    <w:sig w:usb0="E0000AFF" w:usb1="00007843" w:usb2="00000001" w:usb3="00000000" w:csb0="400001BF" w:csb1="DFF7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19FAD85"/>
    <w:rsid w:val="EF6FD15E"/>
    <w:rsid w:val="EFFFF48A"/>
    <w:rsid w:val="F35F12EE"/>
    <w:rsid w:val="F7DD5B44"/>
    <w:rsid w:val="F7F3C9AA"/>
    <w:rsid w:val="F7FBAAF8"/>
    <w:rsid w:val="FACD307A"/>
    <w:rsid w:val="FDCEBEB7"/>
    <w:rsid w:val="FDFB1F12"/>
    <w:rsid w:val="FEEBAAE0"/>
    <w:rsid w:val="000E31A9"/>
    <w:rsid w:val="004663A8"/>
    <w:rsid w:val="00B03D76"/>
    <w:rsid w:val="00C53FD2"/>
    <w:rsid w:val="00EA1698"/>
    <w:rsid w:val="16FF8B8A"/>
    <w:rsid w:val="1EEFD1FC"/>
    <w:rsid w:val="1F706350"/>
    <w:rsid w:val="2DBFFB8A"/>
    <w:rsid w:val="37F74977"/>
    <w:rsid w:val="3DEFC36D"/>
    <w:rsid w:val="3F5765DB"/>
    <w:rsid w:val="5FBFE255"/>
    <w:rsid w:val="677FC763"/>
    <w:rsid w:val="6EFF67CA"/>
    <w:rsid w:val="6EFF71B2"/>
    <w:rsid w:val="719FAD85"/>
    <w:rsid w:val="76EF2190"/>
    <w:rsid w:val="7BF99C09"/>
    <w:rsid w:val="7DE37865"/>
    <w:rsid w:val="7EFF951C"/>
    <w:rsid w:val="7F7E172F"/>
    <w:rsid w:val="7F8389D6"/>
    <w:rsid w:val="7FF19786"/>
    <w:rsid w:val="B2FFA7B2"/>
    <w:rsid w:val="BFFD1745"/>
    <w:rsid w:val="BFFF3F1D"/>
    <w:rsid w:val="D9B73178"/>
    <w:rsid w:val="DBB6FA63"/>
    <w:rsid w:val="E9BFC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AD6DEC"/>
  <w15:docId w15:val="{90EE4E35-91C3-8E40-9C3B-B0FDE8AD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spacing w:beforeAutospacing="1" w:afterAutospacing="1"/>
      <w:jc w:val="left"/>
      <w:outlineLvl w:val="0"/>
    </w:pPr>
    <w:rPr>
      <w:rFonts w:ascii="SimSun" w:eastAsia="SimSun" w:hAnsi="SimSun" w:cs="Times New Roman" w:hint="eastAsia"/>
      <w:b/>
      <w:bCs/>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character" w:styleId="Emphasis">
    <w:name w:val="Emphasis"/>
    <w:basedOn w:val="DefaultParagraphFont"/>
    <w:qFormat/>
    <w:rPr>
      <w:i/>
    </w:rPr>
  </w:style>
  <w:style w:type="character" w:styleId="Hyperlink">
    <w:name w:val="Hyperlink"/>
    <w:basedOn w:val="DefaultParagraphFont"/>
    <w:qFormat/>
    <w:rPr>
      <w:color w:val="0000FF"/>
      <w:u w:val="single"/>
    </w:rPr>
  </w:style>
  <w:style w:type="paragraph" w:styleId="NormalWeb">
    <w:name w:val="Normal (Web)"/>
    <w:basedOn w:val="Normal"/>
    <w:uiPriority w:val="99"/>
    <w:unhideWhenUsed/>
    <w:rsid w:val="000E31A9"/>
    <w:pPr>
      <w:widowControl/>
      <w:spacing w:before="100" w:beforeAutospacing="1" w:after="100" w:afterAutospacing="1"/>
      <w:jc w:val="left"/>
    </w:pPr>
    <w:rPr>
      <w:rFonts w:ascii="SimSun" w:eastAsia="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直子</dc:creator>
  <cp:lastModifiedBy>Zhou Lingling</cp:lastModifiedBy>
  <cp:revision>2</cp:revision>
  <dcterms:created xsi:type="dcterms:W3CDTF">2025-02-07T06:40:00Z</dcterms:created>
  <dcterms:modified xsi:type="dcterms:W3CDTF">2025-02-07T06:40:00Z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6CCEF1EB509B13040073A3661B805A1A_43</vt:lpwstr>
  </property>
</Properties>
</file>