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56715" w14:textId="77777777" w:rsidR="00F955D2" w:rsidRDefault="00F955D2" w:rsidP="00F955D2">
      <w:pPr>
        <w:rPr>
          <w:rFonts w:ascii="Times New Roman" w:hAnsi="Times New Roman" w:cs="Times New Roman"/>
          <w:b/>
          <w:sz w:val="24"/>
          <w:szCs w:val="24"/>
        </w:rPr>
      </w:pPr>
    </w:p>
    <w:p w14:paraId="30F068D2" w14:textId="77777777" w:rsidR="00F955D2" w:rsidRPr="00C123F9" w:rsidRDefault="00F955D2" w:rsidP="00F955D2">
      <w:pPr>
        <w:rPr>
          <w:rFonts w:ascii="Times New Roman" w:hAnsi="Times New Roman" w:cs="Times New Roman"/>
          <w:b/>
          <w:sz w:val="24"/>
          <w:szCs w:val="24"/>
        </w:rPr>
      </w:pPr>
      <w:r w:rsidRPr="00C123F9">
        <w:rPr>
          <w:rFonts w:ascii="Times New Roman" w:hAnsi="Times New Roman" w:cs="Times New Roman"/>
          <w:b/>
          <w:sz w:val="24"/>
          <w:szCs w:val="24"/>
        </w:rPr>
        <w:t xml:space="preserve">Supplementary table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C123F9">
        <w:rPr>
          <w:rFonts w:ascii="Times New Roman" w:hAnsi="Times New Roman" w:cs="Times New Roman"/>
          <w:b/>
          <w:sz w:val="24"/>
          <w:szCs w:val="24"/>
        </w:rPr>
        <w:t>. Quality control and other features implemented in the AIDD pipeline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955D2">
        <w:rPr>
          <w:rFonts w:ascii="Times New Roman" w:hAnsi="Times New Roman" w:cs="Times New Roman"/>
          <w:b/>
          <w:sz w:val="24"/>
          <w:szCs w:val="24"/>
        </w:rPr>
        <w:t>https://github.com/RNAdetective/AIDD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C123F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3222"/>
        <w:gridCol w:w="4405"/>
      </w:tblGrid>
      <w:tr w:rsidR="00F955D2" w14:paraId="089F008D" w14:textId="77777777" w:rsidTr="006429CE">
        <w:tc>
          <w:tcPr>
            <w:tcW w:w="1723" w:type="dxa"/>
          </w:tcPr>
          <w:p w14:paraId="11F2121D" w14:textId="77777777" w:rsidR="00F955D2" w:rsidRPr="00202349" w:rsidRDefault="00F955D2" w:rsidP="00642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349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3222" w:type="dxa"/>
          </w:tcPr>
          <w:p w14:paraId="0EADA380" w14:textId="77777777" w:rsidR="00F955D2" w:rsidRPr="00202349" w:rsidRDefault="00F955D2" w:rsidP="00642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349">
              <w:rPr>
                <w:rFonts w:ascii="Times New Roman" w:hAnsi="Times New Roman" w:cs="Times New Roman"/>
                <w:b/>
                <w:sz w:val="24"/>
                <w:szCs w:val="24"/>
              </w:rPr>
              <w:t>Tool(s)</w:t>
            </w:r>
          </w:p>
        </w:tc>
        <w:tc>
          <w:tcPr>
            <w:tcW w:w="4405" w:type="dxa"/>
          </w:tcPr>
          <w:p w14:paraId="36662B7C" w14:textId="77777777" w:rsidR="00F955D2" w:rsidRPr="00202349" w:rsidRDefault="00F955D2" w:rsidP="00642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3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F955D2" w14:paraId="02CF3A58" w14:textId="77777777" w:rsidTr="006429CE">
        <w:tc>
          <w:tcPr>
            <w:tcW w:w="1723" w:type="dxa"/>
          </w:tcPr>
          <w:p w14:paraId="56E4E628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Easy to use </w:t>
            </w:r>
          </w:p>
        </w:tc>
        <w:tc>
          <w:tcPr>
            <w:tcW w:w="3222" w:type="dxa"/>
          </w:tcPr>
          <w:p w14:paraId="265E6A91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bash, python and R scripts</w:t>
            </w:r>
          </w:p>
        </w:tc>
        <w:tc>
          <w:tcPr>
            <w:tcW w:w="4405" w:type="dxa"/>
          </w:tcPr>
          <w:p w14:paraId="0F2B14F2" w14:textId="5311AEB1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set of custom script will produce publication ready graphs from raw fastq files with little or no user input</w:t>
            </w:r>
            <w:r w:rsidR="002023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55D2" w14:paraId="718FB877" w14:textId="77777777" w:rsidTr="006429CE">
        <w:tc>
          <w:tcPr>
            <w:tcW w:w="1723" w:type="dxa"/>
          </w:tcPr>
          <w:p w14:paraId="62FDFECF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Reproducibility</w:t>
            </w:r>
          </w:p>
        </w:tc>
        <w:tc>
          <w:tcPr>
            <w:tcW w:w="3222" w:type="dxa"/>
          </w:tcPr>
          <w:p w14:paraId="452537EC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bash, python and R scripts</w:t>
            </w:r>
          </w:p>
        </w:tc>
        <w:tc>
          <w:tcPr>
            <w:tcW w:w="4405" w:type="dxa"/>
          </w:tcPr>
          <w:p w14:paraId="3FDF38B8" w14:textId="68678E92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and any scripts and options used for the analysis are copied and stored in a separate folder as part of the AIDD output</w:t>
            </w:r>
            <w:r w:rsidR="002023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55D2" w14:paraId="6BE04D69" w14:textId="77777777" w:rsidTr="006429CE">
        <w:tc>
          <w:tcPr>
            <w:tcW w:w="1723" w:type="dxa"/>
          </w:tcPr>
          <w:p w14:paraId="31A4B454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</w:t>
            </w:r>
          </w:p>
        </w:tc>
        <w:tc>
          <w:tcPr>
            <w:tcW w:w="3222" w:type="dxa"/>
          </w:tcPr>
          <w:p w14:paraId="16A6C12D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>Fastqc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4D99D7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Stringtie</w:t>
            </w:r>
          </w:p>
          <w:p w14:paraId="3A139350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DESeq2-rlog and vlog</w:t>
            </w:r>
          </w:p>
          <w:p w14:paraId="1C074579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F62">
              <w:rPr>
                <w:rFonts w:ascii="Times New Roman" w:hAnsi="Times New Roman" w:cs="Times New Roman"/>
                <w:bCs/>
                <w:sz w:val="24"/>
                <w:szCs w:val="24"/>
              </w:rPr>
              <w:t>Principle component analysis (PCA)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part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differential expression inference (DESeq2)</w:t>
            </w:r>
          </w:p>
        </w:tc>
        <w:tc>
          <w:tcPr>
            <w:tcW w:w="4405" w:type="dxa"/>
          </w:tcPr>
          <w:p w14:paraId="5E00EB87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>etermine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trimming start and end points for the reads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64587933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Normalizes </w:t>
            </w: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count matrix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</w:t>
            </w: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>taking into account read depth at each site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12E8D98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Transforms </w:t>
            </w: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count matrices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using </w:t>
            </w:r>
            <w:r w:rsidRPr="00F774C4">
              <w:rPr>
                <w:rFonts w:ascii="Times New Roman" w:hAnsi="Times New Roman" w:cs="Times New Roman"/>
                <w:bCs/>
                <w:sz w:val="24"/>
                <w:szCs w:val="24"/>
              </w:rPr>
              <w:t>default transformation rlog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61FAC18E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Checks</w:t>
            </w:r>
            <w:r w:rsidRPr="00227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batch effects in the samples and summariz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 the variation between samples.</w:t>
            </w:r>
          </w:p>
        </w:tc>
      </w:tr>
      <w:tr w:rsidR="00F955D2" w14:paraId="399731D4" w14:textId="77777777" w:rsidTr="006429CE">
        <w:tc>
          <w:tcPr>
            <w:tcW w:w="1723" w:type="dxa"/>
          </w:tcPr>
          <w:p w14:paraId="17069368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Files</w:t>
            </w:r>
          </w:p>
        </w:tc>
        <w:tc>
          <w:tcPr>
            <w:tcW w:w="3222" w:type="dxa"/>
          </w:tcPr>
          <w:p w14:paraId="7251C3BC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HISAT2</w:t>
            </w:r>
          </w:p>
          <w:p w14:paraId="45CF0406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Stringtie</w:t>
            </w:r>
          </w:p>
          <w:p w14:paraId="31DA366B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GATK (haplotypecaller)</w:t>
            </w:r>
          </w:p>
          <w:p w14:paraId="1B66715A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snpEff</w:t>
            </w:r>
          </w:p>
          <w:p w14:paraId="4417524D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DBD2E30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HISAT2 with Stringtie is used to count gene and transcript expression.</w:t>
            </w:r>
          </w:p>
          <w:p w14:paraId="6DA1B596" w14:textId="77777777" w:rsidR="00F955D2" w:rsidRDefault="00F955D2" w:rsidP="006429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Variant calling is used in combination with snpEff to find editing sites and predict their effect on protein structure and function. </w:t>
            </w:r>
          </w:p>
          <w:p w14:paraId="6FC026A3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Normalized count matrix by taking into account read depth at each site.</w:t>
            </w:r>
          </w:p>
        </w:tc>
      </w:tr>
      <w:tr w:rsidR="00F955D2" w14:paraId="5B7A3ED7" w14:textId="77777777" w:rsidTr="006429CE">
        <w:tc>
          <w:tcPr>
            <w:tcW w:w="1723" w:type="dxa"/>
          </w:tcPr>
          <w:p w14:paraId="785F5A2B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Analysis</w:t>
            </w:r>
          </w:p>
        </w:tc>
        <w:tc>
          <w:tcPr>
            <w:tcW w:w="3222" w:type="dxa"/>
          </w:tcPr>
          <w:p w14:paraId="7D1320BF" w14:textId="15065209" w:rsidR="00F955D2" w:rsidRDefault="00F955D2" w:rsidP="0020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ExToolset</w:t>
            </w:r>
            <w:r w:rsidR="002024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61DC4CC6" w14:textId="2E85E9AB" w:rsidR="00F955D2" w:rsidRDefault="00F955D2" w:rsidP="00202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 scripts with bash wrappers are used for statistical analysis. ANOVA is used for differential expression</w:t>
            </w:r>
            <w:r w:rsidR="002023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Pearson’s correlation is used to determine which ADAR is responsible for editing and DESeq2 is used for differential expression analysis</w:t>
            </w:r>
            <w:r w:rsidR="002023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</w:tr>
      <w:tr w:rsidR="00F955D2" w14:paraId="11896E93" w14:textId="77777777" w:rsidTr="006429CE">
        <w:tc>
          <w:tcPr>
            <w:tcW w:w="1723" w:type="dxa"/>
          </w:tcPr>
          <w:p w14:paraId="7BC9A20E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3222" w:type="dxa"/>
          </w:tcPr>
          <w:p w14:paraId="015AFF22" w14:textId="77777777" w:rsidR="00F955D2" w:rsidRDefault="00F955D2" w:rsidP="00642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ExToolset</w:t>
            </w:r>
          </w:p>
        </w:tc>
        <w:tc>
          <w:tcPr>
            <w:tcW w:w="4405" w:type="dxa"/>
          </w:tcPr>
          <w:p w14:paraId="1AFA5B33" w14:textId="2B830A5E" w:rsidR="00F955D2" w:rsidRPr="00F774C4" w:rsidRDefault="00F955D2" w:rsidP="00F955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 scripts with bash wrappers used for statistical analysis. Boxplots, bar graphs and scatterplots highlight ADAR editing landscapes. Venn Diagrams, heatmaps, and volcano plots show results of differential expression analysis</w:t>
            </w:r>
            <w:r w:rsidR="0020234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6063C179" w14:textId="77777777" w:rsidR="00F955D2" w:rsidRDefault="00F955D2" w:rsidP="00F955D2">
      <w:pPr>
        <w:rPr>
          <w:rFonts w:ascii="Times New Roman" w:hAnsi="Times New Roman" w:cs="Times New Roman"/>
          <w:sz w:val="24"/>
          <w:szCs w:val="24"/>
        </w:rPr>
      </w:pPr>
    </w:p>
    <w:p w14:paraId="6E022CC3" w14:textId="77777777" w:rsidR="0098241F" w:rsidRDefault="0098241F"/>
    <w:sectPr w:rsidR="0098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D2"/>
    <w:rsid w:val="00202349"/>
    <w:rsid w:val="00202411"/>
    <w:rsid w:val="0098241F"/>
    <w:rsid w:val="00F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4800"/>
  <w15:chartTrackingRefBased/>
  <w15:docId w15:val="{80D83062-99DE-4B11-AD72-7F70546D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95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5D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1556</Characters>
  <Application>Microsoft Office Word</Application>
  <DocSecurity>0</DocSecurity>
  <Lines>12</Lines>
  <Paragraphs>3</Paragraphs>
  <ScaleCrop>false</ScaleCrop>
  <Company>KSU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2019-11-06T15:10:00Z</dcterms:created>
  <dcterms:modified xsi:type="dcterms:W3CDTF">2019-11-08T19:12:00Z</dcterms:modified>
</cp:coreProperties>
</file>