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85FF" w14:textId="2553A7B6" w:rsidR="00B50476" w:rsidRPr="00B50476" w:rsidRDefault="00406A52" w:rsidP="00B50476">
      <w:pPr>
        <w:spacing w:line="360" w:lineRule="auto"/>
        <w:jc w:val="center"/>
        <w:rPr>
          <w:rFonts w:ascii="Aptos" w:hAnsi="Aptos" w:cs="Calibri"/>
          <w:b/>
          <w:bCs/>
        </w:rPr>
      </w:pPr>
      <w:r w:rsidRPr="00B50476">
        <w:rPr>
          <w:b/>
          <w:bCs/>
        </w:rPr>
        <w:t>  </w:t>
      </w:r>
      <w:r w:rsidR="00B50476" w:rsidRPr="00B50476">
        <w:rPr>
          <w:b/>
          <w:bCs/>
        </w:rPr>
        <w:t>Supplemental Figures for “</w:t>
      </w:r>
      <w:r w:rsidR="00B50476" w:rsidRPr="00B50476">
        <w:rPr>
          <w:rFonts w:ascii="Aptos" w:hAnsi="Aptos" w:cs="Calibri"/>
          <w:b/>
          <w:bCs/>
        </w:rPr>
        <w:t>SARS-CoV-2 infection induced alterations in ADAR editing patterns differ between patients who developed critical compared to non-critical COVID-19</w:t>
      </w:r>
      <w:r w:rsidR="00B50476" w:rsidRPr="00B50476">
        <w:rPr>
          <w:rFonts w:ascii="Aptos" w:hAnsi="Aptos" w:cs="Calibri"/>
          <w:b/>
          <w:bCs/>
        </w:rPr>
        <w:t xml:space="preserve">”, by </w:t>
      </w:r>
      <w:proofErr w:type="spellStart"/>
      <w:r w:rsidR="00B50476" w:rsidRPr="00B50476">
        <w:rPr>
          <w:rFonts w:ascii="Aptos" w:hAnsi="Aptos" w:cs="Calibri"/>
          <w:b/>
          <w:bCs/>
        </w:rPr>
        <w:t>Aiswarya</w:t>
      </w:r>
      <w:proofErr w:type="spellEnd"/>
      <w:r w:rsidR="00B50476" w:rsidRPr="00B50476">
        <w:rPr>
          <w:rFonts w:ascii="Aptos" w:hAnsi="Aptos" w:cs="Calibri"/>
          <w:b/>
          <w:bCs/>
        </w:rPr>
        <w:t xml:space="preserve"> </w:t>
      </w:r>
      <w:proofErr w:type="spellStart"/>
      <w:r w:rsidR="00B50476" w:rsidRPr="00B50476">
        <w:rPr>
          <w:rFonts w:ascii="Aptos" w:hAnsi="Aptos" w:cs="Calibri"/>
          <w:b/>
          <w:bCs/>
        </w:rPr>
        <w:t>Mukundan</w:t>
      </w:r>
      <w:proofErr w:type="spellEnd"/>
      <w:r w:rsidR="00B50476" w:rsidRPr="00B50476">
        <w:rPr>
          <w:rFonts w:ascii="Aptos" w:hAnsi="Aptos" w:cs="Calibri"/>
          <w:b/>
          <w:bCs/>
        </w:rPr>
        <w:t xml:space="preserve"> Nair, Helen Piontkivska</w:t>
      </w:r>
    </w:p>
    <w:p w14:paraId="124CEF6C" w14:textId="291D5F88" w:rsidR="00B50476" w:rsidRDefault="00B50476"/>
    <w:p w14:paraId="3BB645A6" w14:textId="6AD07A27" w:rsidR="00B50476" w:rsidRDefault="00B50476"/>
    <w:p w14:paraId="6D071BBE" w14:textId="2C89C0CD" w:rsidR="00594956" w:rsidRDefault="00406A52">
      <w:r w:rsidRPr="00406A52">
        <w:t> </w:t>
      </w:r>
    </w:p>
    <w:p w14:paraId="54F7ED56" w14:textId="77777777" w:rsidR="00B50476" w:rsidRDefault="00B50476" w:rsidP="0DE1CB3E">
      <w:pPr>
        <w:rPr>
          <w:b/>
          <w:bCs/>
        </w:rPr>
      </w:pPr>
    </w:p>
    <w:p w14:paraId="5CC88AE1" w14:textId="5E8B7A75" w:rsidR="00B50476" w:rsidRDefault="00B50476" w:rsidP="0DE1CB3E">
      <w:pPr>
        <w:rPr>
          <w:b/>
          <w:bCs/>
        </w:rPr>
      </w:pPr>
      <w:r w:rsidRPr="00406A52">
        <w:rPr>
          <w:noProof/>
        </w:rPr>
        <w:drawing>
          <wp:inline distT="0" distB="0" distL="0" distR="0" wp14:anchorId="27E5D17E" wp14:editId="7FF31D3F">
            <wp:extent cx="6253843" cy="5003074"/>
            <wp:effectExtent l="0" t="0" r="0" b="1270"/>
            <wp:docPr id="2085488608" name="Picture 1" descr="A diagram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8608" name="Picture 1" descr="A diagram of a number of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54" cy="509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D82F" w14:textId="4658EEA8" w:rsidR="00406A52" w:rsidRPr="00813235" w:rsidRDefault="00406A52" w:rsidP="0DE1CB3E">
      <w:r w:rsidRPr="0DE1CB3E">
        <w:rPr>
          <w:b/>
          <w:bCs/>
        </w:rPr>
        <w:t xml:space="preserve">Supplemental Figure 1: </w:t>
      </w:r>
      <w:r w:rsidR="00EA051B">
        <w:t>PCA plot of top 500 differentially expressed genes</w:t>
      </w:r>
      <w:r w:rsidR="26C6C12C">
        <w:t xml:space="preserve">. PC1 </w:t>
      </w:r>
      <w:r w:rsidR="00B50476">
        <w:t>clearly</w:t>
      </w:r>
      <w:r w:rsidR="26C6C12C">
        <w:t xml:space="preserve"> separated critical from non-critical patients.</w:t>
      </w:r>
    </w:p>
    <w:p w14:paraId="26135224" w14:textId="10858836" w:rsidR="00BC6523" w:rsidRPr="00BC6523" w:rsidRDefault="004445E6" w:rsidP="00BC6523">
      <w:r>
        <w:rPr>
          <w:noProof/>
        </w:rPr>
        <w:lastRenderedPageBreak/>
        <w:drawing>
          <wp:inline distT="0" distB="0" distL="0" distR="0" wp14:anchorId="3AA50E56" wp14:editId="31731E92">
            <wp:extent cx="5928716" cy="3440491"/>
            <wp:effectExtent l="0" t="0" r="0" b="7620"/>
            <wp:docPr id="155551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55" cy="345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A447E" w14:textId="47428F49" w:rsidR="00BC6523" w:rsidRDefault="00BC6523">
      <w:r w:rsidRPr="004445E6">
        <w:rPr>
          <w:b/>
          <w:bCs/>
        </w:rPr>
        <w:t>Supplemental figure 2</w:t>
      </w:r>
      <w:r w:rsidR="004445E6" w:rsidRPr="004445E6">
        <w:rPr>
          <w:b/>
          <w:bCs/>
        </w:rPr>
        <w:t>:</w:t>
      </w:r>
      <w:r w:rsidR="004445E6">
        <w:rPr>
          <w:b/>
          <w:bCs/>
        </w:rPr>
        <w:t xml:space="preserve"> Difference in ADAR editing between critical and non-critical patients</w:t>
      </w:r>
      <w:r w:rsidR="004445E6">
        <w:t xml:space="preserve"> (A) </w:t>
      </w:r>
      <w:r w:rsidR="00677460">
        <w:t xml:space="preserve">Average number of ADAR edits between critical and non-critical patients. </w:t>
      </w:r>
      <w:r w:rsidR="004445E6">
        <w:t xml:space="preserve">(B) Region wise distribution of uniquely edited sites within non-critical patients. inset plots show different types of substitutions within </w:t>
      </w:r>
      <w:proofErr w:type="spellStart"/>
      <w:r w:rsidR="004445E6">
        <w:t>exonic</w:t>
      </w:r>
      <w:proofErr w:type="spellEnd"/>
      <w:r w:rsidR="004445E6">
        <w:t xml:space="preserve"> regions. (C) Region wise distribution of uniquely edited sites within critical patients. inset plots show different types of substitutions within </w:t>
      </w:r>
      <w:proofErr w:type="spellStart"/>
      <w:r w:rsidR="004445E6">
        <w:t>exonic</w:t>
      </w:r>
      <w:proofErr w:type="spellEnd"/>
      <w:r w:rsidR="004445E6">
        <w:t xml:space="preserve"> regions. (D) Screenshot of interactive 3D viewer showing interatomic interactions of the wildtype residue (S) at position 164 in exon 3 in HLA-DRB5 gene</w:t>
      </w:r>
      <w:r w:rsidR="001A5120">
        <w:t xml:space="preserve"> carrying non-synonymous substitution in non-critical patients</w:t>
      </w:r>
      <w:r w:rsidR="004445E6">
        <w:t>. (E) Screenshot of interactive 3D viewer showing interatomic interactions of the wildtype residue (H) at position 292 in exon 7 in</w:t>
      </w:r>
      <w:r w:rsidR="00764CB3">
        <w:t xml:space="preserve"> DHRSX</w:t>
      </w:r>
      <w:r w:rsidR="004445E6">
        <w:t xml:space="preserve"> gene</w:t>
      </w:r>
      <w:r w:rsidR="001A5120">
        <w:t xml:space="preserve"> carrying non-synonymous substitution in critical patients.</w:t>
      </w:r>
    </w:p>
    <w:p w14:paraId="63EBEA3F" w14:textId="71FFF4F4" w:rsidR="00D76F3E" w:rsidRDefault="00D76F3E">
      <w:r w:rsidRPr="00D76F3E">
        <w:rPr>
          <w:noProof/>
        </w:rPr>
        <w:lastRenderedPageBreak/>
        <w:drawing>
          <wp:inline distT="0" distB="0" distL="0" distR="0" wp14:anchorId="036532E6" wp14:editId="59FFAAFE">
            <wp:extent cx="5943600" cy="2224405"/>
            <wp:effectExtent l="0" t="0" r="0" b="4445"/>
            <wp:docPr id="5641382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0A0F79-D945-3316-5214-82436D7B0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B541BD" w14:textId="157F1EEB" w:rsidR="00D76F3E" w:rsidRPr="00813235" w:rsidRDefault="00D76F3E" w:rsidP="0DE1CB3E">
      <w:r w:rsidRPr="0DE1CB3E">
        <w:rPr>
          <w:b/>
          <w:bCs/>
        </w:rPr>
        <w:t>Supplemental Figure 3:</w:t>
      </w:r>
      <w:r w:rsidR="00EA051B" w:rsidRPr="0DE1CB3E">
        <w:rPr>
          <w:b/>
          <w:bCs/>
        </w:rPr>
        <w:t xml:space="preserve"> </w:t>
      </w:r>
      <w:r w:rsidR="00EA051B">
        <w:t>Genomic distribution of differentially edited sites</w:t>
      </w:r>
      <w:r w:rsidR="3BAE98D8">
        <w:t xml:space="preserve">. Highest number of differentially edited sites </w:t>
      </w:r>
      <w:r w:rsidR="67DD10B8">
        <w:t xml:space="preserve">mapped to introns followed by 3’UTR, </w:t>
      </w:r>
      <w:proofErr w:type="spellStart"/>
      <w:r w:rsidR="67DD10B8">
        <w:t>exonic</w:t>
      </w:r>
      <w:proofErr w:type="spellEnd"/>
      <w:r w:rsidR="67DD10B8">
        <w:t xml:space="preserve"> region also contains a missense edit.</w:t>
      </w:r>
    </w:p>
    <w:sectPr w:rsidR="00D76F3E" w:rsidRPr="0081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77"/>
    <w:rsid w:val="00111C4E"/>
    <w:rsid w:val="00151888"/>
    <w:rsid w:val="00197FE5"/>
    <w:rsid w:val="001A5120"/>
    <w:rsid w:val="00301347"/>
    <w:rsid w:val="00406A52"/>
    <w:rsid w:val="004445E6"/>
    <w:rsid w:val="00594956"/>
    <w:rsid w:val="00677460"/>
    <w:rsid w:val="00732A06"/>
    <w:rsid w:val="00764CB3"/>
    <w:rsid w:val="007A18C9"/>
    <w:rsid w:val="00805C04"/>
    <w:rsid w:val="00813235"/>
    <w:rsid w:val="00B159BE"/>
    <w:rsid w:val="00B50476"/>
    <w:rsid w:val="00BC6523"/>
    <w:rsid w:val="00BF1D77"/>
    <w:rsid w:val="00D76F3E"/>
    <w:rsid w:val="00EA051B"/>
    <w:rsid w:val="0DE1CB3E"/>
    <w:rsid w:val="26C6C12C"/>
    <w:rsid w:val="39B0CA47"/>
    <w:rsid w:val="3BAE98D8"/>
    <w:rsid w:val="3D554E1E"/>
    <w:rsid w:val="50C78022"/>
    <w:rsid w:val="67DD10B8"/>
    <w:rsid w:val="6E85E832"/>
    <w:rsid w:val="7CC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9299"/>
  <w15:chartTrackingRefBased/>
  <w15:docId w15:val="{624D3D55-5C42-4954-907C-AE24E7C8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[edgeR_ATGC_results_FDR0_05_FC0.05_annotated.csv]Sheet1!PivotTable5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840-4E2E-97B9-0A690D86A20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840-4E2E-97B9-0A690D86A20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840-4E2E-97B9-0A690D86A20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840-4E2E-97B9-0A690D86A20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840-4E2E-97B9-0A690D86A20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840-4E2E-97B9-0A690D86A201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840-4E2E-97B9-0A690D86A201}"/>
              </c:ext>
            </c:extLst>
          </c:dPt>
          <c:dLbls>
            <c:dLbl>
              <c:idx val="0"/>
              <c:layout>
                <c:manualLayout>
                  <c:x val="-0.13377797210238834"/>
                  <c:y val="6.5204971174838395E-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9927646354288493"/>
                      <c:h val="0.2377544058276245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840-4E2E-97B9-0A690D86A201}"/>
                </c:ext>
              </c:extLst>
            </c:dLbl>
            <c:dLbl>
              <c:idx val="1"/>
              <c:layout>
                <c:manualLayout>
                  <c:x val="2.417776087281668E-2"/>
                  <c:y val="1.490592161553923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151894329761031"/>
                      <c:h val="0.3112990332054813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840-4E2E-97B9-0A690D86A201}"/>
                </c:ext>
              </c:extLst>
            </c:dLbl>
            <c:dLbl>
              <c:idx val="2"/>
              <c:layout>
                <c:manualLayout>
                  <c:x val="-2.1105390672319885E-2"/>
                  <c:y val="-2.187393932309988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708779191062657"/>
                      <c:h val="0.212910418741191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F840-4E2E-97B9-0A690D86A201}"/>
                </c:ext>
              </c:extLst>
            </c:dLbl>
            <c:dLbl>
              <c:idx val="3"/>
              <c:layout>
                <c:manualLayout>
                  <c:x val="2.0981186670234126E-3"/>
                  <c:y val="0.1222132769463405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601150817686252"/>
                      <c:h val="0.225606398115451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F840-4E2E-97B9-0A690D86A201}"/>
                </c:ext>
              </c:extLst>
            </c:dLbl>
            <c:dLbl>
              <c:idx val="4"/>
              <c:layout>
                <c:manualLayout>
                  <c:x val="-8.865178986699454E-2"/>
                  <c:y val="-2.153068148193163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840-4E2E-97B9-0A690D86A201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050794131502793"/>
                      <c:h val="0.2454732838669217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F840-4E2E-97B9-0A690D86A201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501430109697827"/>
                      <c:h val="0.278171915635866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D-F840-4E2E-97B9-0A690D86A20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Sheet1!$A$4:$A$10</c:f>
              <c:strCache>
                <c:ptCount val="7"/>
                <c:pt idx="0">
                  <c:v>3_prime_UTR_variant</c:v>
                </c:pt>
                <c:pt idx="1">
                  <c:v>downstream_gene_variant</c:v>
                </c:pt>
                <c:pt idx="2">
                  <c:v>intergenic_region</c:v>
                </c:pt>
                <c:pt idx="3">
                  <c:v>intragenic_variant</c:v>
                </c:pt>
                <c:pt idx="4">
                  <c:v>intron_variant</c:v>
                </c:pt>
                <c:pt idx="5">
                  <c:v>missense_variant</c:v>
                </c:pt>
                <c:pt idx="6">
                  <c:v>upstream_gene_variant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7"/>
                <c:pt idx="0">
                  <c:v>16</c:v>
                </c:pt>
                <c:pt idx="1">
                  <c:v>27</c:v>
                </c:pt>
                <c:pt idx="2">
                  <c:v>4</c:v>
                </c:pt>
                <c:pt idx="3">
                  <c:v>2</c:v>
                </c:pt>
                <c:pt idx="4">
                  <c:v>49</c:v>
                </c:pt>
                <c:pt idx="5">
                  <c:v>1</c:v>
                </c:pt>
                <c:pt idx="6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840-4E2E-97B9-0A690D86A2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Mukundan Nair, Aiswarya</dc:creator>
  <cp:keywords/>
  <dc:description/>
  <cp:lastModifiedBy>Piontkivska, Helen</cp:lastModifiedBy>
  <cp:revision>5</cp:revision>
  <dcterms:created xsi:type="dcterms:W3CDTF">2025-06-23T00:42:00Z</dcterms:created>
  <dcterms:modified xsi:type="dcterms:W3CDTF">2025-10-22T21:40:00Z</dcterms:modified>
</cp:coreProperties>
</file>