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imes-Roman" w:hAnsi="Times-Roman"/>
          <w:sz w:val="48"/>
        </w:rPr>
        <w:t>BioSIM' Development Rate Models</w:t>
      </w:r>
    </w:p>
    <w:p>
      <w:pPr>
        <w:pStyle w:val="Normal"/>
        <w:jc w:val="center"/>
        <w:rPr/>
      </w:pPr>
      <w:r>
        <w:rPr>
          <w:rFonts w:ascii="Times-Roman" w:hAnsi="Times-Roman"/>
          <w:sz w:val="44"/>
        </w:rPr>
        <w:t>Standardized Parameters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6"/>
          <w:lang w:val="fr-FR"/>
        </w:rPr>
        <w:t>Rémi Saint−Amant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2"/>
          <w:lang w:val="fr-FR"/>
        </w:rPr>
        <w:t>Version 1.0.0 (2022-01-31)</w:t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tbl>
      <w:tblPr>
        <w:tblStyle w:val="Grilledutableau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4"/>
        <w:gridCol w:w="5093"/>
      </w:tblGrid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  <w:lang w:val="en-CA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CA" w:eastAsia="zh-CN" w:bidi="hi-IN"/>
              </w:rPr>
              <w:t>Scale factor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General Parameters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Sharpe&amp;all Parameters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  <m: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or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for</m:t>
                </m:r>
                <m:r>
                  <w:rPr>
                    <w:rFonts w:ascii="Cambria Math" w:hAnsi="Cambria Math"/>
                  </w:rPr>
                  <m:t xml:space="preserve">Kelvin</m:t>
                </m:r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Lower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Optimum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Upper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Others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NSimSun" w:cs="Mangal"/>
                <w:kern w:val="2"/>
                <w:szCs w:val="24"/>
                <w:lang w:val="en-US" w:eastAsia="zh-CN" w:bidi="hi-IN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 scale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Intermediate computation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9708" w:type="dxa"/>
        <w:jc w:val="left"/>
        <w:tblInd w:w="-396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firstRow="0" w:noVBand="0" w:lastRow="0" w:firstColumn="0" w:lastColumn="0" w:noHBand="0" w:val="0000"/>
      </w:tblPr>
      <w:tblGrid>
        <w:gridCol w:w="3513"/>
        <w:gridCol w:w="16194"/>
      </w:tblGrid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Allahyari (2005)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Analytis (1977)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Angilletta (2006)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|"/>
                            <m:endChr m:val="|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Bieri (1983)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Boatman (2017)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sin</m:t>
                </m:r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e>
                                <m: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sSub>
                      <m:e>
                        <m: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Briere1 (1999)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Briere2 (1999)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Damos (2008)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den>
                        </m:f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Damos (2011)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Deutsch (2008)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d>
                            <m:dPr>
                              <m:begChr m:val="["/>
                              <m:endChr m:val="]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m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Deva&amp;Higgis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Ω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Ω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e>
                                    <m:sup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0.28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0.72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0.39</m:t>
                          </m:r>
                          <m:sSub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bSup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Hansen (2011)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Hilbert&amp;LoganIII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Hilbert&amp;Logan (1983)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Huey&amp;Stevenson (1979)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Janisch1 (1932)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ψ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Janisch2 (1932)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ψ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Johnson (1974)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sub>
                          </m:sSub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</m:t>
                                  </m:r>
                                </m:sub>
                              </m:sSub>
                            </m:sub>
                          </m:sSub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Kontodimas (2004)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Lactin1 (1995)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Lactin2 (1995)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Lamb (1992)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Δ</m:t>
                                              </m:r>
                                            </m:e>
                                            <m:sub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Δ</m:t>
                                              </m:r>
                                            </m:e>
                                            <m:sub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Lobry&amp;Rosso&amp;Flandrois (1993)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Logan10 (1976)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Logan6 (1976)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LoganTb (1979)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Oneill 1972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Poly1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Poly2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Poly3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Poly4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Ratkowsky (1983)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m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(1982)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kβ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(1987)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Regniere (2012)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(1986)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Saint-Amant (2021)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Schoolfield (1981)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  <m:d>
                      <m:dPr>
                        <m:begChr m:val="["/>
                        <m:endChr m:val="]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298</m:t>
                            </m:r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298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SH_arpe&amp;DeMichele_1977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sub>
                    </m:sSub>
                    <m:d>
                      <m:dPr>
                        <m:begChr m:val="["/>
                        <m:endChr m:val="]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o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(2016)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02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Stinner (1974)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≥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Taylor (1981)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Wagner (1988)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25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298.15</m:t>
                        </m:r>
                      </m:den>
                    </m:f>
                  </m:e>
                </m:d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298.15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Wang&amp;Engel (1998)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Wang&amp;Lan&amp;Ding (1982)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  <m:eqAr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  <m:eqAr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Yan&amp;Hunt (1999)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Yin (1995)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ψ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  <w:r>
        <w:br w:type="page"/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  <w:t>Reference</w:t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709" w:hanging="283"/>
        <w:rPr/>
      </w:pPr>
      <w:r>
        <w:rPr>
          <w:rFonts w:ascii="Times-Roman" w:hAnsi="Times-Roman"/>
        </w:rPr>
        <w:t xml:space="preserve">Sporleder M, Tonnang HEZ, Carhuapoma P, Gonzales JC, Juarez H, Kroschel J. 2013. Insect Life Cycle Modeling (ILCYM) software a new tool for Regional and Global Insect Pest Risk Assessments under Current and Future Climate Change Scenarios. In: Peña JE, ed. Potential invasive pests of agricultural crops. Wallingford: CABI </w:t>
      </w:r>
      <w:r>
        <w:rPr>
          <w:rStyle w:val="LienInternet"/>
          <w:rFonts w:ascii="Times-Roman" w:hAnsi="Times-Roman"/>
        </w:rPr>
        <w:t>https://doi.org/10.1079/9781845938291.0412</w:t>
      </w:r>
    </w:p>
    <w:p>
      <w:pPr>
        <w:pStyle w:val="Normal"/>
        <w:ind w:left="709" w:hanging="283"/>
        <w:rPr>
          <w:rFonts w:ascii="Times-Roman" w:hAnsi="Times-Roman"/>
        </w:rPr>
      </w:pPr>
      <w:r>
        <w:rPr>
          <w:rFonts w:ascii="Times-Roman" w:hAnsi="Times-Roman"/>
        </w:rPr>
      </w:r>
    </w:p>
    <w:p>
      <w:pPr>
        <w:pStyle w:val="Normal"/>
        <w:ind w:left="709" w:hanging="283"/>
        <w:rPr>
          <w:rFonts w:ascii="Times-Roman" w:hAnsi="Times-Roman"/>
        </w:rPr>
      </w:pPr>
      <w:r>
        <w:rPr>
          <w:rFonts w:ascii="Times-Roman" w:hAnsi="Times-Roman"/>
        </w:rPr>
      </w:r>
    </w:p>
    <w:p>
      <w:pPr>
        <w:pStyle w:val="Normal"/>
        <w:ind w:left="709" w:hanging="283"/>
        <w:rPr/>
      </w:pPr>
      <w:r>
        <w:rPr>
          <w:rFonts w:ascii="Times-Roman" w:hAnsi="Times-Roman"/>
        </w:rPr>
        <w:t xml:space="preserve">Rebaudo, F., Struelens, Q., Dangles, O. (2018). Modelling temperature−dependent development rate and phenology in arthropods: the DEVRATE package for R. Methods in Ecology &amp; Evolution, 9(4), 1144−1150. </w:t>
      </w:r>
      <w:hyperlink r:id="rId2">
        <w:r>
          <w:rPr>
            <w:rStyle w:val="LienInternet"/>
            <w:rFonts w:ascii="Times-Roman" w:hAnsi="Times-Roman"/>
          </w:rPr>
          <w:t>https://doi.org/10.1111/2041</w:t>
        </w:r>
      </w:hyperlink>
      <w:r>
        <w:rPr>
          <w:rFonts w:ascii="Times-Roman" w:hAnsi="Times-Roman"/>
        </w:rPr>
        <w:t>−210X.12935</w:t>
      </w:r>
    </w:p>
    <w:p>
      <w:pPr>
        <w:pStyle w:val="Normal"/>
        <w:ind w:left="709" w:hanging="283"/>
        <w:rPr>
          <w:rFonts w:ascii="Times-Roman" w:hAnsi="Times-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-Roman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7727e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772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11/204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LibreOffice/7.2.5.2$Windows_X86_64 LibreOffice_project/499f9727c189e6ef3471021d6132d4c694f357e5</Application>
  <AppVersion>15.0000</AppVersion>
  <Pages>7</Pages>
  <Words>194</Words>
  <Characters>1381</Characters>
  <CharactersWithSpaces>1510</CharactersWithSpaces>
  <Paragraphs>123</Paragraphs>
  <Company>NRCan  / 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2022-01-30T14:38:00Z</dcterms:created>
  <dc:creator>Rémi Saint-Amant</dc:creator>
  <dc:description/>
  <dc:language>en-CA</dc:language>
  <cp:lastModifiedBy>Rémi Saint-Amant</cp:lastModifiedBy>
  <dcterms:modified xsi:type="dcterms:W3CDTF">2022-01-31T12:27:17Z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