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i w:val="false"/>
          <w:strike w:val="false"/>
          <w:dstrike w:val="false"/>
          <w:outline w:val="false"/>
          <w:shadow w:val="false"/>
          <w:sz w:val="48"/>
          <w:u w:val="none"/>
          <w:em w:val="none"/>
        </w:rPr>
        <w:t>BioSIM' Development Rate Models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44"/>
        </w:rPr>
        <w:t>Standardized Parameters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Rémi Saint−Amant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2"/>
        </w:rPr>
        <w:t>Version 1.0.0 (2021)</w:t>
      </w:r>
    </w:p>
    <w:p>
      <w:pPr>
        <w:pStyle w:val="Normal"/>
        <w:bidi w:val="0"/>
        <w:jc w:val="left"/>
        <w:rPr>
          <w:rFonts w:ascii="Times-Roman" w:hAnsi="Times-Roman"/>
          <w:sz w:val="36"/>
        </w:rPr>
      </w:pPr>
      <w:r>
        <w:rPr/>
      </w:r>
    </w:p>
    <w:p>
      <w:pPr>
        <w:pStyle w:val="Normal"/>
        <w:bidi w:val="0"/>
        <w:jc w:val="left"/>
        <w:rPr>
          <w:rFonts w:ascii="Times-Roman" w:hAnsi="Times-Roman"/>
          <w:sz w:val="36"/>
        </w:rPr>
      </w:pPr>
      <w:r>
        <w:rPr/>
      </w:r>
    </w:p>
    <w:p>
      <w:pPr>
        <w:pStyle w:val="Normal"/>
        <w:bidi w:val="0"/>
        <w:jc w:val="left"/>
        <w:rPr>
          <w:rFonts w:ascii="Times-Roman" w:hAnsi="Times-Roman"/>
          <w:sz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 xml:space="preserve">Scale factor </w:t>
      </w:r>
      <w:r>
        <w:rPr>
          <w:rFonts w:ascii="Symbol" w:hAnsi="Symbol"/>
          <w:sz w:val="36"/>
        </w:rPr>
        <w:t>ψ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General Parameters k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k</w:t>
      </w:r>
      <w:r>
        <w:rPr>
          <w:rFonts w:ascii="Times-Roman" w:hAnsi="Times-Roman"/>
          <w:sz w:val="26"/>
        </w:rPr>
        <w:t>0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k</w:t>
      </w:r>
      <w:r>
        <w:rPr>
          <w:rFonts w:ascii="Times-Roman" w:hAnsi="Times-Roman"/>
          <w:sz w:val="26"/>
        </w:rPr>
        <w:t>1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k</w:t>
      </w:r>
      <w:r>
        <w:rPr>
          <w:rFonts w:ascii="Times-Roman" w:hAnsi="Times-Roman"/>
          <w:sz w:val="26"/>
        </w:rPr>
        <w:t>2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k</w:t>
      </w:r>
      <w:r>
        <w:rPr>
          <w:rFonts w:ascii="Times-Roman" w:hAnsi="Times-Roman"/>
          <w:sz w:val="26"/>
        </w:rPr>
        <w:t>3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k</w:t>
      </w:r>
      <w:r>
        <w:rPr>
          <w:rFonts w:ascii="Times-Roman" w:hAnsi="Times-Roman"/>
          <w:sz w:val="26"/>
        </w:rPr>
        <w:t>4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Sharpe&amp;all Parameters H</w:t>
      </w:r>
      <w:r>
        <w:rPr>
          <w:rFonts w:ascii="Times-Roman" w:hAnsi="Times-Roman"/>
          <w:sz w:val="26"/>
        </w:rPr>
        <w:t>A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H</w:t>
      </w:r>
      <w:r>
        <w:rPr>
          <w:rFonts w:ascii="Times-Roman" w:hAnsi="Times-Roman"/>
          <w:sz w:val="26"/>
        </w:rPr>
        <w:t>L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T</w:t>
      </w:r>
      <w:r>
        <w:rPr>
          <w:rFonts w:ascii="Times-Roman" w:hAnsi="Times-Roman"/>
          <w:sz w:val="26"/>
        </w:rPr>
        <w:t>L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T</w:t>
      </w:r>
      <w:r>
        <w:rPr>
          <w:rFonts w:ascii="Times-Roman" w:hAnsi="Times-Roman"/>
          <w:sz w:val="26"/>
        </w:rPr>
        <w:t>k</w:t>
      </w:r>
      <w:r>
        <w:rPr>
          <w:rFonts w:ascii="Times-Roman" w:hAnsi="Times-Roman"/>
          <w:sz w:val="18"/>
        </w:rPr>
        <w:t>L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H</w:t>
      </w:r>
      <w:r>
        <w:rPr>
          <w:rFonts w:ascii="Times-Roman" w:hAnsi="Times-Roman"/>
          <w:sz w:val="26"/>
        </w:rPr>
        <w:t>H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T</w:t>
      </w:r>
      <w:r>
        <w:rPr>
          <w:rFonts w:ascii="Times-Roman" w:hAnsi="Times-Roman"/>
          <w:sz w:val="26"/>
        </w:rPr>
        <w:t>H</w:t>
      </w:r>
      <w:r>
        <w:rPr>
          <w:rFonts w:ascii="Symbol" w:hAnsi="Symbol"/>
          <w:sz w:val="36"/>
        </w:rPr>
        <w:t xml:space="preserve">, </w:t>
      </w:r>
      <w:r>
        <w:rPr>
          <w:rFonts w:ascii="Times-Roman" w:hAnsi="Times-Roman"/>
          <w:sz w:val="36"/>
        </w:rPr>
        <w:t>T</w:t>
      </w:r>
      <w:r>
        <w:rPr>
          <w:rFonts w:ascii="Times-Roman" w:hAnsi="Times-Roman"/>
          <w:sz w:val="26"/>
        </w:rPr>
        <w:t>k</w:t>
      </w:r>
      <w:r>
        <w:rPr>
          <w:rFonts w:ascii="Times-Roman" w:hAnsi="Times-Roman"/>
          <w:sz w:val="18"/>
        </w:rPr>
        <w:t>H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 xml:space="preserve">Temperature T °C or </w:t>
      </w:r>
      <w:r>
        <w:rPr>
          <w:rFonts w:ascii="Times-Roman" w:hAnsi="Times-Roman"/>
          <w:sz w:val="36"/>
        </w:rPr>
        <w:t xml:space="preserve">( </w:t>
      </w:r>
      <w:r>
        <w:rPr>
          <w:rFonts w:ascii="Times-Roman" w:hAnsi="Times-Roman"/>
          <w:sz w:val="36"/>
        </w:rPr>
        <w:t>T</w:t>
      </w:r>
      <w:r>
        <w:rPr>
          <w:rFonts w:ascii="Times-Roman" w:hAnsi="Times-Roman"/>
          <w:sz w:val="26"/>
        </w:rPr>
        <w:t xml:space="preserve">k </w:t>
      </w:r>
      <w:r>
        <w:rPr>
          <w:rFonts w:ascii="Times-Roman" w:hAnsi="Times-Roman"/>
          <w:sz w:val="36"/>
        </w:rPr>
        <w:t xml:space="preserve">in Kelvin </w:t>
      </w:r>
      <w:r>
        <w:rPr>
          <w:rFonts w:ascii="Times-Roman" w:hAnsi="Times-Roman"/>
          <w:sz w:val="36"/>
        </w:rPr>
        <w:t>)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Lower T</w:t>
      </w:r>
      <w:r>
        <w:rPr>
          <w:rFonts w:ascii="Times-Roman" w:hAnsi="Times-Roman"/>
          <w:sz w:val="26"/>
        </w:rPr>
        <w:t xml:space="preserve">b </w:t>
      </w:r>
      <w:r>
        <w:rPr>
          <w:rFonts w:ascii="Times-Roman" w:hAnsi="Times-Roman"/>
          <w:sz w:val="36"/>
        </w:rPr>
        <w:t>°C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Optimum T</w:t>
      </w:r>
      <w:r>
        <w:rPr>
          <w:rFonts w:ascii="Times-Roman" w:hAnsi="Times-Roman"/>
          <w:sz w:val="26"/>
        </w:rPr>
        <w:t xml:space="preserve">o </w:t>
      </w:r>
      <w:r>
        <w:rPr>
          <w:rFonts w:ascii="Times-Roman" w:hAnsi="Times-Roman"/>
          <w:sz w:val="36"/>
        </w:rPr>
        <w:t>°C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Upper T</w:t>
      </w:r>
      <w:r>
        <w:rPr>
          <w:rFonts w:ascii="Times-Roman" w:hAnsi="Times-Roman"/>
          <w:sz w:val="26"/>
        </w:rPr>
        <w:t xml:space="preserve">m </w:t>
      </w:r>
      <w:r>
        <w:rPr>
          <w:rFonts w:ascii="Times-Roman" w:hAnsi="Times-Roman"/>
          <w:sz w:val="36"/>
        </w:rPr>
        <w:t>°C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Others T</w:t>
      </w:r>
      <w:r>
        <w:rPr>
          <w:rFonts w:ascii="Symbol" w:hAnsi="Symbol"/>
          <w:sz w:val="26"/>
        </w:rPr>
        <w:t>ω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 xml:space="preserve">Temperature scale </w:t>
      </w:r>
      <w:r>
        <w:rPr>
          <w:rFonts w:ascii="Symbol" w:hAnsi="Symbol"/>
          <w:sz w:val="36"/>
        </w:rPr>
        <w:t>Δ</w:t>
      </w:r>
      <w:r>
        <w:rPr>
          <w:rFonts w:ascii="Times-Roman" w:hAnsi="Times-Roman"/>
          <w:sz w:val="26"/>
        </w:rPr>
        <w:t>T</w:t>
      </w:r>
      <w:r>
        <w:rPr>
          <w:rFonts w:ascii="Symbol" w:hAnsi="Symbol"/>
          <w:sz w:val="36"/>
        </w:rPr>
        <w:t>, Δ</w:t>
      </w:r>
      <w:r>
        <w:rPr>
          <w:rFonts w:ascii="Times-Roman" w:hAnsi="Times-Roman"/>
          <w:sz w:val="26"/>
        </w:rPr>
        <w:t>T</w:t>
      </w:r>
      <w:r>
        <w:rPr>
          <w:rFonts w:ascii="Times-Roman" w:hAnsi="Times-Roman"/>
          <w:sz w:val="18"/>
        </w:rPr>
        <w:t>b</w:t>
      </w:r>
      <w:r>
        <w:rPr>
          <w:rFonts w:ascii="Symbol" w:hAnsi="Symbol"/>
          <w:sz w:val="36"/>
        </w:rPr>
        <w:t>, Δ</w:t>
      </w:r>
      <w:r>
        <w:rPr>
          <w:rFonts w:ascii="Times-Roman" w:hAnsi="Times-Roman"/>
          <w:sz w:val="26"/>
        </w:rPr>
        <w:t>T</w:t>
      </w:r>
      <w:r>
        <w:rPr>
          <w:rFonts w:ascii="Times-Roman" w:hAnsi="Times-Roman"/>
          <w:sz w:val="18"/>
        </w:rPr>
        <w:t>m</w:t>
      </w:r>
    </w:p>
    <w:p>
      <w:pPr>
        <w:pStyle w:val="Normal"/>
        <w:bidi w:val="0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Times-Roman" w:hAnsi="Times-Roman"/>
          <w:sz w:val="36"/>
        </w:rPr>
        <w:t xml:space="preserve">Intermediate computation </w:t>
      </w:r>
      <w:r>
        <w:rPr>
          <w:rFonts w:ascii="Symbol" w:hAnsi="Symbol"/>
          <w:sz w:val="36"/>
        </w:rPr>
        <w:t>β, β</w:t>
      </w:r>
      <w:r>
        <w:rPr>
          <w:rFonts w:ascii="Times-Roman" w:hAnsi="Times-Roman"/>
          <w:sz w:val="26"/>
        </w:rPr>
        <w:t>1</w:t>
      </w:r>
      <w:r>
        <w:rPr>
          <w:rFonts w:ascii="Symbol" w:hAnsi="Symbol"/>
          <w:sz w:val="36"/>
        </w:rPr>
        <w:t>, β</w:t>
      </w:r>
      <w:r>
        <w:rPr>
          <w:rFonts w:ascii="Times-Roman" w:hAnsi="Times-Roman"/>
          <w:sz w:val="26"/>
        </w:rPr>
        <w:t>2</w:t>
      </w:r>
      <w:r>
        <w:rPr>
          <w:rFonts w:ascii="Symbol" w:hAnsi="Symbol"/>
          <w:sz w:val="36"/>
        </w:rPr>
        <w:t>, 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/>
      </w:r>
      <w:r>
        <w:br w:type="page"/>
      </w:r>
    </w:p>
    <w:p>
      <w:pPr>
        <w:pStyle w:val="Normal"/>
        <w:bidi w:val="0"/>
        <w:rPr/>
      </w:pPr>
      <w:r>
        <w:rPr/>
      </w:r>
    </w:p>
    <w:tbl>
      <w:tblPr>
        <w:tblW w:w="1970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513"/>
        <w:gridCol w:w="16194"/>
      </w:tblGrid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Allahyari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2005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r>
                        <m:t xml:space="preserve"> 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t xml:space="preserve"> 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 xml:space="preserve">Analytis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1977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Angilletta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2006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|"/>
                            <m:endChr m:val="|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Bieri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Boatman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sin</m:t>
                </m:r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Briere1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Briere2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Damos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2008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den>
                        </m:f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Damos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Deutsch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2008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d>
                            <m:dPr>
                              <m:begChr m:val="["/>
                              <m:endChr m:val="]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Deva&amp;Higgis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sup>
                      </m:s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Ω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e>
                                    <m:sup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0.28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0.72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log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1.5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0.39</m:t>
                          </m:r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bSup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Hansen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Hilbert&amp;LoganIII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Hilbert&amp;Logan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Huey&amp;Stevenson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Janisch1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1932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Janisch2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1932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ψ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Johnson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m:t xml:space="preserve"> 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m:t xml:space="preserve"> </m:t>
                      </m:r>
                    </m:e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o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ln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odimas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2004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Lactin1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Lactin2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Lamb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1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−</m:t>
                                          </m:r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Δ</m:t>
                                              </m:r>
                                            </m:e>
                                            <m:sub>
                                              <m:sSub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2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Lobry&amp;Rosso&amp;Flandrois </w:t>
            </w:r>
            <w:r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/>
                <w:sz w:val="24"/>
                <w:szCs w:val="24"/>
              </w:rPr>
              <w:t>993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Logan10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Logan6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LoganTb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Oneill 1972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p>
                      </m:s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Poly1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Poly2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Poly3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Poly4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kowsky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p>
                                <m:r>
                                  <m:t xml:space="preserve">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  <m:sub>
                                <m:r>
                                  <m:t xml:space="preserve">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m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Regniere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Regniere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1987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β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sub>
                                  </m:sSub>
                                </m:den>
                              </m:f>
                            </m:sup>
                          </m:s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Regniere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Room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Saint-Amant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</m:d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Schoolfield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298</m:t>
                            </m:r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p>
                                    <m: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p>
                                    <m: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p>
                                    <m:r>
                                      <m:t xml:space="preserve"> 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SH_arpe&amp;DeMichele_1977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sub>
                    </m:sSub>
                    <m:d>
                      <m:dPr>
                        <m:begChr m:val="["/>
                        <m:endChr m:val="]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e>
                    </m:d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1.987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  <m:sub>
                                    <m: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Shi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Shi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>
        <w:trPr>
          <w:trHeight w:val="202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Stinner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1974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≥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Taylor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Wagner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25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298.15</m:t>
                        </m:r>
                      </m:den>
                    </m:f>
                  </m:e>
                </m:d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298.15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1.987</m:t>
                                </m:r>
                              </m:den>
                            </m:f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Wang&amp;Engel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ln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b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mr>
                </m:m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Wang&amp;Lan&amp;Ding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1982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den>
                    </m:f>
                  </m:e>
                </m:d>
                <m:eqArr>
                  <m:e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  <m:eqArr>
                  <m:e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Yan&amp;Hunt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o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  <w:tr>
        <w:trPr>
          <w:trHeight w:val="256" w:hRule="atLeast"/>
        </w:trPr>
        <w:tc>
          <w:tcPr>
            <w:tcW w:w="351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Yin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1995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1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ψ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36"/>
        </w:rPr>
        <w:t>Reference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Sporleder M, Tonnang HEZ, Carhuapoma P, Gonzales JC, Juarez H, Kroschel J. 2013.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Insect Life Cycle Modeling (ILCYM) software a new tool for Regional and Global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Insect Pest Risk Assessments under Current and Future Climate Change Scenarios.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In: Peña JE, ed. Potential invasive pests of agricultural crops. Wallingford: CABI</w:t>
      </w:r>
    </w:p>
    <w:p>
      <w:pPr>
        <w:pStyle w:val="Normal"/>
        <w:bidi w:val="0"/>
        <w:jc w:val="left"/>
        <w:rPr/>
      </w:pPr>
      <w:hyperlink r:id="rId3">
        <w:r>
          <w:rPr>
            <w:rStyle w:val="LienInternet"/>
            <w:rFonts w:ascii="Times-Roman" w:hAnsi="Times-Roman"/>
            <w:sz w:val="24"/>
          </w:rPr>
          <w:t>https://doi.org/10.1079/9781845938291.0412</w:t>
        </w:r>
      </w:hyperlink>
    </w:p>
    <w:p>
      <w:pPr>
        <w:pStyle w:val="Normal"/>
        <w:bidi w:val="0"/>
        <w:jc w:val="left"/>
        <w:rPr>
          <w:rFonts w:ascii="Times-Roman" w:hAnsi="Times-Roman"/>
          <w:sz w:val="24"/>
        </w:rPr>
      </w:pPr>
      <w:r>
        <w:rPr/>
      </w:r>
    </w:p>
    <w:p>
      <w:pPr>
        <w:pStyle w:val="Normal"/>
        <w:bidi w:val="0"/>
        <w:jc w:val="left"/>
        <w:rPr>
          <w:rFonts w:ascii="Times-Roman" w:hAnsi="Times-Roman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Rebaudo, F., Struelens, Q., Dangles, O. (2018).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Modelling temperature−dependent development rate and phenology in arthropods:</w:t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sz w:val="24"/>
        </w:rPr>
        <w:t>the DEVRATE package for R. Methods in Ecology &amp; Evolution, 9(4), 1144−1150.</w:t>
      </w:r>
    </w:p>
    <w:p>
      <w:pPr>
        <w:pStyle w:val="Normal"/>
        <w:bidi w:val="0"/>
        <w:jc w:val="left"/>
        <w:rPr/>
      </w:pPr>
      <w:hyperlink r:id="rId4">
        <w:r>
          <w:rPr>
            <w:rStyle w:val="LienInternet"/>
            <w:rFonts w:ascii="Times-Roman" w:hAnsi="Times-Roman"/>
            <w:sz w:val="24"/>
          </w:rPr>
          <w:t>https://doi.org/10.1111/2041</w:t>
        </w:r>
      </w:hyperlink>
      <w:hyperlink r:id="rId5">
        <w:r>
          <w:rPr>
            <w:rFonts w:ascii="Times-Roman" w:hAnsi="Times-Roman"/>
            <w:sz w:val="24"/>
          </w:rPr>
          <w:t>−210X.12935</w:t>
        </w:r>
      </w:hyperlink>
    </w:p>
    <w:p>
      <w:pPr>
        <w:pStyle w:val="Normal"/>
        <w:bidi w:val="0"/>
        <w:jc w:val="left"/>
        <w:rPr>
          <w:rFonts w:ascii="Times-Roman" w:hAnsi="Times-Roman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-Roman">
    <w:altName w:val="Times New Roman"/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Arial" w:hAnsi="Arial"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79/9781845938291.041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1111/2041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467</TotalTime>
  <Application>LibreOffice/7.2.5.2$Windows_X86_64 LibreOffice_project/499f9727c189e6ef3471021d6132d4c694f357e5</Application>
  <AppVersion>15.0000</AppVersion>
  <Pages>6</Pages>
  <Words>1459</Words>
  <Characters>6835</Characters>
  <CharactersWithSpaces>8254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2022-01-30T14:38:15Z</dcterms:created>
  <dc:creator>Rémi Saint-Amant</dc:creator>
  <dc:description/>
  <dc:language>en-CA</dc:language>
  <cp:lastModifiedBy>Rémi Saint-Amant</cp:lastModifiedBy>
  <dcterms:modified xsi:type="dcterms:W3CDTF">2022-01-31T08:50:45Z</dcterms:modified>
  <cp:revision>24</cp:revision>
  <dc:subject/>
  <dc:title/>
</cp:coreProperties>
</file>