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四路电感第二组新电感测试记录</w:t>
      </w:r>
    </w:p>
    <w:p>
      <w:pPr>
        <w:jc w:val="center"/>
      </w:pPr>
      <w:r>
        <w:rPr>
          <w:color w:val="5A6972"/>
          <w:sz w:val="19"/>
        </w:rPr>
        <w:t>10 个位置实测与第一组逐飞套件对比 | 2026-07-12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24445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5156"/>
            <w:vAlign w:val="center"/>
            <w:shd w:fill="24445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测试对象</w:t>
            </w:r>
          </w:p>
        </w:tc>
        <w:tc>
          <w:tcPr>
            <w:tcW w:type="dxa" w:w="51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第二组新电感</w:t>
            </w:r>
          </w:p>
        </w:tc>
      </w:tr>
      <w:tr>
        <w:tc>
          <w:tcPr>
            <w:tcW w:type="dxa" w:w="5156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车辆</w:t>
            </w:r>
          </w:p>
        </w:tc>
        <w:tc>
          <w:tcPr>
            <w:tcW w:type="dxa" w:w="5156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四路电感差速车，STC32G12K128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引脚映射</w:t>
            </w:r>
          </w:p>
        </w:tc>
        <w:tc>
          <w:tcPr>
            <w:tcW w:type="dxa" w:w="515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L=P00，LM=P01，RM=P05，R=P06；P10 不使用</w:t>
            </w:r>
          </w:p>
        </w:tc>
      </w:tr>
      <w:tr>
        <w:tc>
          <w:tcPr>
            <w:tcW w:type="dxa" w:w="5156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测试结论</w:t>
            </w:r>
          </w:p>
        </w:tc>
        <w:tc>
          <w:tcPr>
            <w:tcW w:type="dxa" w:w="5156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 个位置数据稳定，四路可用；新旧电感特性不能混合标定</w:t>
            </w:r>
          </w:p>
        </w:tc>
      </w:tr>
    </w:tbl>
    <w:p>
      <w:pPr>
        <w:spacing w:after="20"/>
      </w:pPr>
    </w:p>
    <w:p>
      <w:pPr>
        <w:pStyle w:val="Heading1"/>
        <w:spacing w:before="180" w:after="60"/>
      </w:pPr>
      <w:r>
        <w:t>1. 测试原则</w:t>
      </w:r>
    </w:p>
    <w:p>
      <w:pPr>
        <w:pStyle w:val="ListBullet"/>
        <w:spacing w:after="20"/>
      </w:pPr>
      <w:r>
        <w:t>本记录只保存第二组新电感数据，不覆盖第一组逐飞套件记录。</w:t>
      </w:r>
    </w:p>
    <w:p>
      <w:pPr>
        <w:pStyle w:val="ListBullet"/>
        <w:spacing w:after="20"/>
      </w:pPr>
      <w:r>
        <w:t>每个位置使用连续三帧稳定 RAW；第 1 组实际记录了四帧，四帧全部保留。</w:t>
      </w:r>
    </w:p>
    <w:p>
      <w:pPr>
        <w:pStyle w:val="ListBullet"/>
        <w:spacing w:after="20"/>
      </w:pPr>
      <w:r>
        <w:t>本次先判断新电感是否正常，尚未把建议参数写入程序或 Flash。</w:t>
      </w:r>
    </w:p>
    <w:p>
      <w:pPr>
        <w:pStyle w:val="ListBullet"/>
        <w:spacing w:after="20"/>
      </w:pPr>
      <w:r>
        <w:t>原逐飞套件数据只用于对照，不能直接作为第二组新电感的标定值。</w:t>
      </w:r>
    </w:p>
    <w:p>
      <w:pPr>
        <w:pStyle w:val="Heading1"/>
        <w:spacing w:before="180" w:after="60"/>
      </w:pPr>
      <w:r>
        <w:t>2. 全部原始数据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vAlign w:val="center"/>
            <w:shd w:fill="24445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组别</w:t>
            </w:r>
          </w:p>
        </w:tc>
        <w:tc>
          <w:tcPr>
            <w:tcW w:type="dxa" w:w="1473"/>
            <w:vAlign w:val="center"/>
            <w:shd w:fill="24445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姿态</w:t>
            </w:r>
          </w:p>
        </w:tc>
        <w:tc>
          <w:tcPr>
            <w:tcW w:type="dxa" w:w="1473"/>
            <w:vAlign w:val="center"/>
            <w:shd w:fill="24445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帧</w:t>
            </w:r>
          </w:p>
        </w:tc>
        <w:tc>
          <w:tcPr>
            <w:tcW w:type="dxa" w:w="1473"/>
            <w:vAlign w:val="center"/>
            <w:shd w:fill="24445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L</w:t>
            </w:r>
          </w:p>
        </w:tc>
        <w:tc>
          <w:tcPr>
            <w:tcW w:type="dxa" w:w="1473"/>
            <w:vAlign w:val="center"/>
            <w:shd w:fill="24445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LM</w:t>
            </w:r>
          </w:p>
        </w:tc>
        <w:tc>
          <w:tcPr>
            <w:tcW w:type="dxa" w:w="1473"/>
            <w:vAlign w:val="center"/>
            <w:shd w:fill="24445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RM</w:t>
            </w:r>
          </w:p>
        </w:tc>
        <w:tc>
          <w:tcPr>
            <w:tcW w:type="dxa" w:w="1473"/>
            <w:vAlign w:val="center"/>
            <w:shd w:fill="24445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R</w:t>
            </w:r>
          </w:p>
        </w:tc>
      </w:tr>
      <w:tr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第0组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离线基准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</w:tr>
      <w:tr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第0组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</w:tr>
      <w:tr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第0组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</w:tr>
      <w:tr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第1组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 正对导线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3694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2628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607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1601</w:t>
            </w:r>
          </w:p>
        </w:tc>
      </w:tr>
      <w:tr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第1组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3703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2630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606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1622</w:t>
            </w:r>
          </w:p>
        </w:tc>
      </w:tr>
      <w:tr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第1组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3702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2610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600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1596</w:t>
            </w:r>
          </w:p>
        </w:tc>
      </w:tr>
      <w:tr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第1组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3701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2655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609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1585</w:t>
            </w:r>
          </w:p>
        </w:tc>
      </w:tr>
      <w:tr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第2组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LM 正对导线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3701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2242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636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2238</w:t>
            </w:r>
          </w:p>
        </w:tc>
      </w:tr>
      <w:tr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第2组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3700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2242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639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2243</w:t>
            </w:r>
          </w:p>
        </w:tc>
      </w:tr>
      <w:tr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第2组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3696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2238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639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2237</w:t>
            </w:r>
          </w:p>
        </w:tc>
      </w:tr>
      <w:tr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第3组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RM 正对导线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1853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710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1570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3702</w:t>
            </w:r>
          </w:p>
        </w:tc>
      </w:tr>
      <w:tr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第3组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1850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711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1566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3704</w:t>
            </w:r>
          </w:p>
        </w:tc>
      </w:tr>
      <w:tr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第3组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1846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706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1564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3707</w:t>
            </w:r>
          </w:p>
        </w:tc>
      </w:tr>
      <w:tr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第4组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 正对导线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1311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645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1861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3701</w:t>
            </w:r>
          </w:p>
        </w:tc>
      </w:tr>
      <w:tr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第4组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1311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644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1864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3706</w:t>
            </w:r>
          </w:p>
        </w:tc>
      </w:tr>
      <w:tr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第4组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1314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649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1861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3708</w:t>
            </w:r>
          </w:p>
        </w:tc>
      </w:tr>
      <w:tr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第5组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直线左偏极限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1188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519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1638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3701</w:t>
            </w:r>
          </w:p>
        </w:tc>
      </w:tr>
      <w:tr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第5组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1189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519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1632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3710</w:t>
            </w:r>
          </w:p>
        </w:tc>
      </w:tr>
      <w:tr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第5组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1189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520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1634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3706</w:t>
            </w:r>
          </w:p>
        </w:tc>
      </w:tr>
      <w:tr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第6组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直线右偏极限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3697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2196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241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801</w:t>
            </w:r>
          </w:p>
        </w:tc>
      </w:tr>
      <w:tr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第6组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3691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2190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242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801</w:t>
            </w:r>
          </w:p>
        </w:tc>
      </w:tr>
      <w:tr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第6组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3695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2200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244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793</w:t>
            </w:r>
          </w:p>
        </w:tc>
      </w:tr>
      <w:tr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第7组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左直角入口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2301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3699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1576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2491</w:t>
            </w:r>
          </w:p>
        </w:tc>
      </w:tr>
      <w:tr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第7组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2303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3691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1580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2482</w:t>
            </w:r>
          </w:p>
        </w:tc>
      </w:tr>
      <w:tr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第7组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2299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3698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1578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2488</w:t>
            </w:r>
          </w:p>
        </w:tc>
      </w:tr>
      <w:tr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第8组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左直角转弯中约45度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3423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2988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475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621</w:t>
            </w:r>
          </w:p>
        </w:tc>
      </w:tr>
      <w:tr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第8组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3421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2984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475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621</w:t>
            </w:r>
          </w:p>
        </w:tc>
      </w:tr>
      <w:tr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第8组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3426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2984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476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620</w:t>
            </w:r>
          </w:p>
        </w:tc>
      </w:tr>
      <w:tr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第9组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右直角入口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1792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1017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3665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2750</w:t>
            </w:r>
          </w:p>
        </w:tc>
      </w:tr>
      <w:tr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第9组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1795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1018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3670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2749</w:t>
            </w:r>
          </w:p>
        </w:tc>
      </w:tr>
      <w:tr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第9组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1799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1016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3675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2755</w:t>
            </w:r>
          </w:p>
        </w:tc>
      </w:tr>
      <w:tr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第10组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右直角转弯中约45度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792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497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2289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3695</w:t>
            </w:r>
          </w:p>
        </w:tc>
      </w:tr>
      <w:tr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第10组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792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496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2284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3690</w:t>
            </w:r>
          </w:p>
        </w:tc>
      </w:tr>
      <w:tr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第10组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792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495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2281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3695</w:t>
            </w:r>
          </w:p>
        </w:tc>
      </w:tr>
    </w:tbl>
    <w:p>
      <w:pPr>
        <w:spacing w:after="20"/>
      </w:pPr>
    </w:p>
    <w:p>
      <w:pPr>
        <w:pStyle w:val="Heading1"/>
        <w:spacing w:before="180" w:after="60"/>
      </w:pPr>
      <w:r>
        <w:t>3. 各组均值与波动范围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vAlign w:val="center"/>
            <w:shd w:fill="24445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组别</w:t>
            </w:r>
          </w:p>
        </w:tc>
        <w:tc>
          <w:tcPr>
            <w:tcW w:type="dxa" w:w="1473"/>
            <w:vAlign w:val="center"/>
            <w:shd w:fill="24445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姿态</w:t>
            </w:r>
          </w:p>
        </w:tc>
        <w:tc>
          <w:tcPr>
            <w:tcW w:type="dxa" w:w="1473"/>
            <w:vAlign w:val="center"/>
            <w:shd w:fill="24445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L均值</w:t>
            </w:r>
          </w:p>
        </w:tc>
        <w:tc>
          <w:tcPr>
            <w:tcW w:type="dxa" w:w="1473"/>
            <w:vAlign w:val="center"/>
            <w:shd w:fill="24445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LM均值</w:t>
            </w:r>
          </w:p>
        </w:tc>
        <w:tc>
          <w:tcPr>
            <w:tcW w:type="dxa" w:w="1473"/>
            <w:vAlign w:val="center"/>
            <w:shd w:fill="24445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RM均值</w:t>
            </w:r>
          </w:p>
        </w:tc>
        <w:tc>
          <w:tcPr>
            <w:tcW w:type="dxa" w:w="1473"/>
            <w:vAlign w:val="center"/>
            <w:shd w:fill="24445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R均值</w:t>
            </w:r>
          </w:p>
        </w:tc>
        <w:tc>
          <w:tcPr>
            <w:tcW w:type="dxa" w:w="1473"/>
            <w:vAlign w:val="center"/>
            <w:shd w:fill="24445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波动 L/LM/RM/R</w:t>
            </w:r>
          </w:p>
        </w:tc>
      </w:tr>
      <w:tr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第0组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离线基准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0.0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1.0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0.0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0.0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0/0/0/0</w:t>
            </w:r>
          </w:p>
        </w:tc>
      </w:tr>
      <w:tr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第1组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 正对导线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3700.0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2630.8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605.5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1601.0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9/45/9/37</w:t>
            </w:r>
          </w:p>
        </w:tc>
      </w:tr>
      <w:tr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第2组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LM 正对导线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3699.0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2240.7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638.0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2239.3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5/4/3/6</w:t>
            </w:r>
          </w:p>
        </w:tc>
      </w:tr>
      <w:tr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第3组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RM 正对导线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1849.7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709.0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1566.7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3704.3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7/5/6/5</w:t>
            </w:r>
          </w:p>
        </w:tc>
      </w:tr>
      <w:tr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第4组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 正对导线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1312.0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646.0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1862.0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3705.0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3/5/3/7</w:t>
            </w:r>
          </w:p>
        </w:tc>
      </w:tr>
      <w:tr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第5组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直线左偏极限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1188.7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519.3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1634.7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3705.7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1/1/6/9</w:t>
            </w:r>
          </w:p>
        </w:tc>
      </w:tr>
      <w:tr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第6组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直线右偏极限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3694.3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2195.3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242.3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798.3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6/10/3/8</w:t>
            </w:r>
          </w:p>
        </w:tc>
      </w:tr>
      <w:tr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第7组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左直角入口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2301.0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3696.0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1578.0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2487.0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4/8/4/9</w:t>
            </w:r>
          </w:p>
        </w:tc>
      </w:tr>
      <w:tr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第8组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左直角转弯中约45度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3423.3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2985.3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475.3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620.7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5/4/1/1</w:t>
            </w:r>
          </w:p>
        </w:tc>
      </w:tr>
      <w:tr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第9组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右直角入口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1795.3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1017.0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3670.0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2751.3</w:t>
            </w:r>
          </w:p>
        </w:tc>
        <w:tc>
          <w:tcPr>
            <w:tcW w:type="dxa" w:w="1473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7/2/10/6</w:t>
            </w:r>
          </w:p>
        </w:tc>
      </w:tr>
      <w:tr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第10组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右直角转弯中约45度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792.0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496.0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2284.7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3693.3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0/2/8/5</w:t>
            </w:r>
          </w:p>
        </w:tc>
      </w:tr>
    </w:tbl>
    <w:p>
      <w:pPr>
        <w:spacing w:after="20"/>
      </w:pPr>
    </w:p>
    <w:p>
      <w:pPr>
        <w:pStyle w:val="Heading1"/>
        <w:spacing w:before="180" w:after="60"/>
      </w:pPr>
      <w:r>
        <w:t>4. 逐阶段判断</w:t>
      </w:r>
    </w:p>
    <w:p>
      <w:pPr>
        <w:pStyle w:val="ListBullet"/>
        <w:spacing w:after="20"/>
      </w:pPr>
      <w:r>
        <w:t>第0组离线基准：L=0，LM=1，RM=0，R=0，三帧一致，零点正常。</w:t>
      </w:r>
    </w:p>
    <w:p>
      <w:pPr>
        <w:pStyle w:val="ListBullet"/>
        <w:spacing w:after="20"/>
      </w:pPr>
      <w:r>
        <w:t>第1组 L 正对导线：L 约 3700，LM 约 2631，存在较强邻近响应，但四帧稳定。</w:t>
      </w:r>
    </w:p>
    <w:p>
      <w:pPr>
        <w:pStyle w:val="ListBullet"/>
        <w:spacing w:after="20"/>
      </w:pPr>
      <w:r>
        <w:t>第2组 LM 正对导线：LM 约 2241，响应真实且稳定；L、R 同时较高，说明新电感感应范围较宽。</w:t>
      </w:r>
    </w:p>
    <w:p>
      <w:pPr>
        <w:pStyle w:val="ListBullet"/>
        <w:spacing w:after="20"/>
      </w:pPr>
      <w:r>
        <w:t>第3组 RM 正对导线：RM 约 1567，响应稳定；R 同时较高，属于邻近响应。</w:t>
      </w:r>
    </w:p>
    <w:p>
      <w:pPr>
        <w:pStyle w:val="ListBullet"/>
        <w:spacing w:after="20"/>
      </w:pPr>
      <w:r>
        <w:t>第4组 R 正对导线：R 约 3706，P06 通道响应正常。</w:t>
      </w:r>
    </w:p>
    <w:p>
      <w:pPr>
        <w:pStyle w:val="ListBullet"/>
        <w:spacing w:after="20"/>
      </w:pPr>
      <w:r>
        <w:t>第5组直线左偏：左侧减弱、右侧仍有响应，可用于直线偏移边界判断。</w:t>
      </w:r>
    </w:p>
    <w:p>
      <w:pPr>
        <w:pStyle w:val="ListBullet"/>
        <w:spacing w:after="20"/>
      </w:pPr>
      <w:r>
        <w:t>第6组直线右偏：右侧减弱、左侧仍有响应，可与右直角入口区分。</w:t>
      </w:r>
    </w:p>
    <w:p>
      <w:pPr>
        <w:pStyle w:val="ListBullet"/>
        <w:spacing w:after="20"/>
      </w:pPr>
      <w:r>
        <w:t>第7组左直角入口：LM 约 3696，明显高于 RM 约 1578，左转特征清楚。</w:t>
      </w:r>
    </w:p>
    <w:p>
      <w:pPr>
        <w:pStyle w:val="ListBullet"/>
        <w:spacing w:after="20"/>
      </w:pPr>
      <w:r>
        <w:t>第8组左直角转弯中：LM 仍强、RM 很低，符合左转过程特征。</w:t>
      </w:r>
    </w:p>
    <w:p>
      <w:pPr>
        <w:pStyle w:val="ListBullet"/>
        <w:spacing w:after="20"/>
      </w:pPr>
      <w:r>
        <w:t>第9组右直角入口：RM 约 3670，明显高于 LM 约 1017，右转特征清楚。</w:t>
      </w:r>
    </w:p>
    <w:p>
      <w:pPr>
        <w:pStyle w:val="ListBullet"/>
        <w:spacing w:after="20"/>
      </w:pPr>
      <w:r>
        <w:t>第10组右直角转弯中：RM 与 R 保持较强响应，三帧稳定。</w:t>
      </w:r>
    </w:p>
    <w:p>
      <w:pPr>
        <w:pStyle w:val="Heading1"/>
        <w:spacing w:before="180" w:after="60"/>
      </w:pPr>
      <w:r>
        <w:t>5. 与第一组逐飞套件对比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46"/>
        <w:gridCol w:w="1146"/>
        <w:gridCol w:w="1146"/>
        <w:gridCol w:w="1146"/>
        <w:gridCol w:w="1146"/>
        <w:gridCol w:w="1146"/>
        <w:gridCol w:w="1146"/>
        <w:gridCol w:w="1146"/>
        <w:gridCol w:w="1146"/>
      </w:tblGrid>
      <w:tr>
        <w:tc>
          <w:tcPr>
            <w:tcW w:type="dxa" w:w="1146"/>
            <w:vAlign w:val="center"/>
            <w:shd w:fill="24445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姿态</w:t>
            </w:r>
          </w:p>
        </w:tc>
        <w:tc>
          <w:tcPr>
            <w:tcW w:type="dxa" w:w="1146"/>
            <w:vAlign w:val="center"/>
            <w:shd w:fill="24445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旧L</w:t>
            </w:r>
          </w:p>
        </w:tc>
        <w:tc>
          <w:tcPr>
            <w:tcW w:type="dxa" w:w="1146"/>
            <w:vAlign w:val="center"/>
            <w:shd w:fill="24445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旧LM</w:t>
            </w:r>
          </w:p>
        </w:tc>
        <w:tc>
          <w:tcPr>
            <w:tcW w:type="dxa" w:w="1146"/>
            <w:vAlign w:val="center"/>
            <w:shd w:fill="24445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旧RM</w:t>
            </w:r>
          </w:p>
        </w:tc>
        <w:tc>
          <w:tcPr>
            <w:tcW w:type="dxa" w:w="1146"/>
            <w:vAlign w:val="center"/>
            <w:shd w:fill="24445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旧R</w:t>
            </w:r>
          </w:p>
        </w:tc>
        <w:tc>
          <w:tcPr>
            <w:tcW w:type="dxa" w:w="1146"/>
            <w:vAlign w:val="center"/>
            <w:shd w:fill="24445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新L</w:t>
            </w:r>
          </w:p>
        </w:tc>
        <w:tc>
          <w:tcPr>
            <w:tcW w:type="dxa" w:w="1146"/>
            <w:vAlign w:val="center"/>
            <w:shd w:fill="24445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新LM</w:t>
            </w:r>
          </w:p>
        </w:tc>
        <w:tc>
          <w:tcPr>
            <w:tcW w:type="dxa" w:w="1146"/>
            <w:vAlign w:val="center"/>
            <w:shd w:fill="24445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新RM</w:t>
            </w:r>
          </w:p>
        </w:tc>
        <w:tc>
          <w:tcPr>
            <w:tcW w:type="dxa" w:w="1146"/>
            <w:vAlign w:val="center"/>
            <w:shd w:fill="24445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新R</w:t>
            </w:r>
          </w:p>
        </w:tc>
      </w:tr>
      <w:tr>
        <w:tc>
          <w:tcPr>
            <w:tcW w:type="dxa" w:w="114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 正对导线</w:t>
            </w:r>
          </w:p>
        </w:tc>
        <w:tc>
          <w:tcPr>
            <w:tcW w:type="dxa" w:w="114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3704</w:t>
            </w:r>
          </w:p>
        </w:tc>
        <w:tc>
          <w:tcPr>
            <w:tcW w:type="dxa" w:w="114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209</w:t>
            </w:r>
          </w:p>
        </w:tc>
        <w:tc>
          <w:tcPr>
            <w:tcW w:type="dxa" w:w="114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480</w:t>
            </w:r>
          </w:p>
        </w:tc>
        <w:tc>
          <w:tcPr>
            <w:tcW w:type="dxa" w:w="114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2101</w:t>
            </w:r>
          </w:p>
        </w:tc>
        <w:tc>
          <w:tcPr>
            <w:tcW w:type="dxa" w:w="114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3700.0</w:t>
            </w:r>
          </w:p>
        </w:tc>
        <w:tc>
          <w:tcPr>
            <w:tcW w:type="dxa" w:w="114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2630.8</w:t>
            </w:r>
          </w:p>
        </w:tc>
        <w:tc>
          <w:tcPr>
            <w:tcW w:type="dxa" w:w="114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605.5</w:t>
            </w:r>
          </w:p>
        </w:tc>
        <w:tc>
          <w:tcPr>
            <w:tcW w:type="dxa" w:w="114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1601.0</w:t>
            </w:r>
          </w:p>
        </w:tc>
      </w:tr>
      <w:tr>
        <w:tc>
          <w:tcPr>
            <w:tcW w:type="dxa" w:w="1146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LM 正对导线</w:t>
            </w:r>
          </w:p>
        </w:tc>
        <w:tc>
          <w:tcPr>
            <w:tcW w:type="dxa" w:w="1146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3696</w:t>
            </w:r>
          </w:p>
        </w:tc>
        <w:tc>
          <w:tcPr>
            <w:tcW w:type="dxa" w:w="1146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255</w:t>
            </w:r>
          </w:p>
        </w:tc>
        <w:tc>
          <w:tcPr>
            <w:tcW w:type="dxa" w:w="1146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572</w:t>
            </w:r>
          </w:p>
        </w:tc>
        <w:tc>
          <w:tcPr>
            <w:tcW w:type="dxa" w:w="1146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2856</w:t>
            </w:r>
          </w:p>
        </w:tc>
        <w:tc>
          <w:tcPr>
            <w:tcW w:type="dxa" w:w="1146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3699.0</w:t>
            </w:r>
          </w:p>
        </w:tc>
        <w:tc>
          <w:tcPr>
            <w:tcW w:type="dxa" w:w="1146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2240.7</w:t>
            </w:r>
          </w:p>
        </w:tc>
        <w:tc>
          <w:tcPr>
            <w:tcW w:type="dxa" w:w="1146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638.0</w:t>
            </w:r>
          </w:p>
        </w:tc>
        <w:tc>
          <w:tcPr>
            <w:tcW w:type="dxa" w:w="1146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2239.3</w:t>
            </w:r>
          </w:p>
        </w:tc>
      </w:tr>
      <w:tr>
        <w:tc>
          <w:tcPr>
            <w:tcW w:type="dxa" w:w="114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RM 正对导线</w:t>
            </w:r>
          </w:p>
        </w:tc>
        <w:tc>
          <w:tcPr>
            <w:tcW w:type="dxa" w:w="114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2141</w:t>
            </w:r>
          </w:p>
        </w:tc>
        <w:tc>
          <w:tcPr>
            <w:tcW w:type="dxa" w:w="114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223</w:t>
            </w:r>
          </w:p>
        </w:tc>
        <w:tc>
          <w:tcPr>
            <w:tcW w:type="dxa" w:w="114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956</w:t>
            </w:r>
          </w:p>
        </w:tc>
        <w:tc>
          <w:tcPr>
            <w:tcW w:type="dxa" w:w="114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3712</w:t>
            </w:r>
          </w:p>
        </w:tc>
        <w:tc>
          <w:tcPr>
            <w:tcW w:type="dxa" w:w="114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1849.7</w:t>
            </w:r>
          </w:p>
        </w:tc>
        <w:tc>
          <w:tcPr>
            <w:tcW w:type="dxa" w:w="114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709.0</w:t>
            </w:r>
          </w:p>
        </w:tc>
        <w:tc>
          <w:tcPr>
            <w:tcW w:type="dxa" w:w="114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1566.7</w:t>
            </w:r>
          </w:p>
        </w:tc>
        <w:tc>
          <w:tcPr>
            <w:tcW w:type="dxa" w:w="114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3704.3</w:t>
            </w:r>
          </w:p>
        </w:tc>
      </w:tr>
      <w:tr>
        <w:tc>
          <w:tcPr>
            <w:tcW w:type="dxa" w:w="1146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 正对导线</w:t>
            </w:r>
          </w:p>
        </w:tc>
        <w:tc>
          <w:tcPr>
            <w:tcW w:type="dxa" w:w="1146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1618</w:t>
            </w:r>
          </w:p>
        </w:tc>
        <w:tc>
          <w:tcPr>
            <w:tcW w:type="dxa" w:w="1146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211</w:t>
            </w:r>
          </w:p>
        </w:tc>
        <w:tc>
          <w:tcPr>
            <w:tcW w:type="dxa" w:w="1146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1045</w:t>
            </w:r>
          </w:p>
        </w:tc>
        <w:tc>
          <w:tcPr>
            <w:tcW w:type="dxa" w:w="1146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3713</w:t>
            </w:r>
          </w:p>
        </w:tc>
        <w:tc>
          <w:tcPr>
            <w:tcW w:type="dxa" w:w="1146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1312.0</w:t>
            </w:r>
          </w:p>
        </w:tc>
        <w:tc>
          <w:tcPr>
            <w:tcW w:type="dxa" w:w="1146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646.0</w:t>
            </w:r>
          </w:p>
        </w:tc>
        <w:tc>
          <w:tcPr>
            <w:tcW w:type="dxa" w:w="1146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1862.0</w:t>
            </w:r>
          </w:p>
        </w:tc>
        <w:tc>
          <w:tcPr>
            <w:tcW w:type="dxa" w:w="1146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3705.0</w:t>
            </w:r>
          </w:p>
        </w:tc>
      </w:tr>
    </w:tbl>
    <w:p>
      <w:pPr>
        <w:spacing w:after="20"/>
      </w:pPr>
    </w:p>
    <w:p>
      <w:pPr>
        <w:pStyle w:val="ListBullet"/>
        <w:spacing w:after="20"/>
      </w:pPr>
      <w:r>
        <w:t>原逐飞套件和第二组新电感各自对自己的硬件可信，不能依据旧套件的 LM≈200 要求新电感也必须得到相同数值。</w:t>
      </w:r>
    </w:p>
    <w:p>
      <w:pPr>
        <w:pStyle w:val="ListBullet"/>
        <w:spacing w:after="20"/>
      </w:pPr>
      <w:r>
        <w:t>第二组新电感 LM 在第1组约 2631，且四帧稳定；这说明新电感的邻近响应明显强于原逐飞套件。</w:t>
      </w:r>
    </w:p>
    <w:p>
      <w:pPr>
        <w:pStyle w:val="ListBullet"/>
        <w:spacing w:after="20"/>
      </w:pPr>
      <w:r>
        <w:t>新旧数据差异主要体现为灵敏度、线圈尺寸、安装高度或线圈间距差异，不足以判定新电感故障。</w:t>
      </w:r>
    </w:p>
    <w:p>
      <w:pPr>
        <w:pStyle w:val="Heading1"/>
        <w:spacing w:before="180" w:after="60"/>
      </w:pPr>
      <w:r>
        <w:t>6. 建议标定参数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vAlign w:val="center"/>
            <w:shd w:fill="24445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通道</w:t>
            </w:r>
          </w:p>
        </w:tc>
        <w:tc>
          <w:tcPr>
            <w:tcW w:type="dxa" w:w="2062"/>
            <w:vAlign w:val="center"/>
            <w:shd w:fill="24445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实测最小值</w:t>
            </w:r>
          </w:p>
        </w:tc>
        <w:tc>
          <w:tcPr>
            <w:tcW w:type="dxa" w:w="2062"/>
            <w:vAlign w:val="center"/>
            <w:shd w:fill="24445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实测最大值</w:t>
            </w:r>
          </w:p>
        </w:tc>
        <w:tc>
          <w:tcPr>
            <w:tcW w:type="dxa" w:w="2062"/>
            <w:vAlign w:val="center"/>
            <w:shd w:fill="24445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建议 MIN</w:t>
            </w:r>
          </w:p>
        </w:tc>
        <w:tc>
          <w:tcPr>
            <w:tcW w:type="dxa" w:w="2062"/>
            <w:vAlign w:val="center"/>
            <w:shd w:fill="24445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建议 MAX</w:t>
            </w:r>
          </w:p>
        </w:tc>
      </w:tr>
      <w:tr>
        <w:tc>
          <w:tcPr>
            <w:tcW w:type="dxa" w:w="206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</w:t>
            </w:r>
          </w:p>
        </w:tc>
        <w:tc>
          <w:tcPr>
            <w:tcW w:type="dxa" w:w="206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206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3703</w:t>
            </w:r>
          </w:p>
        </w:tc>
        <w:tc>
          <w:tcPr>
            <w:tcW w:type="dxa" w:w="206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206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3999</w:t>
            </w:r>
          </w:p>
        </w:tc>
      </w:tr>
      <w:tr>
        <w:tc>
          <w:tcPr>
            <w:tcW w:type="dxa" w:w="2062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LM</w:t>
            </w:r>
          </w:p>
        </w:tc>
        <w:tc>
          <w:tcPr>
            <w:tcW w:type="dxa" w:w="2062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2062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3699</w:t>
            </w:r>
          </w:p>
        </w:tc>
        <w:tc>
          <w:tcPr>
            <w:tcW w:type="dxa" w:w="2062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2062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3995</w:t>
            </w:r>
          </w:p>
        </w:tc>
      </w:tr>
      <w:tr>
        <w:tc>
          <w:tcPr>
            <w:tcW w:type="dxa" w:w="206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RM</w:t>
            </w:r>
          </w:p>
        </w:tc>
        <w:tc>
          <w:tcPr>
            <w:tcW w:type="dxa" w:w="206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206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3675</w:t>
            </w:r>
          </w:p>
        </w:tc>
        <w:tc>
          <w:tcPr>
            <w:tcW w:type="dxa" w:w="206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206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3969</w:t>
            </w:r>
          </w:p>
        </w:tc>
      </w:tr>
      <w:tr>
        <w:tc>
          <w:tcPr>
            <w:tcW w:type="dxa" w:w="2062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</w:t>
            </w:r>
          </w:p>
        </w:tc>
        <w:tc>
          <w:tcPr>
            <w:tcW w:type="dxa" w:w="2062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2062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3710</w:t>
            </w:r>
          </w:p>
        </w:tc>
        <w:tc>
          <w:tcPr>
            <w:tcW w:type="dxa" w:w="2062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2062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4007</w:t>
            </w:r>
          </w:p>
        </w:tc>
      </w:tr>
    </w:tbl>
    <w:p>
      <w:pPr>
        <w:spacing w:after="20"/>
      </w:pPr>
    </w:p>
    <w:p>
      <w:pPr>
        <w:pStyle w:val="ListBullet"/>
        <w:spacing w:after="20"/>
      </w:pPr>
      <w:r>
        <w:t>建议 MAX 按实测最大值乘以 1.08 后取整，MIN 取 0。</w:t>
      </w:r>
    </w:p>
    <w:p>
      <w:pPr>
        <w:pStyle w:val="ListBullet"/>
        <w:spacing w:after="20"/>
      </w:pPr>
      <w:r>
        <w:t>以上是第二组新电感建议值，当前记录阶段尚未写入程序。</w:t>
      </w:r>
    </w:p>
    <w:p>
      <w:pPr>
        <w:pStyle w:val="ListBullet"/>
        <w:spacing w:after="20"/>
      </w:pPr>
      <w:r>
        <w:t>新旧建议 MAX 差异不大，但正式使用时仍应使用同一组电感对应的参数。</w:t>
      </w:r>
    </w:p>
    <w:p>
      <w:pPr>
        <w:pStyle w:val="Heading1"/>
        <w:spacing w:before="180" w:after="60"/>
      </w:pPr>
      <w:r>
        <w:t>7. 直角识别验证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1719"/>
            <w:vAlign w:val="center"/>
            <w:shd w:fill="24445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1719"/>
            <w:vAlign w:val="center"/>
            <w:shd w:fill="24445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L归一化</w:t>
            </w:r>
          </w:p>
        </w:tc>
        <w:tc>
          <w:tcPr>
            <w:tcW w:type="dxa" w:w="1719"/>
            <w:vAlign w:val="center"/>
            <w:shd w:fill="24445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LM归一化</w:t>
            </w:r>
          </w:p>
        </w:tc>
        <w:tc>
          <w:tcPr>
            <w:tcW w:type="dxa" w:w="1719"/>
            <w:vAlign w:val="center"/>
            <w:shd w:fill="24445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RM归一化</w:t>
            </w:r>
          </w:p>
        </w:tc>
        <w:tc>
          <w:tcPr>
            <w:tcW w:type="dxa" w:w="1719"/>
            <w:vAlign w:val="center"/>
            <w:shd w:fill="24445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R归一化</w:t>
            </w:r>
          </w:p>
        </w:tc>
        <w:tc>
          <w:tcPr>
            <w:tcW w:type="dxa" w:w="1719"/>
            <w:vAlign w:val="center"/>
            <w:shd w:fill="24445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LM-RM</w:t>
            </w:r>
          </w:p>
        </w:tc>
      </w:tr>
      <w:tr>
        <w:tc>
          <w:tcPr>
            <w:tcW w:type="dxa" w:w="171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左直角入口</w:t>
            </w:r>
          </w:p>
        </w:tc>
        <w:tc>
          <w:tcPr>
            <w:tcW w:type="dxa" w:w="171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73.7</w:t>
            </w:r>
          </w:p>
        </w:tc>
        <w:tc>
          <w:tcPr>
            <w:tcW w:type="dxa" w:w="171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118.4</w:t>
            </w:r>
          </w:p>
        </w:tc>
        <w:tc>
          <w:tcPr>
            <w:tcW w:type="dxa" w:w="171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50.9</w:t>
            </w:r>
          </w:p>
        </w:tc>
        <w:tc>
          <w:tcPr>
            <w:tcW w:type="dxa" w:w="171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79.4</w:t>
            </w:r>
          </w:p>
        </w:tc>
        <w:tc>
          <w:tcPr>
            <w:tcW w:type="dxa" w:w="171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67.5</w:t>
            </w:r>
          </w:p>
        </w:tc>
      </w:tr>
      <w:tr>
        <w:tc>
          <w:tcPr>
            <w:tcW w:type="dxa" w:w="1719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右直角入口</w:t>
            </w:r>
          </w:p>
        </w:tc>
        <w:tc>
          <w:tcPr>
            <w:tcW w:type="dxa" w:w="1719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57.5</w:t>
            </w:r>
          </w:p>
        </w:tc>
        <w:tc>
          <w:tcPr>
            <w:tcW w:type="dxa" w:w="1719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32.6</w:t>
            </w:r>
          </w:p>
        </w:tc>
        <w:tc>
          <w:tcPr>
            <w:tcW w:type="dxa" w:w="1719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118.4</w:t>
            </w:r>
          </w:p>
        </w:tc>
        <w:tc>
          <w:tcPr>
            <w:tcW w:type="dxa" w:w="1719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87.9</w:t>
            </w:r>
          </w:p>
        </w:tc>
        <w:tc>
          <w:tcPr>
            <w:tcW w:type="dxa" w:w="1719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-85.8</w:t>
            </w:r>
          </w:p>
        </w:tc>
      </w:tr>
      <w:tr>
        <w:tc>
          <w:tcPr>
            <w:tcW w:type="dxa" w:w="171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直线左偏</w:t>
            </w:r>
          </w:p>
        </w:tc>
        <w:tc>
          <w:tcPr>
            <w:tcW w:type="dxa" w:w="171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38.0</w:t>
            </w:r>
          </w:p>
        </w:tc>
        <w:tc>
          <w:tcPr>
            <w:tcW w:type="dxa" w:w="171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16.6</w:t>
            </w:r>
          </w:p>
        </w:tc>
        <w:tc>
          <w:tcPr>
            <w:tcW w:type="dxa" w:w="171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52.7</w:t>
            </w:r>
          </w:p>
        </w:tc>
        <w:tc>
          <w:tcPr>
            <w:tcW w:type="dxa" w:w="171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118.4</w:t>
            </w:r>
          </w:p>
        </w:tc>
        <w:tc>
          <w:tcPr>
            <w:tcW w:type="dxa" w:w="171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-36.1</w:t>
            </w:r>
          </w:p>
        </w:tc>
      </w:tr>
      <w:tr>
        <w:tc>
          <w:tcPr>
            <w:tcW w:type="dxa" w:w="1719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直线右偏</w:t>
            </w:r>
          </w:p>
        </w:tc>
        <w:tc>
          <w:tcPr>
            <w:tcW w:type="dxa" w:w="1719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118.2</w:t>
            </w:r>
          </w:p>
        </w:tc>
        <w:tc>
          <w:tcPr>
            <w:tcW w:type="dxa" w:w="1719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70.3</w:t>
            </w:r>
          </w:p>
        </w:tc>
        <w:tc>
          <w:tcPr>
            <w:tcW w:type="dxa" w:w="1719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7.8</w:t>
            </w:r>
          </w:p>
        </w:tc>
        <w:tc>
          <w:tcPr>
            <w:tcW w:type="dxa" w:w="1719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25.5</w:t>
            </w:r>
          </w:p>
        </w:tc>
        <w:tc>
          <w:tcPr>
            <w:tcW w:type="dxa" w:w="1719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62.5</w:t>
            </w:r>
          </w:p>
        </w:tc>
      </w:tr>
    </w:tbl>
    <w:p>
      <w:pPr>
        <w:spacing w:after="20"/>
      </w:pPr>
    </w:p>
    <w:p>
      <w:pPr>
        <w:pStyle w:val="ListBullet"/>
        <w:spacing w:after="20"/>
      </w:pPr>
      <w:r>
        <w:t>左直角入口表现为 LM 强、RM 弱；右直角入口表现为 RM 强、LM 弱。</w:t>
      </w:r>
    </w:p>
    <w:p>
      <w:pPr>
        <w:pStyle w:val="ListBullet"/>
        <w:spacing w:after="20"/>
      </w:pPr>
      <w:r>
        <w:t>当前直角规则的外侧最低门槛约 40、内侧高门槛约 90、对侧内侧上限约 70、内侧差值约 45，仍能区分这组新电感的入口和直线偏移。</w:t>
      </w:r>
    </w:p>
    <w:p>
      <w:pPr>
        <w:pStyle w:val="ListBullet"/>
        <w:spacing w:after="20"/>
      </w:pPr>
      <w:r>
        <w:t>左、右直角转弯中的数据不能直接替代入口数据，只用于观察动作过程。</w:t>
      </w:r>
    </w:p>
    <w:p>
      <w:pPr>
        <w:pStyle w:val="Heading1"/>
        <w:spacing w:before="180" w:after="60"/>
      </w:pPr>
      <w:r>
        <w:t>8. 最终结论与后续动作</w:t>
      </w:r>
    </w:p>
    <w:p>
      <w:pPr>
        <w:pStyle w:val="ListBullet"/>
        <w:spacing w:after="20"/>
      </w:pPr>
      <w:r>
        <w:t>第二组新电感 10 个测试位置全部通过稳定性检查，四路硬件可继续使用。</w:t>
      </w:r>
    </w:p>
    <w:p>
      <w:pPr>
        <w:pStyle w:val="ListBullet"/>
        <w:spacing w:after="20"/>
      </w:pPr>
      <w:r>
        <w:t>当前不应把第一组逐飞套件的标定值复制给第二组新电感。</w:t>
      </w:r>
    </w:p>
    <w:p>
      <w:pPr>
        <w:pStyle w:val="ListBullet"/>
        <w:spacing w:after="20"/>
      </w:pPr>
      <w:r>
        <w:t>下一步应把建议 MIN/MAX 写入第二组配置，更新配置版本，重新编译并生成新的 HEX。</w:t>
      </w:r>
    </w:p>
    <w:p>
      <w:pPr>
        <w:pStyle w:val="ListBullet"/>
        <w:spacing w:after="20"/>
      </w:pPr>
      <w:r>
        <w:t>修改程序前保留当前正在使用的 HEX，新的 HEX 使用独立文件名或备份目录。</w:t>
      </w:r>
    </w:p>
    <w:p>
      <w:pPr>
        <w:pStyle w:val="ListBullet"/>
        <w:spacing w:after="20"/>
      </w:pPr>
      <w:r>
        <w:t>环岛仍需单独采集入口、环内和出口数据，本记录只覆盖直线和直角特征。</w:t>
      </w:r>
    </w:p>
    <w:sectPr w:rsidR="00FC693F" w:rsidRPr="0006063C" w:rsidSect="00034616">
      <w:footerReference w:type="default" r:id="rId9"/>
      <w:pgSz w:w="12240" w:h="15840"/>
      <w:pgMar w:top="964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47078"/>
        <w:sz w:val="16"/>
      </w:rPr>
      <w:t>第二组新电感测试基线 | 2026-07-12 | 原始数据不可覆盖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8537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8384E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