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FC43B3" w14:textId="77777777" w:rsidR="00F35FC2" w:rsidRPr="00893417" w:rsidRDefault="00F35FC2" w:rsidP="00F35FC2">
      <w:pPr>
        <w:spacing w:line="360" w:lineRule="auto"/>
        <w:jc w:val="center"/>
        <w:rPr>
          <w:rFonts w:ascii="Times New Roman" w:hAnsi="Times New Roman"/>
          <w:b/>
          <w:sz w:val="24"/>
          <w:szCs w:val="24"/>
          <w:lang w:val="es-ES"/>
        </w:rPr>
      </w:pPr>
      <w:r w:rsidRPr="00893417">
        <w:rPr>
          <w:noProof/>
        </w:rPr>
        <w:drawing>
          <wp:anchor distT="0" distB="0" distL="114300" distR="114300" simplePos="0" relativeHeight="251659264" behindDoc="0" locked="0" layoutInCell="0" allowOverlap="1" wp14:anchorId="44BB7CEC" wp14:editId="396A9E30">
            <wp:simplePos x="0" y="0"/>
            <wp:positionH relativeFrom="column">
              <wp:posOffset>2063750</wp:posOffset>
            </wp:positionH>
            <wp:positionV relativeFrom="paragraph">
              <wp:posOffset>728345</wp:posOffset>
            </wp:positionV>
            <wp:extent cx="1438275" cy="1800225"/>
            <wp:effectExtent l="0" t="0" r="9525"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8275" cy="180022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b/>
          <w:sz w:val="24"/>
          <w:szCs w:val="24"/>
          <w:lang w:val="es-ES"/>
        </w:rPr>
        <w:t>CENTRO DE INVESTIGACIÓN Y DOCENCIA ECONÓMICAS,</w:t>
      </w:r>
      <w:r w:rsidRPr="00893417">
        <w:rPr>
          <w:rFonts w:ascii="Times New Roman" w:hAnsi="Times New Roman"/>
          <w:b/>
          <w:sz w:val="24"/>
          <w:szCs w:val="24"/>
          <w:lang w:val="es-ES"/>
        </w:rPr>
        <w:t xml:space="preserve"> A.C.</w:t>
      </w:r>
    </w:p>
    <w:p w14:paraId="5DBE2056" w14:textId="77777777" w:rsidR="00F35FC2" w:rsidRPr="00893417" w:rsidRDefault="00F35FC2" w:rsidP="00F35FC2">
      <w:pPr>
        <w:spacing w:line="360" w:lineRule="auto"/>
        <w:jc w:val="both"/>
        <w:rPr>
          <w:rFonts w:ascii="Times New Roman" w:hAnsi="Times New Roman"/>
          <w:b/>
          <w:sz w:val="24"/>
          <w:szCs w:val="24"/>
          <w:lang w:val="es-ES"/>
        </w:rPr>
      </w:pPr>
    </w:p>
    <w:p w14:paraId="61EB7C40" w14:textId="77777777" w:rsidR="00F35FC2" w:rsidRPr="00893417" w:rsidRDefault="00F35FC2" w:rsidP="00F35FC2">
      <w:pPr>
        <w:spacing w:line="360" w:lineRule="auto"/>
        <w:rPr>
          <w:rFonts w:ascii="Times New Roman" w:hAnsi="Times New Roman"/>
          <w:b/>
          <w:sz w:val="24"/>
          <w:szCs w:val="24"/>
          <w:lang w:val="es-ES"/>
        </w:rPr>
      </w:pPr>
    </w:p>
    <w:p w14:paraId="15696CD8" w14:textId="5FC930C9" w:rsidR="00F35FC2" w:rsidRPr="00F35FC2" w:rsidRDefault="00F35FC2" w:rsidP="00F35FC2">
      <w:pPr>
        <w:spacing w:after="0" w:line="240" w:lineRule="auto"/>
        <w:jc w:val="center"/>
        <w:rPr>
          <w:rFonts w:ascii="Times New Roman" w:hAnsi="Times New Roman"/>
          <w:b/>
          <w:sz w:val="24"/>
          <w:szCs w:val="24"/>
        </w:rPr>
      </w:pPr>
      <w:r w:rsidRPr="00F35FC2">
        <w:rPr>
          <w:rFonts w:ascii="Times New Roman" w:hAnsi="Times New Roman"/>
          <w:b/>
          <w:sz w:val="24"/>
          <w:szCs w:val="24"/>
        </w:rPr>
        <w:t xml:space="preserve">Determinantes políticos para la asignación del gasto federalizado: el caso del </w:t>
      </w:r>
      <w:proofErr w:type="spellStart"/>
      <w:r w:rsidRPr="00F35FC2">
        <w:rPr>
          <w:rFonts w:ascii="Times New Roman" w:hAnsi="Times New Roman"/>
          <w:b/>
          <w:sz w:val="24"/>
          <w:szCs w:val="24"/>
        </w:rPr>
        <w:t>Fonregión</w:t>
      </w:r>
      <w:proofErr w:type="spellEnd"/>
    </w:p>
    <w:p w14:paraId="220A8A81" w14:textId="2C0764E4" w:rsidR="00F35FC2" w:rsidRDefault="00F35FC2" w:rsidP="00F35FC2">
      <w:pPr>
        <w:spacing w:after="0" w:line="240" w:lineRule="auto"/>
        <w:jc w:val="center"/>
        <w:rPr>
          <w:rFonts w:ascii="Times New Roman" w:hAnsi="Times New Roman"/>
          <w:b/>
          <w:sz w:val="24"/>
          <w:szCs w:val="24"/>
        </w:rPr>
      </w:pPr>
    </w:p>
    <w:p w14:paraId="097035E2" w14:textId="77777777" w:rsidR="00F35FC2" w:rsidRPr="00893417" w:rsidRDefault="00F35FC2" w:rsidP="00F35FC2">
      <w:pPr>
        <w:spacing w:after="0" w:line="240" w:lineRule="auto"/>
        <w:jc w:val="center"/>
        <w:rPr>
          <w:rFonts w:ascii="Times New Roman" w:hAnsi="Times New Roman"/>
          <w:b/>
          <w:sz w:val="24"/>
          <w:szCs w:val="24"/>
        </w:rPr>
      </w:pPr>
    </w:p>
    <w:p w14:paraId="30CFC95D" w14:textId="77777777" w:rsidR="00F35FC2" w:rsidRPr="00893417" w:rsidRDefault="00F35FC2" w:rsidP="00F35FC2">
      <w:pPr>
        <w:spacing w:line="360" w:lineRule="auto"/>
        <w:jc w:val="center"/>
        <w:rPr>
          <w:rFonts w:ascii="Times New Roman" w:hAnsi="Times New Roman"/>
          <w:b/>
          <w:sz w:val="24"/>
          <w:szCs w:val="24"/>
        </w:rPr>
      </w:pPr>
      <w:r w:rsidRPr="009B53D4">
        <w:rPr>
          <w:rFonts w:ascii="Times New Roman" w:hAnsi="Times New Roman"/>
          <w:b/>
          <w:sz w:val="24"/>
          <w:szCs w:val="24"/>
        </w:rPr>
        <w:t>TESINA</w:t>
      </w:r>
    </w:p>
    <w:p w14:paraId="2E6CB959" w14:textId="77777777" w:rsidR="00F35FC2" w:rsidRPr="00893417" w:rsidRDefault="00F35FC2" w:rsidP="00F35FC2">
      <w:pPr>
        <w:spacing w:line="360" w:lineRule="auto"/>
        <w:jc w:val="center"/>
        <w:rPr>
          <w:rFonts w:ascii="Times New Roman" w:hAnsi="Times New Roman"/>
          <w:sz w:val="24"/>
          <w:szCs w:val="24"/>
          <w:lang w:val="es-ES"/>
        </w:rPr>
      </w:pPr>
      <w:r w:rsidRPr="00893417">
        <w:rPr>
          <w:rFonts w:ascii="Times New Roman" w:hAnsi="Times New Roman"/>
          <w:sz w:val="24"/>
          <w:szCs w:val="24"/>
          <w:lang w:val="es-ES"/>
        </w:rPr>
        <w:t>Que para obtener el título de</w:t>
      </w:r>
    </w:p>
    <w:p w14:paraId="1C0F4687" w14:textId="77777777" w:rsidR="00F35FC2" w:rsidRPr="009B53D4" w:rsidRDefault="00F35FC2" w:rsidP="00F35FC2">
      <w:pPr>
        <w:spacing w:line="360" w:lineRule="auto"/>
        <w:jc w:val="center"/>
        <w:rPr>
          <w:rFonts w:ascii="Times New Roman" w:hAnsi="Times New Roman"/>
          <w:b/>
          <w:sz w:val="24"/>
          <w:szCs w:val="24"/>
          <w:lang w:val="es-ES"/>
        </w:rPr>
      </w:pPr>
      <w:r w:rsidRPr="009B53D4">
        <w:rPr>
          <w:rFonts w:ascii="Times New Roman" w:hAnsi="Times New Roman"/>
          <w:b/>
          <w:sz w:val="24"/>
          <w:szCs w:val="24"/>
          <w:lang w:val="es-ES"/>
        </w:rPr>
        <w:t>Licenciado en Ciencia Política y Relaciones Internacionales</w:t>
      </w:r>
    </w:p>
    <w:p w14:paraId="11116F8E" w14:textId="77777777" w:rsidR="00F35FC2" w:rsidRPr="00893417" w:rsidRDefault="00F35FC2" w:rsidP="00F35FC2">
      <w:pPr>
        <w:spacing w:line="360" w:lineRule="auto"/>
        <w:jc w:val="center"/>
        <w:rPr>
          <w:rFonts w:ascii="Times New Roman" w:hAnsi="Times New Roman"/>
          <w:sz w:val="24"/>
          <w:szCs w:val="24"/>
          <w:lang w:val="es-ES"/>
        </w:rPr>
      </w:pPr>
    </w:p>
    <w:p w14:paraId="64F14B23" w14:textId="77777777" w:rsidR="00F35FC2" w:rsidRPr="00893417" w:rsidRDefault="00F35FC2" w:rsidP="00F35FC2">
      <w:pPr>
        <w:spacing w:line="360" w:lineRule="auto"/>
        <w:jc w:val="center"/>
        <w:rPr>
          <w:rFonts w:ascii="Times New Roman" w:hAnsi="Times New Roman"/>
          <w:sz w:val="24"/>
          <w:szCs w:val="24"/>
          <w:lang w:val="es-ES"/>
        </w:rPr>
      </w:pPr>
      <w:r w:rsidRPr="00893417">
        <w:rPr>
          <w:rFonts w:ascii="Times New Roman" w:hAnsi="Times New Roman"/>
          <w:sz w:val="24"/>
          <w:szCs w:val="24"/>
          <w:lang w:val="es-ES"/>
        </w:rPr>
        <w:t>Presenta:</w:t>
      </w:r>
    </w:p>
    <w:p w14:paraId="17DC7288" w14:textId="62DEBFD0" w:rsidR="00F35FC2" w:rsidRPr="00893417" w:rsidRDefault="00F35FC2" w:rsidP="00F35FC2">
      <w:pPr>
        <w:spacing w:line="360" w:lineRule="auto"/>
        <w:jc w:val="center"/>
        <w:rPr>
          <w:rFonts w:ascii="Times New Roman" w:hAnsi="Times New Roman"/>
          <w:b/>
          <w:sz w:val="24"/>
          <w:szCs w:val="24"/>
          <w:lang w:val="es-ES"/>
        </w:rPr>
      </w:pPr>
      <w:r>
        <w:rPr>
          <w:rFonts w:ascii="Times New Roman" w:hAnsi="Times New Roman"/>
          <w:b/>
          <w:sz w:val="24"/>
          <w:szCs w:val="24"/>
          <w:lang w:val="es-ES"/>
        </w:rPr>
        <w:t>Ramón Narváez Terrón</w:t>
      </w:r>
    </w:p>
    <w:p w14:paraId="7F2285B2" w14:textId="77777777" w:rsidR="00F35FC2" w:rsidRPr="00893417" w:rsidRDefault="00F35FC2" w:rsidP="00F35FC2">
      <w:pPr>
        <w:spacing w:line="360" w:lineRule="auto"/>
        <w:jc w:val="center"/>
        <w:rPr>
          <w:rFonts w:ascii="Times New Roman" w:hAnsi="Times New Roman"/>
          <w:b/>
          <w:sz w:val="24"/>
          <w:szCs w:val="24"/>
          <w:lang w:val="es-ES"/>
        </w:rPr>
      </w:pPr>
    </w:p>
    <w:p w14:paraId="6A700A01" w14:textId="77777777" w:rsidR="00F35FC2" w:rsidRPr="00893417" w:rsidRDefault="00F35FC2" w:rsidP="00F35FC2">
      <w:pPr>
        <w:spacing w:line="360" w:lineRule="auto"/>
        <w:jc w:val="center"/>
        <w:rPr>
          <w:rFonts w:ascii="Times New Roman" w:hAnsi="Times New Roman"/>
          <w:sz w:val="24"/>
          <w:szCs w:val="24"/>
          <w:lang w:val="es-ES"/>
        </w:rPr>
      </w:pPr>
      <w:r w:rsidRPr="00893417">
        <w:rPr>
          <w:rFonts w:ascii="Times New Roman" w:hAnsi="Times New Roman"/>
          <w:sz w:val="24"/>
          <w:szCs w:val="24"/>
          <w:lang w:val="es-ES"/>
        </w:rPr>
        <w:t>Director de Tesina:</w:t>
      </w:r>
    </w:p>
    <w:p w14:paraId="673CAA71" w14:textId="06661874" w:rsidR="00F35FC2" w:rsidRPr="00893417" w:rsidRDefault="00F35FC2" w:rsidP="00F35FC2">
      <w:pPr>
        <w:spacing w:line="360" w:lineRule="auto"/>
        <w:jc w:val="center"/>
        <w:rPr>
          <w:rFonts w:ascii="Times New Roman" w:hAnsi="Times New Roman"/>
          <w:b/>
          <w:sz w:val="24"/>
          <w:szCs w:val="24"/>
          <w:lang w:val="es-ES"/>
        </w:rPr>
      </w:pPr>
      <w:r>
        <w:rPr>
          <w:rFonts w:ascii="Times New Roman" w:hAnsi="Times New Roman"/>
          <w:b/>
          <w:sz w:val="24"/>
          <w:szCs w:val="24"/>
          <w:lang w:val="es-ES"/>
        </w:rPr>
        <w:t>Dra. Claudia Maldonado Trujillo</w:t>
      </w:r>
    </w:p>
    <w:p w14:paraId="1D63A857" w14:textId="77777777" w:rsidR="00F35FC2" w:rsidRDefault="00F35FC2" w:rsidP="00F35FC2">
      <w:pPr>
        <w:spacing w:line="360" w:lineRule="auto"/>
        <w:jc w:val="center"/>
        <w:rPr>
          <w:rFonts w:ascii="Times New Roman" w:hAnsi="Times New Roman"/>
          <w:b/>
          <w:sz w:val="24"/>
          <w:szCs w:val="24"/>
          <w:lang w:val="es-ES"/>
        </w:rPr>
      </w:pPr>
    </w:p>
    <w:p w14:paraId="265FAD65" w14:textId="37746D73" w:rsidR="00610F80" w:rsidRPr="00F35FC2" w:rsidRDefault="00F35FC2" w:rsidP="00F35FC2">
      <w:pPr>
        <w:spacing w:line="360" w:lineRule="auto"/>
        <w:jc w:val="center"/>
        <w:rPr>
          <w:rFonts w:ascii="Times New Roman" w:hAnsi="Times New Roman"/>
          <w:b/>
          <w:sz w:val="24"/>
          <w:szCs w:val="24"/>
          <w:lang w:val="es-ES"/>
        </w:rPr>
      </w:pPr>
      <w:r>
        <w:rPr>
          <w:rFonts w:ascii="Times New Roman" w:hAnsi="Times New Roman"/>
          <w:b/>
          <w:sz w:val="24"/>
          <w:szCs w:val="24"/>
          <w:lang w:val="es-ES"/>
        </w:rPr>
        <w:t>México, D.F. abril de 2014</w:t>
      </w:r>
    </w:p>
    <w:p w14:paraId="388E5E45" w14:textId="2DD53A56" w:rsidR="003E3F9E" w:rsidRPr="00F35FC2" w:rsidRDefault="005F13D8" w:rsidP="00350B2E">
      <w:pPr>
        <w:ind w:left="2977" w:hanging="850"/>
        <w:jc w:val="right"/>
        <w:rPr>
          <w:rFonts w:ascii="Times New Roman" w:hAnsi="Times New Roman" w:cs="Times New Roman"/>
          <w:i/>
          <w:sz w:val="24"/>
          <w:szCs w:val="24"/>
        </w:rPr>
      </w:pPr>
      <w:r w:rsidRPr="00F35FC2">
        <w:rPr>
          <w:rFonts w:ascii="Times New Roman" w:hAnsi="Times New Roman" w:cs="Times New Roman"/>
          <w:i/>
          <w:sz w:val="24"/>
          <w:szCs w:val="24"/>
        </w:rPr>
        <w:lastRenderedPageBreak/>
        <w:t>A mamá,</w:t>
      </w:r>
      <w:r w:rsidR="00CE4F3D" w:rsidRPr="00F35FC2">
        <w:rPr>
          <w:rFonts w:ascii="Times New Roman" w:hAnsi="Times New Roman" w:cs="Times New Roman"/>
          <w:i/>
          <w:sz w:val="24"/>
          <w:szCs w:val="24"/>
        </w:rPr>
        <w:t xml:space="preserve"> porque eres mi más grande heroína, hiciste de mí lo que soy y siempre me impulsas a seguir creciendo.</w:t>
      </w:r>
    </w:p>
    <w:p w14:paraId="007867AC" w14:textId="77777777" w:rsidR="00CE4F3D" w:rsidRPr="00F35FC2" w:rsidRDefault="00CE4F3D" w:rsidP="00350B2E">
      <w:pPr>
        <w:ind w:left="2977" w:hanging="850"/>
        <w:jc w:val="right"/>
        <w:rPr>
          <w:rFonts w:ascii="Times New Roman" w:hAnsi="Times New Roman" w:cs="Times New Roman"/>
          <w:i/>
          <w:sz w:val="24"/>
          <w:szCs w:val="24"/>
        </w:rPr>
      </w:pPr>
    </w:p>
    <w:p w14:paraId="4B4DB0AD" w14:textId="391C9A3C" w:rsidR="00CE4F3D" w:rsidRPr="00F35FC2" w:rsidRDefault="00CE4F3D" w:rsidP="00350B2E">
      <w:pPr>
        <w:ind w:left="2977" w:hanging="850"/>
        <w:jc w:val="right"/>
        <w:rPr>
          <w:rFonts w:ascii="Times New Roman" w:hAnsi="Times New Roman" w:cs="Times New Roman"/>
          <w:i/>
          <w:sz w:val="24"/>
          <w:szCs w:val="24"/>
        </w:rPr>
      </w:pPr>
      <w:r w:rsidRPr="00F35FC2">
        <w:rPr>
          <w:rFonts w:ascii="Times New Roman" w:hAnsi="Times New Roman" w:cs="Times New Roman"/>
          <w:i/>
          <w:sz w:val="24"/>
          <w:szCs w:val="24"/>
        </w:rPr>
        <w:t xml:space="preserve">A </w:t>
      </w:r>
      <w:proofErr w:type="spellStart"/>
      <w:r w:rsidRPr="00F35FC2">
        <w:rPr>
          <w:rFonts w:ascii="Times New Roman" w:hAnsi="Times New Roman" w:cs="Times New Roman"/>
          <w:i/>
          <w:sz w:val="24"/>
          <w:szCs w:val="24"/>
        </w:rPr>
        <w:t>Shary</w:t>
      </w:r>
      <w:proofErr w:type="spellEnd"/>
      <w:r w:rsidRPr="00F35FC2">
        <w:rPr>
          <w:rFonts w:ascii="Times New Roman" w:hAnsi="Times New Roman" w:cs="Times New Roman"/>
          <w:i/>
          <w:sz w:val="24"/>
          <w:szCs w:val="24"/>
        </w:rPr>
        <w:t xml:space="preserve">, porque aunque puedan existir momentos difíciles, le das significado a mi vida y nunca dejo de sentir </w:t>
      </w:r>
      <w:proofErr w:type="gramStart"/>
      <w:r w:rsidRPr="00F35FC2">
        <w:rPr>
          <w:rFonts w:ascii="Times New Roman" w:hAnsi="Times New Roman" w:cs="Times New Roman"/>
          <w:i/>
          <w:sz w:val="24"/>
          <w:szCs w:val="24"/>
        </w:rPr>
        <w:t>tu</w:t>
      </w:r>
      <w:proofErr w:type="gramEnd"/>
      <w:r w:rsidRPr="00F35FC2">
        <w:rPr>
          <w:rFonts w:ascii="Times New Roman" w:hAnsi="Times New Roman" w:cs="Times New Roman"/>
          <w:i/>
          <w:sz w:val="24"/>
          <w:szCs w:val="24"/>
        </w:rPr>
        <w:t xml:space="preserve"> apoyo.</w:t>
      </w:r>
    </w:p>
    <w:p w14:paraId="06BF19AC" w14:textId="77777777" w:rsidR="00350B2E" w:rsidRPr="00F35FC2" w:rsidRDefault="00350B2E" w:rsidP="00350B2E">
      <w:pPr>
        <w:ind w:left="2977" w:hanging="850"/>
        <w:jc w:val="right"/>
        <w:rPr>
          <w:rFonts w:ascii="Times New Roman" w:hAnsi="Times New Roman" w:cs="Times New Roman"/>
          <w:i/>
          <w:sz w:val="24"/>
          <w:szCs w:val="24"/>
        </w:rPr>
      </w:pPr>
    </w:p>
    <w:p w14:paraId="04C29D63" w14:textId="094AF93B" w:rsidR="00CE4F3D" w:rsidRPr="00F35FC2" w:rsidRDefault="00CE4F3D" w:rsidP="00350B2E">
      <w:pPr>
        <w:ind w:left="2977" w:hanging="850"/>
        <w:jc w:val="right"/>
        <w:rPr>
          <w:rFonts w:ascii="Times New Roman" w:hAnsi="Times New Roman" w:cs="Times New Roman"/>
          <w:i/>
          <w:sz w:val="24"/>
          <w:szCs w:val="24"/>
        </w:rPr>
      </w:pPr>
      <w:r w:rsidRPr="00F35FC2">
        <w:rPr>
          <w:rFonts w:ascii="Times New Roman" w:hAnsi="Times New Roman" w:cs="Times New Roman"/>
          <w:i/>
          <w:sz w:val="24"/>
          <w:szCs w:val="24"/>
        </w:rPr>
        <w:t>A Ricas, por preocuparte siempre por ser el mejor ejemplo y lograrlo a diario.</w:t>
      </w:r>
    </w:p>
    <w:p w14:paraId="6C48A164" w14:textId="77777777" w:rsidR="00350B2E" w:rsidRPr="00F35FC2" w:rsidRDefault="00350B2E" w:rsidP="00350B2E">
      <w:pPr>
        <w:ind w:left="2977" w:hanging="850"/>
        <w:jc w:val="right"/>
        <w:rPr>
          <w:rFonts w:ascii="Times New Roman" w:hAnsi="Times New Roman" w:cs="Times New Roman"/>
          <w:i/>
          <w:sz w:val="24"/>
          <w:szCs w:val="24"/>
        </w:rPr>
      </w:pPr>
    </w:p>
    <w:p w14:paraId="1C47F4E6" w14:textId="6BD67630" w:rsidR="00CE4F3D" w:rsidRPr="00F35FC2" w:rsidRDefault="00610F80" w:rsidP="00350B2E">
      <w:pPr>
        <w:ind w:left="2977" w:hanging="850"/>
        <w:jc w:val="right"/>
        <w:rPr>
          <w:rFonts w:ascii="Times New Roman" w:hAnsi="Times New Roman" w:cs="Times New Roman"/>
          <w:i/>
          <w:sz w:val="24"/>
          <w:szCs w:val="24"/>
        </w:rPr>
      </w:pPr>
      <w:r w:rsidRPr="00F35FC2">
        <w:rPr>
          <w:rFonts w:ascii="Times New Roman" w:hAnsi="Times New Roman" w:cs="Times New Roman"/>
          <w:i/>
          <w:sz w:val="24"/>
          <w:szCs w:val="24"/>
        </w:rPr>
        <w:t xml:space="preserve">A </w:t>
      </w:r>
      <w:proofErr w:type="spellStart"/>
      <w:r w:rsidRPr="00F35FC2">
        <w:rPr>
          <w:rFonts w:ascii="Times New Roman" w:hAnsi="Times New Roman" w:cs="Times New Roman"/>
          <w:i/>
          <w:sz w:val="24"/>
          <w:szCs w:val="24"/>
        </w:rPr>
        <w:t>Lore</w:t>
      </w:r>
      <w:proofErr w:type="spellEnd"/>
      <w:r w:rsidRPr="00F35FC2">
        <w:rPr>
          <w:rFonts w:ascii="Times New Roman" w:hAnsi="Times New Roman" w:cs="Times New Roman"/>
          <w:i/>
          <w:sz w:val="24"/>
          <w:szCs w:val="24"/>
        </w:rPr>
        <w:t>,</w:t>
      </w:r>
      <w:r w:rsidR="000B5A79" w:rsidRPr="00F35FC2">
        <w:rPr>
          <w:rFonts w:ascii="Times New Roman" w:hAnsi="Times New Roman" w:cs="Times New Roman"/>
          <w:i/>
          <w:sz w:val="24"/>
          <w:szCs w:val="24"/>
        </w:rPr>
        <w:t xml:space="preserve"> porque nunca has dejado de ser extraordinaria y me</w:t>
      </w:r>
      <w:r w:rsidR="004914AE" w:rsidRPr="00F35FC2">
        <w:rPr>
          <w:rFonts w:ascii="Times New Roman" w:hAnsi="Times New Roman" w:cs="Times New Roman"/>
          <w:i/>
          <w:sz w:val="24"/>
          <w:szCs w:val="24"/>
        </w:rPr>
        <w:t xml:space="preserve"> </w:t>
      </w:r>
      <w:r w:rsidR="000B5A79" w:rsidRPr="00F35FC2">
        <w:rPr>
          <w:rFonts w:ascii="Times New Roman" w:hAnsi="Times New Roman" w:cs="Times New Roman"/>
          <w:i/>
          <w:sz w:val="24"/>
          <w:szCs w:val="24"/>
        </w:rPr>
        <w:t>recuerdas</w:t>
      </w:r>
      <w:r w:rsidR="004914AE" w:rsidRPr="00F35FC2">
        <w:rPr>
          <w:rFonts w:ascii="Times New Roman" w:hAnsi="Times New Roman" w:cs="Times New Roman"/>
          <w:i/>
          <w:sz w:val="24"/>
          <w:szCs w:val="24"/>
        </w:rPr>
        <w:t xml:space="preserve"> a diario </w:t>
      </w:r>
      <w:r w:rsidR="00CE4F3D" w:rsidRPr="00F35FC2">
        <w:rPr>
          <w:rFonts w:ascii="Times New Roman" w:hAnsi="Times New Roman" w:cs="Times New Roman"/>
          <w:i/>
          <w:sz w:val="24"/>
          <w:szCs w:val="24"/>
        </w:rPr>
        <w:t>que</w:t>
      </w:r>
      <w:r w:rsidR="004914AE" w:rsidRPr="00F35FC2">
        <w:rPr>
          <w:rFonts w:ascii="Times New Roman" w:hAnsi="Times New Roman" w:cs="Times New Roman"/>
          <w:i/>
          <w:sz w:val="24"/>
          <w:szCs w:val="24"/>
        </w:rPr>
        <w:t xml:space="preserve"> sí</w:t>
      </w:r>
      <w:r w:rsidR="00CE4F3D" w:rsidRPr="00F35FC2">
        <w:rPr>
          <w:rFonts w:ascii="Times New Roman" w:hAnsi="Times New Roman" w:cs="Times New Roman"/>
          <w:i/>
          <w:sz w:val="24"/>
          <w:szCs w:val="24"/>
        </w:rPr>
        <w:t xml:space="preserve"> podemos construir un país mejor con nuestro esfuerzo.</w:t>
      </w:r>
    </w:p>
    <w:p w14:paraId="3964653A" w14:textId="77777777" w:rsidR="00350B2E" w:rsidRPr="00F35FC2" w:rsidRDefault="00350B2E" w:rsidP="00350B2E">
      <w:pPr>
        <w:ind w:left="2977" w:hanging="850"/>
        <w:jc w:val="right"/>
        <w:rPr>
          <w:rFonts w:ascii="Times New Roman" w:hAnsi="Times New Roman" w:cs="Times New Roman"/>
          <w:i/>
          <w:sz w:val="24"/>
          <w:szCs w:val="24"/>
        </w:rPr>
      </w:pPr>
    </w:p>
    <w:p w14:paraId="0F50C6FA" w14:textId="5389F0E8" w:rsidR="00CE4F3D" w:rsidRPr="00F35FC2" w:rsidRDefault="00CE4F3D" w:rsidP="00350B2E">
      <w:pPr>
        <w:ind w:left="2977" w:hanging="850"/>
        <w:jc w:val="right"/>
        <w:rPr>
          <w:rFonts w:ascii="Times New Roman" w:hAnsi="Times New Roman" w:cs="Times New Roman"/>
          <w:i/>
          <w:sz w:val="24"/>
          <w:szCs w:val="24"/>
        </w:rPr>
      </w:pPr>
      <w:r w:rsidRPr="00F35FC2">
        <w:rPr>
          <w:rFonts w:ascii="Times New Roman" w:hAnsi="Times New Roman" w:cs="Times New Roman"/>
          <w:i/>
          <w:sz w:val="24"/>
          <w:szCs w:val="24"/>
        </w:rPr>
        <w:t>A mis profesores, en especial a Guillermo, Carlos y Claudia, por enseñarme que uno nunca deja de aprender ni debe dejar de cuestionarse.</w:t>
      </w:r>
    </w:p>
    <w:p w14:paraId="5B8C2B20" w14:textId="77777777" w:rsidR="00350B2E" w:rsidRPr="00F35FC2" w:rsidRDefault="00350B2E" w:rsidP="00350B2E">
      <w:pPr>
        <w:ind w:left="2977" w:hanging="850"/>
        <w:jc w:val="right"/>
        <w:rPr>
          <w:rFonts w:ascii="Times New Roman" w:hAnsi="Times New Roman" w:cs="Times New Roman"/>
          <w:i/>
          <w:sz w:val="24"/>
          <w:szCs w:val="24"/>
        </w:rPr>
      </w:pPr>
    </w:p>
    <w:p w14:paraId="51520B57" w14:textId="2ABE4399" w:rsidR="00CE4F3D" w:rsidRPr="00F35FC2" w:rsidRDefault="00CE4F3D" w:rsidP="00350B2E">
      <w:pPr>
        <w:ind w:left="2977" w:hanging="850"/>
        <w:jc w:val="right"/>
        <w:rPr>
          <w:rFonts w:ascii="Times New Roman" w:hAnsi="Times New Roman" w:cs="Times New Roman"/>
          <w:i/>
          <w:sz w:val="24"/>
          <w:szCs w:val="24"/>
        </w:rPr>
      </w:pPr>
      <w:r w:rsidRPr="00F35FC2">
        <w:rPr>
          <w:rFonts w:ascii="Times New Roman" w:hAnsi="Times New Roman" w:cs="Times New Roman"/>
          <w:i/>
          <w:sz w:val="24"/>
          <w:szCs w:val="24"/>
        </w:rPr>
        <w:t>A todos los que siempre han creído en mí y me han apoyado, les aseguro que daré lo mejor y los seguiré necesitando, pues mi camino apenas comienza.</w:t>
      </w:r>
    </w:p>
    <w:p w14:paraId="094B8F8F" w14:textId="40968A3C" w:rsidR="00610F80" w:rsidRDefault="003E3F9E">
      <w:pPr>
        <w:rPr>
          <w:rFonts w:ascii="Times New Roman" w:hAnsi="Times New Roman" w:cs="Times New Roman"/>
          <w:sz w:val="24"/>
          <w:szCs w:val="24"/>
        </w:rPr>
      </w:pPr>
      <w:bookmarkStart w:id="0" w:name="_GoBack"/>
      <w:bookmarkEnd w:id="0"/>
      <w:r>
        <w:rPr>
          <w:rFonts w:ascii="Times New Roman" w:hAnsi="Times New Roman" w:cs="Times New Roman"/>
          <w:sz w:val="24"/>
          <w:szCs w:val="24"/>
        </w:rPr>
        <w:br w:type="page"/>
      </w:r>
    </w:p>
    <w:sdt>
      <w:sdtPr>
        <w:rPr>
          <w:rFonts w:asciiTheme="minorHAnsi" w:eastAsiaTheme="minorEastAsia" w:hAnsiTheme="minorHAnsi" w:cstheme="minorBidi"/>
          <w:b w:val="0"/>
          <w:bCs w:val="0"/>
          <w:color w:val="auto"/>
          <w:sz w:val="22"/>
          <w:szCs w:val="22"/>
          <w:lang w:val="es-ES"/>
        </w:rPr>
        <w:id w:val="-1179501909"/>
        <w:docPartObj>
          <w:docPartGallery w:val="Table of Contents"/>
          <w:docPartUnique/>
        </w:docPartObj>
      </w:sdtPr>
      <w:sdtContent>
        <w:p w14:paraId="5FE65713" w14:textId="4C45824B" w:rsidR="00610F80" w:rsidRPr="00610F80" w:rsidRDefault="00610F80">
          <w:pPr>
            <w:pStyle w:val="TtulodeTDC"/>
            <w:rPr>
              <w:rFonts w:ascii="Times New Roman" w:hAnsi="Times New Roman" w:cs="Times New Roman"/>
              <w:color w:val="auto"/>
              <w:sz w:val="24"/>
              <w:szCs w:val="24"/>
              <w:lang w:val="es-ES"/>
            </w:rPr>
          </w:pPr>
          <w:r w:rsidRPr="00610F80">
            <w:rPr>
              <w:rFonts w:ascii="Times New Roman" w:hAnsi="Times New Roman" w:cs="Times New Roman"/>
              <w:color w:val="auto"/>
              <w:sz w:val="24"/>
              <w:szCs w:val="24"/>
              <w:lang w:val="es-ES"/>
            </w:rPr>
            <w:t>Índice</w:t>
          </w:r>
        </w:p>
        <w:p w14:paraId="67D4B568" w14:textId="77777777" w:rsidR="005F13D8" w:rsidRDefault="005F13D8" w:rsidP="00610F80">
          <w:pPr>
            <w:rPr>
              <w:rFonts w:ascii="Times New Roman" w:hAnsi="Times New Roman" w:cs="Times New Roman"/>
              <w:sz w:val="24"/>
              <w:szCs w:val="24"/>
              <w:lang w:val="es-ES"/>
            </w:rPr>
          </w:pPr>
        </w:p>
        <w:p w14:paraId="539D155E" w14:textId="665C8170" w:rsidR="00610F80" w:rsidRPr="005F13D8" w:rsidRDefault="005F13D8" w:rsidP="005F13D8">
          <w:pPr>
            <w:spacing w:line="480" w:lineRule="auto"/>
            <w:rPr>
              <w:rFonts w:ascii="Times New Roman" w:hAnsi="Times New Roman" w:cs="Times New Roman"/>
              <w:sz w:val="24"/>
              <w:szCs w:val="24"/>
              <w:lang w:val="es-ES"/>
            </w:rPr>
          </w:pPr>
          <w:r w:rsidRPr="005F13D8">
            <w:rPr>
              <w:rFonts w:ascii="Times New Roman" w:hAnsi="Times New Roman" w:cs="Times New Roman"/>
              <w:sz w:val="24"/>
              <w:szCs w:val="24"/>
              <w:lang w:val="es-ES"/>
            </w:rPr>
            <w:t>Introducción</w:t>
          </w:r>
          <w:r>
            <w:rPr>
              <w:rFonts w:ascii="Times New Roman" w:hAnsi="Times New Roman" w:cs="Times New Roman"/>
              <w:sz w:val="24"/>
              <w:szCs w:val="24"/>
              <w:lang w:val="es-ES"/>
            </w:rPr>
            <w:t>………………………………………………………………………………....4</w:t>
          </w:r>
        </w:p>
        <w:p w14:paraId="69C8D8E1" w14:textId="77777777" w:rsidR="00610F80" w:rsidRPr="00610F80" w:rsidRDefault="00610F80" w:rsidP="00610F80">
          <w:pPr>
            <w:pStyle w:val="TDC1"/>
            <w:tabs>
              <w:tab w:val="left" w:pos="440"/>
              <w:tab w:val="right" w:leader="dot" w:pos="8827"/>
            </w:tabs>
            <w:spacing w:line="480" w:lineRule="auto"/>
            <w:rPr>
              <w:rFonts w:ascii="Times New Roman" w:hAnsi="Times New Roman" w:cs="Times New Roman"/>
              <w:noProof/>
              <w:sz w:val="24"/>
              <w:szCs w:val="24"/>
            </w:rPr>
          </w:pPr>
          <w:r>
            <w:fldChar w:fldCharType="begin"/>
          </w:r>
          <w:r>
            <w:instrText xml:space="preserve"> TOC \o "1-3" \h \z \u </w:instrText>
          </w:r>
          <w:r>
            <w:fldChar w:fldCharType="separate"/>
          </w:r>
          <w:hyperlink w:anchor="_Toc382321797" w:history="1">
            <w:r w:rsidRPr="00610F80">
              <w:rPr>
                <w:rStyle w:val="Hipervnculo"/>
                <w:rFonts w:ascii="Times New Roman" w:hAnsi="Times New Roman" w:cs="Times New Roman"/>
                <w:noProof/>
                <w:sz w:val="24"/>
                <w:szCs w:val="24"/>
              </w:rPr>
              <w:t>I.</w:t>
            </w:r>
            <w:r w:rsidRPr="00610F80">
              <w:rPr>
                <w:rFonts w:ascii="Times New Roman" w:hAnsi="Times New Roman" w:cs="Times New Roman"/>
                <w:noProof/>
                <w:sz w:val="24"/>
                <w:szCs w:val="24"/>
              </w:rPr>
              <w:tab/>
            </w:r>
            <w:r w:rsidRPr="00610F80">
              <w:rPr>
                <w:rStyle w:val="Hipervnculo"/>
                <w:rFonts w:ascii="Times New Roman" w:hAnsi="Times New Roman" w:cs="Times New Roman"/>
                <w:noProof/>
                <w:sz w:val="24"/>
                <w:szCs w:val="24"/>
              </w:rPr>
              <w:t>Fondo Regional</w:t>
            </w:r>
            <w:r w:rsidRPr="00610F80">
              <w:rPr>
                <w:rFonts w:ascii="Times New Roman" w:hAnsi="Times New Roman" w:cs="Times New Roman"/>
                <w:noProof/>
                <w:webHidden/>
                <w:sz w:val="24"/>
                <w:szCs w:val="24"/>
              </w:rPr>
              <w:tab/>
            </w:r>
            <w:r w:rsidRPr="00610F80">
              <w:rPr>
                <w:rFonts w:ascii="Times New Roman" w:hAnsi="Times New Roman" w:cs="Times New Roman"/>
                <w:noProof/>
                <w:webHidden/>
                <w:sz w:val="24"/>
                <w:szCs w:val="24"/>
              </w:rPr>
              <w:fldChar w:fldCharType="begin"/>
            </w:r>
            <w:r w:rsidRPr="00610F80">
              <w:rPr>
                <w:rFonts w:ascii="Times New Roman" w:hAnsi="Times New Roman" w:cs="Times New Roman"/>
                <w:noProof/>
                <w:webHidden/>
                <w:sz w:val="24"/>
                <w:szCs w:val="24"/>
              </w:rPr>
              <w:instrText xml:space="preserve"> PAGEREF _Toc382321797 \h </w:instrText>
            </w:r>
            <w:r w:rsidRPr="00610F80">
              <w:rPr>
                <w:rFonts w:ascii="Times New Roman" w:hAnsi="Times New Roman" w:cs="Times New Roman"/>
                <w:noProof/>
                <w:webHidden/>
                <w:sz w:val="24"/>
                <w:szCs w:val="24"/>
              </w:rPr>
            </w:r>
            <w:r w:rsidRPr="00610F80">
              <w:rPr>
                <w:rFonts w:ascii="Times New Roman" w:hAnsi="Times New Roman" w:cs="Times New Roman"/>
                <w:noProof/>
                <w:webHidden/>
                <w:sz w:val="24"/>
                <w:szCs w:val="24"/>
              </w:rPr>
              <w:fldChar w:fldCharType="separate"/>
            </w:r>
            <w:r w:rsidR="00546A50">
              <w:rPr>
                <w:rFonts w:ascii="Times New Roman" w:hAnsi="Times New Roman" w:cs="Times New Roman"/>
                <w:noProof/>
                <w:webHidden/>
                <w:sz w:val="24"/>
                <w:szCs w:val="24"/>
              </w:rPr>
              <w:t>16</w:t>
            </w:r>
            <w:r w:rsidRPr="00610F80">
              <w:rPr>
                <w:rFonts w:ascii="Times New Roman" w:hAnsi="Times New Roman" w:cs="Times New Roman"/>
                <w:noProof/>
                <w:webHidden/>
                <w:sz w:val="24"/>
                <w:szCs w:val="24"/>
              </w:rPr>
              <w:fldChar w:fldCharType="end"/>
            </w:r>
          </w:hyperlink>
        </w:p>
        <w:p w14:paraId="59350CF3" w14:textId="77777777" w:rsidR="00610F80" w:rsidRPr="00610F80" w:rsidRDefault="00481210" w:rsidP="00610F80">
          <w:pPr>
            <w:pStyle w:val="TDC1"/>
            <w:tabs>
              <w:tab w:val="left" w:pos="440"/>
              <w:tab w:val="right" w:leader="dot" w:pos="8827"/>
            </w:tabs>
            <w:spacing w:line="480" w:lineRule="auto"/>
            <w:rPr>
              <w:rFonts w:ascii="Times New Roman" w:hAnsi="Times New Roman" w:cs="Times New Roman"/>
              <w:noProof/>
              <w:sz w:val="24"/>
              <w:szCs w:val="24"/>
            </w:rPr>
          </w:pPr>
          <w:hyperlink w:anchor="_Toc382321798" w:history="1">
            <w:r w:rsidR="00610F80" w:rsidRPr="00610F80">
              <w:rPr>
                <w:rStyle w:val="Hipervnculo"/>
                <w:rFonts w:ascii="Times New Roman" w:eastAsia="Times New Roman" w:hAnsi="Times New Roman" w:cs="Times New Roman"/>
                <w:noProof/>
                <w:sz w:val="24"/>
                <w:szCs w:val="24"/>
              </w:rPr>
              <w:t>II.</w:t>
            </w:r>
            <w:r w:rsidR="00610F80" w:rsidRPr="00610F80">
              <w:rPr>
                <w:rFonts w:ascii="Times New Roman" w:hAnsi="Times New Roman" w:cs="Times New Roman"/>
                <w:noProof/>
                <w:sz w:val="24"/>
                <w:szCs w:val="24"/>
              </w:rPr>
              <w:tab/>
            </w:r>
            <w:r w:rsidR="00610F80" w:rsidRPr="00610F80">
              <w:rPr>
                <w:rStyle w:val="Hipervnculo"/>
                <w:rFonts w:ascii="Times New Roman" w:eastAsia="Times New Roman" w:hAnsi="Times New Roman" w:cs="Times New Roman"/>
                <w:iCs/>
                <w:noProof/>
                <w:sz w:val="24"/>
                <w:szCs w:val="24"/>
              </w:rPr>
              <w:t>Distribución de los recursos de gasto social en la literatura</w:t>
            </w:r>
            <w:r w:rsidR="00610F80" w:rsidRPr="00610F80">
              <w:rPr>
                <w:rFonts w:ascii="Times New Roman" w:hAnsi="Times New Roman" w:cs="Times New Roman"/>
                <w:noProof/>
                <w:webHidden/>
                <w:sz w:val="24"/>
                <w:szCs w:val="24"/>
              </w:rPr>
              <w:tab/>
            </w:r>
            <w:r w:rsidR="00610F80" w:rsidRPr="00610F80">
              <w:rPr>
                <w:rFonts w:ascii="Times New Roman" w:hAnsi="Times New Roman" w:cs="Times New Roman"/>
                <w:noProof/>
                <w:webHidden/>
                <w:sz w:val="24"/>
                <w:szCs w:val="24"/>
              </w:rPr>
              <w:fldChar w:fldCharType="begin"/>
            </w:r>
            <w:r w:rsidR="00610F80" w:rsidRPr="00610F80">
              <w:rPr>
                <w:rFonts w:ascii="Times New Roman" w:hAnsi="Times New Roman" w:cs="Times New Roman"/>
                <w:noProof/>
                <w:webHidden/>
                <w:sz w:val="24"/>
                <w:szCs w:val="24"/>
              </w:rPr>
              <w:instrText xml:space="preserve"> PAGEREF _Toc382321798 \h </w:instrText>
            </w:r>
            <w:r w:rsidR="00610F80" w:rsidRPr="00610F80">
              <w:rPr>
                <w:rFonts w:ascii="Times New Roman" w:hAnsi="Times New Roman" w:cs="Times New Roman"/>
                <w:noProof/>
                <w:webHidden/>
                <w:sz w:val="24"/>
                <w:szCs w:val="24"/>
              </w:rPr>
            </w:r>
            <w:r w:rsidR="00610F80" w:rsidRPr="00610F80">
              <w:rPr>
                <w:rFonts w:ascii="Times New Roman" w:hAnsi="Times New Roman" w:cs="Times New Roman"/>
                <w:noProof/>
                <w:webHidden/>
                <w:sz w:val="24"/>
                <w:szCs w:val="24"/>
              </w:rPr>
              <w:fldChar w:fldCharType="separate"/>
            </w:r>
            <w:r w:rsidR="00546A50">
              <w:rPr>
                <w:rFonts w:ascii="Times New Roman" w:hAnsi="Times New Roman" w:cs="Times New Roman"/>
                <w:noProof/>
                <w:webHidden/>
                <w:sz w:val="24"/>
                <w:szCs w:val="24"/>
              </w:rPr>
              <w:t>24</w:t>
            </w:r>
            <w:r w:rsidR="00610F80" w:rsidRPr="00610F80">
              <w:rPr>
                <w:rFonts w:ascii="Times New Roman" w:hAnsi="Times New Roman" w:cs="Times New Roman"/>
                <w:noProof/>
                <w:webHidden/>
                <w:sz w:val="24"/>
                <w:szCs w:val="24"/>
              </w:rPr>
              <w:fldChar w:fldCharType="end"/>
            </w:r>
          </w:hyperlink>
        </w:p>
        <w:p w14:paraId="633E9E9E" w14:textId="77777777" w:rsidR="00610F80" w:rsidRPr="00610F80" w:rsidRDefault="00481210" w:rsidP="00610F80">
          <w:pPr>
            <w:pStyle w:val="TDC2"/>
            <w:tabs>
              <w:tab w:val="left" w:pos="660"/>
              <w:tab w:val="right" w:leader="dot" w:pos="8827"/>
            </w:tabs>
            <w:spacing w:line="480" w:lineRule="auto"/>
            <w:rPr>
              <w:rFonts w:ascii="Times New Roman" w:hAnsi="Times New Roman" w:cs="Times New Roman"/>
              <w:noProof/>
              <w:sz w:val="24"/>
              <w:szCs w:val="24"/>
            </w:rPr>
          </w:pPr>
          <w:hyperlink w:anchor="_Toc382321799" w:history="1">
            <w:r w:rsidR="00610F80" w:rsidRPr="00610F80">
              <w:rPr>
                <w:rStyle w:val="Hipervnculo"/>
                <w:rFonts w:ascii="Times New Roman" w:hAnsi="Times New Roman" w:cs="Times New Roman"/>
                <w:noProof/>
                <w:sz w:val="24"/>
                <w:szCs w:val="24"/>
              </w:rPr>
              <w:t>a)</w:t>
            </w:r>
            <w:r w:rsidR="00610F80" w:rsidRPr="00610F80">
              <w:rPr>
                <w:rFonts w:ascii="Times New Roman" w:hAnsi="Times New Roman" w:cs="Times New Roman"/>
                <w:noProof/>
                <w:sz w:val="24"/>
                <w:szCs w:val="24"/>
              </w:rPr>
              <w:tab/>
            </w:r>
            <w:r w:rsidR="00610F80" w:rsidRPr="00610F80">
              <w:rPr>
                <w:rStyle w:val="Hipervnculo"/>
                <w:rFonts w:ascii="Times New Roman" w:hAnsi="Times New Roman" w:cs="Times New Roman"/>
                <w:noProof/>
                <w:sz w:val="24"/>
                <w:szCs w:val="24"/>
              </w:rPr>
              <w:t>Core/Swing voters</w:t>
            </w:r>
            <w:r w:rsidR="00610F80" w:rsidRPr="00610F80">
              <w:rPr>
                <w:rFonts w:ascii="Times New Roman" w:hAnsi="Times New Roman" w:cs="Times New Roman"/>
                <w:noProof/>
                <w:webHidden/>
                <w:sz w:val="24"/>
                <w:szCs w:val="24"/>
              </w:rPr>
              <w:tab/>
            </w:r>
            <w:r w:rsidR="00610F80" w:rsidRPr="00610F80">
              <w:rPr>
                <w:rFonts w:ascii="Times New Roman" w:hAnsi="Times New Roman" w:cs="Times New Roman"/>
                <w:noProof/>
                <w:webHidden/>
                <w:sz w:val="24"/>
                <w:szCs w:val="24"/>
              </w:rPr>
              <w:fldChar w:fldCharType="begin"/>
            </w:r>
            <w:r w:rsidR="00610F80" w:rsidRPr="00610F80">
              <w:rPr>
                <w:rFonts w:ascii="Times New Roman" w:hAnsi="Times New Roman" w:cs="Times New Roman"/>
                <w:noProof/>
                <w:webHidden/>
                <w:sz w:val="24"/>
                <w:szCs w:val="24"/>
              </w:rPr>
              <w:instrText xml:space="preserve"> PAGEREF _Toc382321799 \h </w:instrText>
            </w:r>
            <w:r w:rsidR="00610F80" w:rsidRPr="00610F80">
              <w:rPr>
                <w:rFonts w:ascii="Times New Roman" w:hAnsi="Times New Roman" w:cs="Times New Roman"/>
                <w:noProof/>
                <w:webHidden/>
                <w:sz w:val="24"/>
                <w:szCs w:val="24"/>
              </w:rPr>
            </w:r>
            <w:r w:rsidR="00610F80" w:rsidRPr="00610F80">
              <w:rPr>
                <w:rFonts w:ascii="Times New Roman" w:hAnsi="Times New Roman" w:cs="Times New Roman"/>
                <w:noProof/>
                <w:webHidden/>
                <w:sz w:val="24"/>
                <w:szCs w:val="24"/>
              </w:rPr>
              <w:fldChar w:fldCharType="separate"/>
            </w:r>
            <w:r w:rsidR="00546A50">
              <w:rPr>
                <w:rFonts w:ascii="Times New Roman" w:hAnsi="Times New Roman" w:cs="Times New Roman"/>
                <w:noProof/>
                <w:webHidden/>
                <w:sz w:val="24"/>
                <w:szCs w:val="24"/>
              </w:rPr>
              <w:t>25</w:t>
            </w:r>
            <w:r w:rsidR="00610F80" w:rsidRPr="00610F80">
              <w:rPr>
                <w:rFonts w:ascii="Times New Roman" w:hAnsi="Times New Roman" w:cs="Times New Roman"/>
                <w:noProof/>
                <w:webHidden/>
                <w:sz w:val="24"/>
                <w:szCs w:val="24"/>
              </w:rPr>
              <w:fldChar w:fldCharType="end"/>
            </w:r>
          </w:hyperlink>
        </w:p>
        <w:p w14:paraId="7457F327" w14:textId="77777777" w:rsidR="00610F80" w:rsidRPr="00610F80" w:rsidRDefault="00481210" w:rsidP="00610F80">
          <w:pPr>
            <w:pStyle w:val="TDC2"/>
            <w:tabs>
              <w:tab w:val="left" w:pos="660"/>
              <w:tab w:val="right" w:leader="dot" w:pos="8827"/>
            </w:tabs>
            <w:spacing w:line="480" w:lineRule="auto"/>
            <w:rPr>
              <w:rFonts w:ascii="Times New Roman" w:hAnsi="Times New Roman" w:cs="Times New Roman"/>
              <w:noProof/>
              <w:sz w:val="24"/>
              <w:szCs w:val="24"/>
            </w:rPr>
          </w:pPr>
          <w:hyperlink w:anchor="_Toc382321800" w:history="1">
            <w:r w:rsidR="00610F80" w:rsidRPr="00610F80">
              <w:rPr>
                <w:rStyle w:val="Hipervnculo"/>
                <w:rFonts w:ascii="Times New Roman" w:hAnsi="Times New Roman" w:cs="Times New Roman"/>
                <w:noProof/>
                <w:sz w:val="24"/>
                <w:szCs w:val="24"/>
              </w:rPr>
              <w:t>b)</w:t>
            </w:r>
            <w:r w:rsidR="00610F80" w:rsidRPr="00610F80">
              <w:rPr>
                <w:rFonts w:ascii="Times New Roman" w:hAnsi="Times New Roman" w:cs="Times New Roman"/>
                <w:noProof/>
                <w:sz w:val="24"/>
                <w:szCs w:val="24"/>
              </w:rPr>
              <w:tab/>
            </w:r>
            <w:r w:rsidR="00610F80" w:rsidRPr="00610F80">
              <w:rPr>
                <w:rStyle w:val="Hipervnculo"/>
                <w:rFonts w:ascii="Times New Roman" w:hAnsi="Times New Roman" w:cs="Times New Roman"/>
                <w:noProof/>
                <w:sz w:val="24"/>
                <w:szCs w:val="24"/>
              </w:rPr>
              <w:t>Poder de negociación</w:t>
            </w:r>
            <w:r w:rsidR="00610F80" w:rsidRPr="00610F80">
              <w:rPr>
                <w:rFonts w:ascii="Times New Roman" w:hAnsi="Times New Roman" w:cs="Times New Roman"/>
                <w:noProof/>
                <w:webHidden/>
                <w:sz w:val="24"/>
                <w:szCs w:val="24"/>
              </w:rPr>
              <w:tab/>
            </w:r>
            <w:r w:rsidR="00610F80" w:rsidRPr="00610F80">
              <w:rPr>
                <w:rFonts w:ascii="Times New Roman" w:hAnsi="Times New Roman" w:cs="Times New Roman"/>
                <w:noProof/>
                <w:webHidden/>
                <w:sz w:val="24"/>
                <w:szCs w:val="24"/>
              </w:rPr>
              <w:fldChar w:fldCharType="begin"/>
            </w:r>
            <w:r w:rsidR="00610F80" w:rsidRPr="00610F80">
              <w:rPr>
                <w:rFonts w:ascii="Times New Roman" w:hAnsi="Times New Roman" w:cs="Times New Roman"/>
                <w:noProof/>
                <w:webHidden/>
                <w:sz w:val="24"/>
                <w:szCs w:val="24"/>
              </w:rPr>
              <w:instrText xml:space="preserve"> PAGEREF _Toc382321800 \h </w:instrText>
            </w:r>
            <w:r w:rsidR="00610F80" w:rsidRPr="00610F80">
              <w:rPr>
                <w:rFonts w:ascii="Times New Roman" w:hAnsi="Times New Roman" w:cs="Times New Roman"/>
                <w:noProof/>
                <w:webHidden/>
                <w:sz w:val="24"/>
                <w:szCs w:val="24"/>
              </w:rPr>
            </w:r>
            <w:r w:rsidR="00610F80" w:rsidRPr="00610F80">
              <w:rPr>
                <w:rFonts w:ascii="Times New Roman" w:hAnsi="Times New Roman" w:cs="Times New Roman"/>
                <w:noProof/>
                <w:webHidden/>
                <w:sz w:val="24"/>
                <w:szCs w:val="24"/>
              </w:rPr>
              <w:fldChar w:fldCharType="separate"/>
            </w:r>
            <w:r w:rsidR="00546A50">
              <w:rPr>
                <w:rFonts w:ascii="Times New Roman" w:hAnsi="Times New Roman" w:cs="Times New Roman"/>
                <w:noProof/>
                <w:webHidden/>
                <w:sz w:val="24"/>
                <w:szCs w:val="24"/>
              </w:rPr>
              <w:t>31</w:t>
            </w:r>
            <w:r w:rsidR="00610F80" w:rsidRPr="00610F80">
              <w:rPr>
                <w:rFonts w:ascii="Times New Roman" w:hAnsi="Times New Roman" w:cs="Times New Roman"/>
                <w:noProof/>
                <w:webHidden/>
                <w:sz w:val="24"/>
                <w:szCs w:val="24"/>
              </w:rPr>
              <w:fldChar w:fldCharType="end"/>
            </w:r>
          </w:hyperlink>
        </w:p>
        <w:p w14:paraId="6D18249D" w14:textId="77777777" w:rsidR="00610F80" w:rsidRPr="00610F80" w:rsidRDefault="00481210" w:rsidP="00610F80">
          <w:pPr>
            <w:pStyle w:val="TDC1"/>
            <w:tabs>
              <w:tab w:val="left" w:pos="660"/>
              <w:tab w:val="right" w:leader="dot" w:pos="8827"/>
            </w:tabs>
            <w:spacing w:line="480" w:lineRule="auto"/>
            <w:rPr>
              <w:rFonts w:ascii="Times New Roman" w:hAnsi="Times New Roman" w:cs="Times New Roman"/>
              <w:noProof/>
              <w:sz w:val="24"/>
              <w:szCs w:val="24"/>
            </w:rPr>
          </w:pPr>
          <w:hyperlink w:anchor="_Toc382321801" w:history="1">
            <w:r w:rsidR="00610F80" w:rsidRPr="00610F80">
              <w:rPr>
                <w:rStyle w:val="Hipervnculo"/>
                <w:rFonts w:ascii="Times New Roman" w:eastAsia="Times New Roman" w:hAnsi="Times New Roman" w:cs="Times New Roman"/>
                <w:noProof/>
                <w:sz w:val="24"/>
                <w:szCs w:val="24"/>
              </w:rPr>
              <w:t>III.</w:t>
            </w:r>
            <w:r w:rsidR="00610F80" w:rsidRPr="00610F80">
              <w:rPr>
                <w:rFonts w:ascii="Times New Roman" w:hAnsi="Times New Roman" w:cs="Times New Roman"/>
                <w:noProof/>
                <w:sz w:val="24"/>
                <w:szCs w:val="24"/>
              </w:rPr>
              <w:tab/>
            </w:r>
            <w:r w:rsidR="00610F80" w:rsidRPr="00610F80">
              <w:rPr>
                <w:rStyle w:val="Hipervnculo"/>
                <w:rFonts w:ascii="Times New Roman" w:eastAsia="Times New Roman" w:hAnsi="Times New Roman" w:cs="Times New Roman"/>
                <w:noProof/>
                <w:sz w:val="24"/>
                <w:szCs w:val="24"/>
              </w:rPr>
              <w:t>Argumento e hipótesis</w:t>
            </w:r>
            <w:r w:rsidR="00610F80" w:rsidRPr="00610F80">
              <w:rPr>
                <w:rFonts w:ascii="Times New Roman" w:hAnsi="Times New Roman" w:cs="Times New Roman"/>
                <w:noProof/>
                <w:webHidden/>
                <w:sz w:val="24"/>
                <w:szCs w:val="24"/>
              </w:rPr>
              <w:tab/>
            </w:r>
            <w:r w:rsidR="00610F80" w:rsidRPr="00610F80">
              <w:rPr>
                <w:rFonts w:ascii="Times New Roman" w:hAnsi="Times New Roman" w:cs="Times New Roman"/>
                <w:noProof/>
                <w:webHidden/>
                <w:sz w:val="24"/>
                <w:szCs w:val="24"/>
              </w:rPr>
              <w:fldChar w:fldCharType="begin"/>
            </w:r>
            <w:r w:rsidR="00610F80" w:rsidRPr="00610F80">
              <w:rPr>
                <w:rFonts w:ascii="Times New Roman" w:hAnsi="Times New Roman" w:cs="Times New Roman"/>
                <w:noProof/>
                <w:webHidden/>
                <w:sz w:val="24"/>
                <w:szCs w:val="24"/>
              </w:rPr>
              <w:instrText xml:space="preserve"> PAGEREF _Toc382321801 \h </w:instrText>
            </w:r>
            <w:r w:rsidR="00610F80" w:rsidRPr="00610F80">
              <w:rPr>
                <w:rFonts w:ascii="Times New Roman" w:hAnsi="Times New Roman" w:cs="Times New Roman"/>
                <w:noProof/>
                <w:webHidden/>
                <w:sz w:val="24"/>
                <w:szCs w:val="24"/>
              </w:rPr>
            </w:r>
            <w:r w:rsidR="00610F80" w:rsidRPr="00610F80">
              <w:rPr>
                <w:rFonts w:ascii="Times New Roman" w:hAnsi="Times New Roman" w:cs="Times New Roman"/>
                <w:noProof/>
                <w:webHidden/>
                <w:sz w:val="24"/>
                <w:szCs w:val="24"/>
              </w:rPr>
              <w:fldChar w:fldCharType="separate"/>
            </w:r>
            <w:r w:rsidR="00546A50">
              <w:rPr>
                <w:rFonts w:ascii="Times New Roman" w:hAnsi="Times New Roman" w:cs="Times New Roman"/>
                <w:noProof/>
                <w:webHidden/>
                <w:sz w:val="24"/>
                <w:szCs w:val="24"/>
              </w:rPr>
              <w:t>34</w:t>
            </w:r>
            <w:r w:rsidR="00610F80" w:rsidRPr="00610F80">
              <w:rPr>
                <w:rFonts w:ascii="Times New Roman" w:hAnsi="Times New Roman" w:cs="Times New Roman"/>
                <w:noProof/>
                <w:webHidden/>
                <w:sz w:val="24"/>
                <w:szCs w:val="24"/>
              </w:rPr>
              <w:fldChar w:fldCharType="end"/>
            </w:r>
          </w:hyperlink>
        </w:p>
        <w:p w14:paraId="52418834" w14:textId="77777777" w:rsidR="00610F80" w:rsidRPr="00610F80" w:rsidRDefault="00481210" w:rsidP="00610F80">
          <w:pPr>
            <w:pStyle w:val="TDC1"/>
            <w:tabs>
              <w:tab w:val="left" w:pos="660"/>
              <w:tab w:val="right" w:leader="dot" w:pos="8827"/>
            </w:tabs>
            <w:spacing w:line="480" w:lineRule="auto"/>
            <w:rPr>
              <w:rFonts w:ascii="Times New Roman" w:hAnsi="Times New Roman" w:cs="Times New Roman"/>
              <w:noProof/>
              <w:sz w:val="24"/>
              <w:szCs w:val="24"/>
            </w:rPr>
          </w:pPr>
          <w:hyperlink w:anchor="_Toc382321802" w:history="1">
            <w:r w:rsidR="00610F80" w:rsidRPr="00610F80">
              <w:rPr>
                <w:rStyle w:val="Hipervnculo"/>
                <w:rFonts w:ascii="Times New Roman" w:eastAsia="Times New Roman" w:hAnsi="Times New Roman" w:cs="Times New Roman"/>
                <w:noProof/>
                <w:sz w:val="24"/>
                <w:szCs w:val="24"/>
              </w:rPr>
              <w:t>IV.</w:t>
            </w:r>
            <w:r w:rsidR="00610F80" w:rsidRPr="00610F80">
              <w:rPr>
                <w:rFonts w:ascii="Times New Roman" w:hAnsi="Times New Roman" w:cs="Times New Roman"/>
                <w:noProof/>
                <w:sz w:val="24"/>
                <w:szCs w:val="24"/>
              </w:rPr>
              <w:tab/>
            </w:r>
            <w:r w:rsidR="00610F80" w:rsidRPr="00610F80">
              <w:rPr>
                <w:rStyle w:val="Hipervnculo"/>
                <w:rFonts w:ascii="Times New Roman" w:eastAsia="Times New Roman" w:hAnsi="Times New Roman" w:cs="Times New Roman"/>
                <w:noProof/>
                <w:sz w:val="24"/>
                <w:szCs w:val="24"/>
              </w:rPr>
              <w:t>Metodología</w:t>
            </w:r>
            <w:r w:rsidR="00610F80" w:rsidRPr="00610F80">
              <w:rPr>
                <w:rFonts w:ascii="Times New Roman" w:hAnsi="Times New Roman" w:cs="Times New Roman"/>
                <w:noProof/>
                <w:webHidden/>
                <w:sz w:val="24"/>
                <w:szCs w:val="24"/>
              </w:rPr>
              <w:tab/>
            </w:r>
            <w:r w:rsidR="00610F80" w:rsidRPr="00610F80">
              <w:rPr>
                <w:rFonts w:ascii="Times New Roman" w:hAnsi="Times New Roman" w:cs="Times New Roman"/>
                <w:noProof/>
                <w:webHidden/>
                <w:sz w:val="24"/>
                <w:szCs w:val="24"/>
              </w:rPr>
              <w:fldChar w:fldCharType="begin"/>
            </w:r>
            <w:r w:rsidR="00610F80" w:rsidRPr="00610F80">
              <w:rPr>
                <w:rFonts w:ascii="Times New Roman" w:hAnsi="Times New Roman" w:cs="Times New Roman"/>
                <w:noProof/>
                <w:webHidden/>
                <w:sz w:val="24"/>
                <w:szCs w:val="24"/>
              </w:rPr>
              <w:instrText xml:space="preserve"> PAGEREF _Toc382321802 \h </w:instrText>
            </w:r>
            <w:r w:rsidR="00610F80" w:rsidRPr="00610F80">
              <w:rPr>
                <w:rFonts w:ascii="Times New Roman" w:hAnsi="Times New Roman" w:cs="Times New Roman"/>
                <w:noProof/>
                <w:webHidden/>
                <w:sz w:val="24"/>
                <w:szCs w:val="24"/>
              </w:rPr>
            </w:r>
            <w:r w:rsidR="00610F80" w:rsidRPr="00610F80">
              <w:rPr>
                <w:rFonts w:ascii="Times New Roman" w:hAnsi="Times New Roman" w:cs="Times New Roman"/>
                <w:noProof/>
                <w:webHidden/>
                <w:sz w:val="24"/>
                <w:szCs w:val="24"/>
              </w:rPr>
              <w:fldChar w:fldCharType="separate"/>
            </w:r>
            <w:r w:rsidR="00546A50">
              <w:rPr>
                <w:rFonts w:ascii="Times New Roman" w:hAnsi="Times New Roman" w:cs="Times New Roman"/>
                <w:noProof/>
                <w:webHidden/>
                <w:sz w:val="24"/>
                <w:szCs w:val="24"/>
              </w:rPr>
              <w:t>37</w:t>
            </w:r>
            <w:r w:rsidR="00610F80" w:rsidRPr="00610F80">
              <w:rPr>
                <w:rFonts w:ascii="Times New Roman" w:hAnsi="Times New Roman" w:cs="Times New Roman"/>
                <w:noProof/>
                <w:webHidden/>
                <w:sz w:val="24"/>
                <w:szCs w:val="24"/>
              </w:rPr>
              <w:fldChar w:fldCharType="end"/>
            </w:r>
          </w:hyperlink>
        </w:p>
        <w:p w14:paraId="371325C2" w14:textId="77777777" w:rsidR="00610F80" w:rsidRPr="00610F80" w:rsidRDefault="00481210" w:rsidP="00610F80">
          <w:pPr>
            <w:pStyle w:val="TDC1"/>
            <w:tabs>
              <w:tab w:val="left" w:pos="440"/>
              <w:tab w:val="right" w:leader="dot" w:pos="8827"/>
            </w:tabs>
            <w:spacing w:line="480" w:lineRule="auto"/>
            <w:rPr>
              <w:rFonts w:ascii="Times New Roman" w:hAnsi="Times New Roman" w:cs="Times New Roman"/>
              <w:noProof/>
              <w:sz w:val="24"/>
              <w:szCs w:val="24"/>
            </w:rPr>
          </w:pPr>
          <w:hyperlink w:anchor="_Toc382321803" w:history="1">
            <w:r w:rsidR="00610F80" w:rsidRPr="00610F80">
              <w:rPr>
                <w:rStyle w:val="Hipervnculo"/>
                <w:rFonts w:ascii="Times New Roman" w:eastAsia="Times New Roman" w:hAnsi="Times New Roman" w:cs="Times New Roman"/>
                <w:noProof/>
                <w:sz w:val="24"/>
                <w:szCs w:val="24"/>
              </w:rPr>
              <w:t>V.</w:t>
            </w:r>
            <w:r w:rsidR="00610F80" w:rsidRPr="00610F80">
              <w:rPr>
                <w:rFonts w:ascii="Times New Roman" w:hAnsi="Times New Roman" w:cs="Times New Roman"/>
                <w:noProof/>
                <w:sz w:val="24"/>
                <w:szCs w:val="24"/>
              </w:rPr>
              <w:tab/>
            </w:r>
            <w:r w:rsidR="00610F80" w:rsidRPr="00610F80">
              <w:rPr>
                <w:rStyle w:val="Hipervnculo"/>
                <w:rFonts w:ascii="Times New Roman" w:eastAsia="Times New Roman" w:hAnsi="Times New Roman" w:cs="Times New Roman"/>
                <w:noProof/>
                <w:sz w:val="24"/>
                <w:szCs w:val="24"/>
              </w:rPr>
              <w:t>Resultados</w:t>
            </w:r>
            <w:r w:rsidR="00610F80" w:rsidRPr="00610F80">
              <w:rPr>
                <w:rFonts w:ascii="Times New Roman" w:hAnsi="Times New Roman" w:cs="Times New Roman"/>
                <w:noProof/>
                <w:webHidden/>
                <w:sz w:val="24"/>
                <w:szCs w:val="24"/>
              </w:rPr>
              <w:tab/>
            </w:r>
            <w:r w:rsidR="00610F80" w:rsidRPr="00610F80">
              <w:rPr>
                <w:rFonts w:ascii="Times New Roman" w:hAnsi="Times New Roman" w:cs="Times New Roman"/>
                <w:noProof/>
                <w:webHidden/>
                <w:sz w:val="24"/>
                <w:szCs w:val="24"/>
              </w:rPr>
              <w:fldChar w:fldCharType="begin"/>
            </w:r>
            <w:r w:rsidR="00610F80" w:rsidRPr="00610F80">
              <w:rPr>
                <w:rFonts w:ascii="Times New Roman" w:hAnsi="Times New Roman" w:cs="Times New Roman"/>
                <w:noProof/>
                <w:webHidden/>
                <w:sz w:val="24"/>
                <w:szCs w:val="24"/>
              </w:rPr>
              <w:instrText xml:space="preserve"> PAGEREF _Toc382321803 \h </w:instrText>
            </w:r>
            <w:r w:rsidR="00610F80" w:rsidRPr="00610F80">
              <w:rPr>
                <w:rFonts w:ascii="Times New Roman" w:hAnsi="Times New Roman" w:cs="Times New Roman"/>
                <w:noProof/>
                <w:webHidden/>
                <w:sz w:val="24"/>
                <w:szCs w:val="24"/>
              </w:rPr>
            </w:r>
            <w:r w:rsidR="00610F80" w:rsidRPr="00610F80">
              <w:rPr>
                <w:rFonts w:ascii="Times New Roman" w:hAnsi="Times New Roman" w:cs="Times New Roman"/>
                <w:noProof/>
                <w:webHidden/>
                <w:sz w:val="24"/>
                <w:szCs w:val="24"/>
              </w:rPr>
              <w:fldChar w:fldCharType="separate"/>
            </w:r>
            <w:r w:rsidR="00546A50">
              <w:rPr>
                <w:rFonts w:ascii="Times New Roman" w:hAnsi="Times New Roman" w:cs="Times New Roman"/>
                <w:noProof/>
                <w:webHidden/>
                <w:sz w:val="24"/>
                <w:szCs w:val="24"/>
              </w:rPr>
              <w:t>48</w:t>
            </w:r>
            <w:r w:rsidR="00610F80" w:rsidRPr="00610F80">
              <w:rPr>
                <w:rFonts w:ascii="Times New Roman" w:hAnsi="Times New Roman" w:cs="Times New Roman"/>
                <w:noProof/>
                <w:webHidden/>
                <w:sz w:val="24"/>
                <w:szCs w:val="24"/>
              </w:rPr>
              <w:fldChar w:fldCharType="end"/>
            </w:r>
          </w:hyperlink>
        </w:p>
        <w:p w14:paraId="749C4868" w14:textId="77777777" w:rsidR="00610F80" w:rsidRPr="00610F80" w:rsidRDefault="00481210" w:rsidP="00610F80">
          <w:pPr>
            <w:pStyle w:val="TDC1"/>
            <w:tabs>
              <w:tab w:val="left" w:pos="660"/>
              <w:tab w:val="right" w:leader="dot" w:pos="8827"/>
            </w:tabs>
            <w:spacing w:line="480" w:lineRule="auto"/>
            <w:rPr>
              <w:rFonts w:ascii="Times New Roman" w:hAnsi="Times New Roman" w:cs="Times New Roman"/>
              <w:noProof/>
              <w:sz w:val="24"/>
              <w:szCs w:val="24"/>
            </w:rPr>
          </w:pPr>
          <w:hyperlink w:anchor="_Toc382321804" w:history="1">
            <w:r w:rsidR="00610F80" w:rsidRPr="00610F80">
              <w:rPr>
                <w:rStyle w:val="Hipervnculo"/>
                <w:rFonts w:ascii="Times New Roman" w:eastAsia="Times New Roman" w:hAnsi="Times New Roman" w:cs="Times New Roman"/>
                <w:noProof/>
                <w:sz w:val="24"/>
                <w:szCs w:val="24"/>
              </w:rPr>
              <w:t>VI.</w:t>
            </w:r>
            <w:r w:rsidR="00610F80" w:rsidRPr="00610F80">
              <w:rPr>
                <w:rFonts w:ascii="Times New Roman" w:hAnsi="Times New Roman" w:cs="Times New Roman"/>
                <w:noProof/>
                <w:sz w:val="24"/>
                <w:szCs w:val="24"/>
              </w:rPr>
              <w:tab/>
            </w:r>
            <w:r w:rsidR="00610F80" w:rsidRPr="00610F80">
              <w:rPr>
                <w:rStyle w:val="Hipervnculo"/>
                <w:rFonts w:ascii="Times New Roman" w:eastAsia="Times New Roman" w:hAnsi="Times New Roman" w:cs="Times New Roman"/>
                <w:noProof/>
                <w:sz w:val="24"/>
                <w:szCs w:val="24"/>
              </w:rPr>
              <w:t>Conclusiones</w:t>
            </w:r>
            <w:r w:rsidR="00610F80" w:rsidRPr="00610F80">
              <w:rPr>
                <w:rFonts w:ascii="Times New Roman" w:hAnsi="Times New Roman" w:cs="Times New Roman"/>
                <w:noProof/>
                <w:webHidden/>
                <w:sz w:val="24"/>
                <w:szCs w:val="24"/>
              </w:rPr>
              <w:tab/>
            </w:r>
            <w:r w:rsidR="00610F80" w:rsidRPr="00610F80">
              <w:rPr>
                <w:rFonts w:ascii="Times New Roman" w:hAnsi="Times New Roman" w:cs="Times New Roman"/>
                <w:noProof/>
                <w:webHidden/>
                <w:sz w:val="24"/>
                <w:szCs w:val="24"/>
              </w:rPr>
              <w:fldChar w:fldCharType="begin"/>
            </w:r>
            <w:r w:rsidR="00610F80" w:rsidRPr="00610F80">
              <w:rPr>
                <w:rFonts w:ascii="Times New Roman" w:hAnsi="Times New Roman" w:cs="Times New Roman"/>
                <w:noProof/>
                <w:webHidden/>
                <w:sz w:val="24"/>
                <w:szCs w:val="24"/>
              </w:rPr>
              <w:instrText xml:space="preserve"> PAGEREF _Toc382321804 \h </w:instrText>
            </w:r>
            <w:r w:rsidR="00610F80" w:rsidRPr="00610F80">
              <w:rPr>
                <w:rFonts w:ascii="Times New Roman" w:hAnsi="Times New Roman" w:cs="Times New Roman"/>
                <w:noProof/>
                <w:webHidden/>
                <w:sz w:val="24"/>
                <w:szCs w:val="24"/>
              </w:rPr>
            </w:r>
            <w:r w:rsidR="00610F80" w:rsidRPr="00610F80">
              <w:rPr>
                <w:rFonts w:ascii="Times New Roman" w:hAnsi="Times New Roman" w:cs="Times New Roman"/>
                <w:noProof/>
                <w:webHidden/>
                <w:sz w:val="24"/>
                <w:szCs w:val="24"/>
              </w:rPr>
              <w:fldChar w:fldCharType="separate"/>
            </w:r>
            <w:r w:rsidR="00546A50">
              <w:rPr>
                <w:rFonts w:ascii="Times New Roman" w:hAnsi="Times New Roman" w:cs="Times New Roman"/>
                <w:noProof/>
                <w:webHidden/>
                <w:sz w:val="24"/>
                <w:szCs w:val="24"/>
              </w:rPr>
              <w:t>67</w:t>
            </w:r>
            <w:r w:rsidR="00610F80" w:rsidRPr="00610F80">
              <w:rPr>
                <w:rFonts w:ascii="Times New Roman" w:hAnsi="Times New Roman" w:cs="Times New Roman"/>
                <w:noProof/>
                <w:webHidden/>
                <w:sz w:val="24"/>
                <w:szCs w:val="24"/>
              </w:rPr>
              <w:fldChar w:fldCharType="end"/>
            </w:r>
          </w:hyperlink>
        </w:p>
        <w:p w14:paraId="2A92C22E" w14:textId="77777777" w:rsidR="00610F80" w:rsidRPr="00610F80" w:rsidRDefault="00481210" w:rsidP="00610F80">
          <w:pPr>
            <w:pStyle w:val="TDC1"/>
            <w:tabs>
              <w:tab w:val="left" w:pos="660"/>
              <w:tab w:val="right" w:leader="dot" w:pos="8827"/>
            </w:tabs>
            <w:spacing w:line="480" w:lineRule="auto"/>
            <w:rPr>
              <w:rFonts w:ascii="Times New Roman" w:hAnsi="Times New Roman" w:cs="Times New Roman"/>
              <w:noProof/>
              <w:sz w:val="24"/>
              <w:szCs w:val="24"/>
            </w:rPr>
          </w:pPr>
          <w:hyperlink w:anchor="_Toc382321805" w:history="1">
            <w:r w:rsidR="00610F80" w:rsidRPr="00610F80">
              <w:rPr>
                <w:rStyle w:val="Hipervnculo"/>
                <w:rFonts w:ascii="Times New Roman" w:eastAsia="Times New Roman" w:hAnsi="Times New Roman" w:cs="Times New Roman"/>
                <w:noProof/>
                <w:sz w:val="24"/>
                <w:szCs w:val="24"/>
              </w:rPr>
              <w:t>VII.</w:t>
            </w:r>
            <w:r w:rsidR="00610F80" w:rsidRPr="00610F80">
              <w:rPr>
                <w:rFonts w:ascii="Times New Roman" w:hAnsi="Times New Roman" w:cs="Times New Roman"/>
                <w:noProof/>
                <w:sz w:val="24"/>
                <w:szCs w:val="24"/>
              </w:rPr>
              <w:tab/>
            </w:r>
            <w:r w:rsidR="00610F80" w:rsidRPr="00610F80">
              <w:rPr>
                <w:rStyle w:val="Hipervnculo"/>
                <w:rFonts w:ascii="Times New Roman" w:eastAsia="Times New Roman" w:hAnsi="Times New Roman" w:cs="Times New Roman"/>
                <w:noProof/>
                <w:sz w:val="24"/>
                <w:szCs w:val="24"/>
              </w:rPr>
              <w:t>Epílogo</w:t>
            </w:r>
            <w:r w:rsidR="00610F80" w:rsidRPr="00610F80">
              <w:rPr>
                <w:rFonts w:ascii="Times New Roman" w:hAnsi="Times New Roman" w:cs="Times New Roman"/>
                <w:noProof/>
                <w:webHidden/>
                <w:sz w:val="24"/>
                <w:szCs w:val="24"/>
              </w:rPr>
              <w:tab/>
            </w:r>
            <w:r w:rsidR="00610F80" w:rsidRPr="00610F80">
              <w:rPr>
                <w:rFonts w:ascii="Times New Roman" w:hAnsi="Times New Roman" w:cs="Times New Roman"/>
                <w:noProof/>
                <w:webHidden/>
                <w:sz w:val="24"/>
                <w:szCs w:val="24"/>
              </w:rPr>
              <w:fldChar w:fldCharType="begin"/>
            </w:r>
            <w:r w:rsidR="00610F80" w:rsidRPr="00610F80">
              <w:rPr>
                <w:rFonts w:ascii="Times New Roman" w:hAnsi="Times New Roman" w:cs="Times New Roman"/>
                <w:noProof/>
                <w:webHidden/>
                <w:sz w:val="24"/>
                <w:szCs w:val="24"/>
              </w:rPr>
              <w:instrText xml:space="preserve"> PAGEREF _Toc382321805 \h </w:instrText>
            </w:r>
            <w:r w:rsidR="00610F80" w:rsidRPr="00610F80">
              <w:rPr>
                <w:rFonts w:ascii="Times New Roman" w:hAnsi="Times New Roman" w:cs="Times New Roman"/>
                <w:noProof/>
                <w:webHidden/>
                <w:sz w:val="24"/>
                <w:szCs w:val="24"/>
              </w:rPr>
            </w:r>
            <w:r w:rsidR="00610F80" w:rsidRPr="00610F80">
              <w:rPr>
                <w:rFonts w:ascii="Times New Roman" w:hAnsi="Times New Roman" w:cs="Times New Roman"/>
                <w:noProof/>
                <w:webHidden/>
                <w:sz w:val="24"/>
                <w:szCs w:val="24"/>
              </w:rPr>
              <w:fldChar w:fldCharType="separate"/>
            </w:r>
            <w:r w:rsidR="00546A50">
              <w:rPr>
                <w:rFonts w:ascii="Times New Roman" w:hAnsi="Times New Roman" w:cs="Times New Roman"/>
                <w:noProof/>
                <w:webHidden/>
                <w:sz w:val="24"/>
                <w:szCs w:val="24"/>
              </w:rPr>
              <w:t>71</w:t>
            </w:r>
            <w:r w:rsidR="00610F80" w:rsidRPr="00610F80">
              <w:rPr>
                <w:rFonts w:ascii="Times New Roman" w:hAnsi="Times New Roman" w:cs="Times New Roman"/>
                <w:noProof/>
                <w:webHidden/>
                <w:sz w:val="24"/>
                <w:szCs w:val="24"/>
              </w:rPr>
              <w:fldChar w:fldCharType="end"/>
            </w:r>
          </w:hyperlink>
        </w:p>
        <w:p w14:paraId="5B30370D" w14:textId="77777777" w:rsidR="00610F80" w:rsidRPr="00610F80" w:rsidRDefault="00481210" w:rsidP="00610F80">
          <w:pPr>
            <w:pStyle w:val="TDC1"/>
            <w:tabs>
              <w:tab w:val="right" w:leader="dot" w:pos="8827"/>
            </w:tabs>
            <w:spacing w:line="480" w:lineRule="auto"/>
            <w:rPr>
              <w:rFonts w:ascii="Times New Roman" w:hAnsi="Times New Roman" w:cs="Times New Roman"/>
              <w:noProof/>
              <w:sz w:val="24"/>
              <w:szCs w:val="24"/>
            </w:rPr>
          </w:pPr>
          <w:hyperlink w:anchor="_Toc382321806" w:history="1">
            <w:r w:rsidR="00610F80" w:rsidRPr="00610F80">
              <w:rPr>
                <w:rStyle w:val="Hipervnculo"/>
                <w:rFonts w:ascii="Times New Roman" w:hAnsi="Times New Roman" w:cs="Times New Roman"/>
                <w:noProof/>
                <w:sz w:val="24"/>
                <w:szCs w:val="24"/>
              </w:rPr>
              <w:t>Referencias</w:t>
            </w:r>
            <w:r w:rsidR="00610F80" w:rsidRPr="00610F80">
              <w:rPr>
                <w:rFonts w:ascii="Times New Roman" w:hAnsi="Times New Roman" w:cs="Times New Roman"/>
                <w:noProof/>
                <w:webHidden/>
                <w:sz w:val="24"/>
                <w:szCs w:val="24"/>
              </w:rPr>
              <w:tab/>
            </w:r>
            <w:r w:rsidR="00610F80" w:rsidRPr="00610F80">
              <w:rPr>
                <w:rFonts w:ascii="Times New Roman" w:hAnsi="Times New Roman" w:cs="Times New Roman"/>
                <w:noProof/>
                <w:webHidden/>
                <w:sz w:val="24"/>
                <w:szCs w:val="24"/>
              </w:rPr>
              <w:fldChar w:fldCharType="begin"/>
            </w:r>
            <w:r w:rsidR="00610F80" w:rsidRPr="00610F80">
              <w:rPr>
                <w:rFonts w:ascii="Times New Roman" w:hAnsi="Times New Roman" w:cs="Times New Roman"/>
                <w:noProof/>
                <w:webHidden/>
                <w:sz w:val="24"/>
                <w:szCs w:val="24"/>
              </w:rPr>
              <w:instrText xml:space="preserve"> PAGEREF _Toc382321806 \h </w:instrText>
            </w:r>
            <w:r w:rsidR="00610F80" w:rsidRPr="00610F80">
              <w:rPr>
                <w:rFonts w:ascii="Times New Roman" w:hAnsi="Times New Roman" w:cs="Times New Roman"/>
                <w:noProof/>
                <w:webHidden/>
                <w:sz w:val="24"/>
                <w:szCs w:val="24"/>
              </w:rPr>
            </w:r>
            <w:r w:rsidR="00610F80" w:rsidRPr="00610F80">
              <w:rPr>
                <w:rFonts w:ascii="Times New Roman" w:hAnsi="Times New Roman" w:cs="Times New Roman"/>
                <w:noProof/>
                <w:webHidden/>
                <w:sz w:val="24"/>
                <w:szCs w:val="24"/>
              </w:rPr>
              <w:fldChar w:fldCharType="separate"/>
            </w:r>
            <w:r w:rsidR="00546A50">
              <w:rPr>
                <w:rFonts w:ascii="Times New Roman" w:hAnsi="Times New Roman" w:cs="Times New Roman"/>
                <w:noProof/>
                <w:webHidden/>
                <w:sz w:val="24"/>
                <w:szCs w:val="24"/>
              </w:rPr>
              <w:t>79</w:t>
            </w:r>
            <w:r w:rsidR="00610F80" w:rsidRPr="00610F80">
              <w:rPr>
                <w:rFonts w:ascii="Times New Roman" w:hAnsi="Times New Roman" w:cs="Times New Roman"/>
                <w:noProof/>
                <w:webHidden/>
                <w:sz w:val="24"/>
                <w:szCs w:val="24"/>
              </w:rPr>
              <w:fldChar w:fldCharType="end"/>
            </w:r>
          </w:hyperlink>
        </w:p>
        <w:p w14:paraId="22A74CEB" w14:textId="481595EF" w:rsidR="00610F80" w:rsidRDefault="00610F80">
          <w:r>
            <w:rPr>
              <w:b/>
              <w:bCs/>
              <w:lang w:val="es-ES"/>
            </w:rPr>
            <w:fldChar w:fldCharType="end"/>
          </w:r>
        </w:p>
      </w:sdtContent>
    </w:sdt>
    <w:p w14:paraId="6A41EAF3" w14:textId="6BCFB76B" w:rsidR="00610F80" w:rsidRPr="00610F80" w:rsidRDefault="00610F80">
      <w:pPr>
        <w:rPr>
          <w:rFonts w:ascii="Times New Roman" w:hAnsi="Times New Roman" w:cs="Times New Roman"/>
          <w:b/>
          <w:sz w:val="24"/>
          <w:szCs w:val="24"/>
        </w:rPr>
      </w:pPr>
      <w:r w:rsidRPr="00610F80">
        <w:rPr>
          <w:rFonts w:ascii="Times New Roman" w:hAnsi="Times New Roman" w:cs="Times New Roman"/>
          <w:b/>
          <w:sz w:val="24"/>
          <w:szCs w:val="24"/>
        </w:rPr>
        <w:br w:type="page"/>
      </w:r>
    </w:p>
    <w:p w14:paraId="160E3F4D" w14:textId="4A437360" w:rsidR="00E7103E" w:rsidRDefault="00632005" w:rsidP="00B60F59">
      <w:pPr>
        <w:spacing w:line="240" w:lineRule="auto"/>
        <w:ind w:left="3686"/>
        <w:jc w:val="both"/>
        <w:rPr>
          <w:rFonts w:ascii="Times New Roman" w:eastAsia="Times New Roman" w:hAnsi="Times New Roman" w:cs="Times New Roman"/>
          <w:color w:val="000000"/>
          <w:sz w:val="20"/>
          <w:szCs w:val="20"/>
        </w:rPr>
      </w:pPr>
      <w:r w:rsidRPr="00B60F59">
        <w:rPr>
          <w:rFonts w:ascii="Times New Roman" w:eastAsia="Times New Roman" w:hAnsi="Times New Roman" w:cs="Times New Roman"/>
          <w:color w:val="000000"/>
          <w:sz w:val="20"/>
          <w:szCs w:val="20"/>
        </w:rPr>
        <w:lastRenderedPageBreak/>
        <w:t>“</w:t>
      </w:r>
      <w:r w:rsidR="005255B8">
        <w:rPr>
          <w:rFonts w:ascii="Times New Roman" w:eastAsia="Times New Roman" w:hAnsi="Times New Roman" w:cs="Times New Roman"/>
          <w:color w:val="000000"/>
          <w:sz w:val="20"/>
          <w:szCs w:val="20"/>
        </w:rPr>
        <w:t>Mé</w:t>
      </w:r>
      <w:r w:rsidR="00FB7770">
        <w:rPr>
          <w:rFonts w:ascii="Times New Roman" w:eastAsia="Times New Roman" w:hAnsi="Times New Roman" w:cs="Times New Roman"/>
          <w:color w:val="000000"/>
          <w:sz w:val="20"/>
          <w:szCs w:val="20"/>
        </w:rPr>
        <w:t>x</w:t>
      </w:r>
      <w:r w:rsidR="005255B8">
        <w:rPr>
          <w:rFonts w:ascii="Times New Roman" w:eastAsia="Times New Roman" w:hAnsi="Times New Roman" w:cs="Times New Roman"/>
          <w:color w:val="000000"/>
          <w:sz w:val="20"/>
          <w:szCs w:val="20"/>
        </w:rPr>
        <w:t>ico es el país de la desigualdad. Acaso en ninguna parte la hay más espantosa en la distribución de fortunas, civilización, cultivo de la tierra, y población”</w:t>
      </w:r>
      <w:r w:rsidR="00A05CDD">
        <w:rPr>
          <w:rFonts w:ascii="Times New Roman" w:eastAsia="Times New Roman" w:hAnsi="Times New Roman" w:cs="Times New Roman"/>
          <w:color w:val="000000"/>
          <w:sz w:val="20"/>
          <w:szCs w:val="20"/>
        </w:rPr>
        <w:t>.</w:t>
      </w:r>
      <w:r w:rsidR="005255B8">
        <w:rPr>
          <w:rStyle w:val="Refdenotaalpie"/>
          <w:rFonts w:ascii="Times New Roman" w:eastAsia="Times New Roman" w:hAnsi="Times New Roman" w:cs="Times New Roman"/>
          <w:color w:val="000000"/>
          <w:sz w:val="20"/>
          <w:szCs w:val="20"/>
        </w:rPr>
        <w:footnoteReference w:id="1"/>
      </w:r>
    </w:p>
    <w:p w14:paraId="18ADFED9" w14:textId="77777777" w:rsidR="00103A25" w:rsidRPr="00B60F59" w:rsidRDefault="00103A25" w:rsidP="00B60F59">
      <w:pPr>
        <w:spacing w:line="240" w:lineRule="auto"/>
        <w:ind w:left="3686"/>
        <w:jc w:val="both"/>
        <w:rPr>
          <w:rFonts w:ascii="Times New Roman" w:hAnsi="Times New Roman" w:cs="Times New Roman"/>
          <w:sz w:val="20"/>
          <w:szCs w:val="20"/>
        </w:rPr>
      </w:pPr>
    </w:p>
    <w:p w14:paraId="3B9F3069" w14:textId="77777777" w:rsidR="00107521" w:rsidRDefault="00632005">
      <w:pPr>
        <w:spacing w:line="480" w:lineRule="auto"/>
        <w:jc w:val="both"/>
        <w:rPr>
          <w:rFonts w:ascii="Times New Roman" w:hAnsi="Times New Roman" w:cs="Times New Roman"/>
          <w:sz w:val="24"/>
          <w:szCs w:val="24"/>
        </w:rPr>
      </w:pPr>
      <w:r w:rsidRPr="00B60F59">
        <w:rPr>
          <w:rFonts w:ascii="Times New Roman" w:hAnsi="Times New Roman" w:cs="Times New Roman"/>
          <w:sz w:val="24"/>
          <w:szCs w:val="24"/>
        </w:rPr>
        <w:t>Un</w:t>
      </w:r>
      <w:r w:rsidR="004C3B9B">
        <w:rPr>
          <w:rFonts w:ascii="Times New Roman" w:hAnsi="Times New Roman" w:cs="Times New Roman"/>
          <w:sz w:val="24"/>
          <w:szCs w:val="24"/>
        </w:rPr>
        <w:t xml:space="preserve">o de los principales problemas </w:t>
      </w:r>
      <w:r w:rsidR="001F4C6F">
        <w:rPr>
          <w:rFonts w:ascii="Times New Roman" w:hAnsi="Times New Roman" w:cs="Times New Roman"/>
          <w:sz w:val="24"/>
          <w:szCs w:val="24"/>
        </w:rPr>
        <w:t>que actualmen</w:t>
      </w:r>
      <w:r w:rsidR="00517915">
        <w:rPr>
          <w:rFonts w:ascii="Times New Roman" w:hAnsi="Times New Roman" w:cs="Times New Roman"/>
          <w:sz w:val="24"/>
          <w:szCs w:val="24"/>
        </w:rPr>
        <w:t xml:space="preserve">te aquejan a México </w:t>
      </w:r>
      <w:r w:rsidR="001F4C6F">
        <w:rPr>
          <w:rFonts w:ascii="Times New Roman" w:hAnsi="Times New Roman" w:cs="Times New Roman"/>
          <w:sz w:val="24"/>
          <w:szCs w:val="24"/>
        </w:rPr>
        <w:t>es</w:t>
      </w:r>
      <w:r w:rsidR="006D45D1">
        <w:rPr>
          <w:rFonts w:ascii="Times New Roman" w:hAnsi="Times New Roman" w:cs="Times New Roman"/>
          <w:sz w:val="24"/>
          <w:szCs w:val="24"/>
        </w:rPr>
        <w:t xml:space="preserve"> también </w:t>
      </w:r>
      <w:r w:rsidR="001F4C6F">
        <w:rPr>
          <w:rFonts w:ascii="Times New Roman" w:hAnsi="Times New Roman" w:cs="Times New Roman"/>
          <w:sz w:val="24"/>
          <w:szCs w:val="24"/>
        </w:rPr>
        <w:t>un problema que ha estado presen</w:t>
      </w:r>
      <w:r w:rsidR="006D45D1">
        <w:rPr>
          <w:rFonts w:ascii="Times New Roman" w:hAnsi="Times New Roman" w:cs="Times New Roman"/>
          <w:sz w:val="24"/>
          <w:szCs w:val="24"/>
        </w:rPr>
        <w:t>te durante gran parte de su</w:t>
      </w:r>
      <w:r w:rsidR="001F4C6F">
        <w:rPr>
          <w:rFonts w:ascii="Times New Roman" w:hAnsi="Times New Roman" w:cs="Times New Roman"/>
          <w:sz w:val="24"/>
          <w:szCs w:val="24"/>
        </w:rPr>
        <w:t xml:space="preserve"> historia: la desigualdad. No obstante que desde principios del siglo XIX ya se contaba con un diagnóstico al respecto y se identificaba a la desigualdad como </w:t>
      </w:r>
      <w:r w:rsidR="00680AF4">
        <w:rPr>
          <w:rFonts w:ascii="Times New Roman" w:hAnsi="Times New Roman" w:cs="Times New Roman"/>
          <w:sz w:val="24"/>
          <w:szCs w:val="24"/>
        </w:rPr>
        <w:t>una condición a revertir</w:t>
      </w:r>
      <w:r w:rsidR="005C4221">
        <w:rPr>
          <w:rFonts w:ascii="Times New Roman" w:hAnsi="Times New Roman" w:cs="Times New Roman"/>
          <w:sz w:val="24"/>
          <w:szCs w:val="24"/>
        </w:rPr>
        <w:t xml:space="preserve">, </w:t>
      </w:r>
      <w:r w:rsidR="001F4C6F">
        <w:rPr>
          <w:rFonts w:ascii="Times New Roman" w:hAnsi="Times New Roman" w:cs="Times New Roman"/>
          <w:sz w:val="24"/>
          <w:szCs w:val="24"/>
        </w:rPr>
        <w:t>el problema ha persistid</w:t>
      </w:r>
      <w:r w:rsidR="005C4221">
        <w:rPr>
          <w:rFonts w:ascii="Times New Roman" w:hAnsi="Times New Roman" w:cs="Times New Roman"/>
          <w:sz w:val="24"/>
          <w:szCs w:val="24"/>
        </w:rPr>
        <w:t>o durante</w:t>
      </w:r>
      <w:r w:rsidR="006A5634">
        <w:rPr>
          <w:rFonts w:ascii="Times New Roman" w:hAnsi="Times New Roman" w:cs="Times New Roman"/>
          <w:sz w:val="24"/>
          <w:szCs w:val="24"/>
        </w:rPr>
        <w:t xml:space="preserve"> distintas etapas</w:t>
      </w:r>
      <w:r w:rsidR="001F4C6F">
        <w:rPr>
          <w:rFonts w:ascii="Times New Roman" w:hAnsi="Times New Roman" w:cs="Times New Roman"/>
          <w:sz w:val="24"/>
          <w:szCs w:val="24"/>
        </w:rPr>
        <w:t xml:space="preserve"> y </w:t>
      </w:r>
      <w:r w:rsidR="002B7F7A">
        <w:rPr>
          <w:rFonts w:ascii="Times New Roman" w:hAnsi="Times New Roman" w:cs="Times New Roman"/>
          <w:sz w:val="24"/>
          <w:szCs w:val="24"/>
        </w:rPr>
        <w:t>actualmente</w:t>
      </w:r>
      <w:r w:rsidR="001F4C6F">
        <w:rPr>
          <w:rFonts w:ascii="Times New Roman" w:hAnsi="Times New Roman" w:cs="Times New Roman"/>
          <w:sz w:val="24"/>
          <w:szCs w:val="24"/>
        </w:rPr>
        <w:t xml:space="preserve"> </w:t>
      </w:r>
      <w:r w:rsidR="005D6C9B">
        <w:rPr>
          <w:rFonts w:ascii="Times New Roman" w:hAnsi="Times New Roman" w:cs="Times New Roman"/>
          <w:sz w:val="24"/>
          <w:szCs w:val="24"/>
        </w:rPr>
        <w:t>siguen existiendo</w:t>
      </w:r>
      <w:r w:rsidR="001F4C6F">
        <w:rPr>
          <w:rFonts w:ascii="Times New Roman" w:hAnsi="Times New Roman" w:cs="Times New Roman"/>
          <w:sz w:val="24"/>
          <w:szCs w:val="24"/>
        </w:rPr>
        <w:t xml:space="preserve"> </w:t>
      </w:r>
      <w:r w:rsidR="00107521">
        <w:rPr>
          <w:rFonts w:ascii="Times New Roman" w:hAnsi="Times New Roman" w:cs="Times New Roman"/>
          <w:sz w:val="24"/>
          <w:szCs w:val="24"/>
        </w:rPr>
        <w:t xml:space="preserve">disparidades </w:t>
      </w:r>
      <w:r w:rsidR="000510AB">
        <w:rPr>
          <w:rFonts w:ascii="Times New Roman" w:hAnsi="Times New Roman" w:cs="Times New Roman"/>
          <w:sz w:val="24"/>
          <w:szCs w:val="24"/>
        </w:rPr>
        <w:t xml:space="preserve">significativas </w:t>
      </w:r>
      <w:r w:rsidR="001F4C6F">
        <w:rPr>
          <w:rFonts w:ascii="Times New Roman" w:hAnsi="Times New Roman" w:cs="Times New Roman"/>
          <w:sz w:val="24"/>
          <w:szCs w:val="24"/>
        </w:rPr>
        <w:t>entre la</w:t>
      </w:r>
      <w:r w:rsidR="00107521">
        <w:rPr>
          <w:rFonts w:ascii="Times New Roman" w:hAnsi="Times New Roman" w:cs="Times New Roman"/>
          <w:sz w:val="24"/>
          <w:szCs w:val="24"/>
        </w:rPr>
        <w:t>s condiciones de vida de la</w:t>
      </w:r>
      <w:r w:rsidR="001F4C6F">
        <w:rPr>
          <w:rFonts w:ascii="Times New Roman" w:hAnsi="Times New Roman" w:cs="Times New Roman"/>
          <w:sz w:val="24"/>
          <w:szCs w:val="24"/>
        </w:rPr>
        <w:t xml:space="preserve"> población.</w:t>
      </w:r>
    </w:p>
    <w:p w14:paraId="6510F1E7" w14:textId="5C2D53E8" w:rsidR="001F4C6F" w:rsidRDefault="0096687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07521">
        <w:rPr>
          <w:rFonts w:ascii="Times New Roman" w:hAnsi="Times New Roman" w:cs="Times New Roman"/>
          <w:sz w:val="24"/>
          <w:szCs w:val="24"/>
        </w:rPr>
        <w:tab/>
        <w:t xml:space="preserve">Aunque a primera vista pareciera que la desigualdad es algo negativo, existen </w:t>
      </w:r>
      <w:r w:rsidR="00036FB4">
        <w:rPr>
          <w:rFonts w:ascii="Times New Roman" w:hAnsi="Times New Roman" w:cs="Times New Roman"/>
          <w:sz w:val="24"/>
          <w:szCs w:val="24"/>
        </w:rPr>
        <w:t xml:space="preserve">autores que, si bien no </w:t>
      </w:r>
      <w:r w:rsidR="009C784B">
        <w:rPr>
          <w:rFonts w:ascii="Times New Roman" w:hAnsi="Times New Roman" w:cs="Times New Roman"/>
          <w:sz w:val="24"/>
          <w:szCs w:val="24"/>
        </w:rPr>
        <w:t xml:space="preserve">la </w:t>
      </w:r>
      <w:r w:rsidR="00036FB4">
        <w:rPr>
          <w:rFonts w:ascii="Times New Roman" w:hAnsi="Times New Roman" w:cs="Times New Roman"/>
          <w:sz w:val="24"/>
          <w:szCs w:val="24"/>
        </w:rPr>
        <w:t>celebran, sí cuestionan que sea un efecto económico normativamente indeseable</w:t>
      </w:r>
      <w:r w:rsidR="00945C58">
        <w:rPr>
          <w:rFonts w:ascii="Times New Roman" w:hAnsi="Times New Roman" w:cs="Times New Roman"/>
          <w:sz w:val="24"/>
          <w:szCs w:val="24"/>
        </w:rPr>
        <w:t>.</w:t>
      </w:r>
      <w:r w:rsidR="00945C58">
        <w:rPr>
          <w:rStyle w:val="Refdenotaalpie"/>
          <w:rFonts w:ascii="Times New Roman" w:hAnsi="Times New Roman" w:cs="Times New Roman"/>
          <w:sz w:val="24"/>
          <w:szCs w:val="24"/>
        </w:rPr>
        <w:footnoteReference w:id="2"/>
      </w:r>
      <w:r w:rsidR="009C784B">
        <w:rPr>
          <w:rFonts w:ascii="Times New Roman" w:hAnsi="Times New Roman" w:cs="Times New Roman"/>
          <w:sz w:val="24"/>
          <w:szCs w:val="24"/>
        </w:rPr>
        <w:t xml:space="preserve"> A pesar </w:t>
      </w:r>
      <w:r w:rsidR="00A31B52">
        <w:rPr>
          <w:rFonts w:ascii="Times New Roman" w:hAnsi="Times New Roman" w:cs="Times New Roman"/>
          <w:sz w:val="24"/>
          <w:szCs w:val="24"/>
        </w:rPr>
        <w:t xml:space="preserve">de </w:t>
      </w:r>
      <w:r w:rsidR="009C784B">
        <w:rPr>
          <w:rFonts w:ascii="Times New Roman" w:hAnsi="Times New Roman" w:cs="Times New Roman"/>
          <w:sz w:val="24"/>
          <w:szCs w:val="24"/>
        </w:rPr>
        <w:t xml:space="preserve">que </w:t>
      </w:r>
      <w:r w:rsidR="00036FB4">
        <w:rPr>
          <w:rFonts w:ascii="Times New Roman" w:hAnsi="Times New Roman" w:cs="Times New Roman"/>
          <w:sz w:val="24"/>
          <w:szCs w:val="24"/>
        </w:rPr>
        <w:t xml:space="preserve">en esta tesina no realizaré una discusión normativa al respecto, resulta indispensable mencionar algunos de los aspectos negativos de la desigualdad que hacen que se vuelva </w:t>
      </w:r>
      <w:r w:rsidR="002B7F7A">
        <w:rPr>
          <w:rFonts w:ascii="Times New Roman" w:hAnsi="Times New Roman" w:cs="Times New Roman"/>
          <w:sz w:val="24"/>
          <w:szCs w:val="24"/>
        </w:rPr>
        <w:t>la motivación central</w:t>
      </w:r>
      <w:r w:rsidR="00107521">
        <w:rPr>
          <w:rFonts w:ascii="Times New Roman" w:hAnsi="Times New Roman" w:cs="Times New Roman"/>
          <w:sz w:val="24"/>
          <w:szCs w:val="24"/>
        </w:rPr>
        <w:t xml:space="preserve"> </w:t>
      </w:r>
      <w:r w:rsidR="002B7F7A">
        <w:rPr>
          <w:rFonts w:ascii="Times New Roman" w:hAnsi="Times New Roman" w:cs="Times New Roman"/>
          <w:sz w:val="24"/>
          <w:szCs w:val="24"/>
        </w:rPr>
        <w:t>de esta tesina</w:t>
      </w:r>
      <w:r w:rsidR="00036FB4">
        <w:rPr>
          <w:rFonts w:ascii="Times New Roman" w:hAnsi="Times New Roman" w:cs="Times New Roman"/>
          <w:sz w:val="24"/>
          <w:szCs w:val="24"/>
        </w:rPr>
        <w:t>.</w:t>
      </w:r>
    </w:p>
    <w:p w14:paraId="561D08E1" w14:textId="7F6224B7" w:rsidR="008729E9" w:rsidRDefault="008729E9">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8B219C">
        <w:rPr>
          <w:rFonts w:ascii="Times New Roman" w:hAnsi="Times New Roman" w:cs="Times New Roman"/>
          <w:sz w:val="24"/>
          <w:szCs w:val="24"/>
        </w:rPr>
        <w:t xml:space="preserve">De manera general, es posible identificar </w:t>
      </w:r>
      <w:r>
        <w:rPr>
          <w:rFonts w:ascii="Times New Roman" w:hAnsi="Times New Roman" w:cs="Times New Roman"/>
          <w:sz w:val="24"/>
          <w:szCs w:val="24"/>
        </w:rPr>
        <w:t>tres principales grupos de razones por los cuales resulta indeseable contar con desigualda</w:t>
      </w:r>
      <w:r w:rsidR="00E02618">
        <w:rPr>
          <w:rFonts w:ascii="Times New Roman" w:hAnsi="Times New Roman" w:cs="Times New Roman"/>
          <w:sz w:val="24"/>
          <w:szCs w:val="24"/>
        </w:rPr>
        <w:t>d en un país: razones</w:t>
      </w:r>
      <w:r>
        <w:rPr>
          <w:rFonts w:ascii="Times New Roman" w:hAnsi="Times New Roman" w:cs="Times New Roman"/>
          <w:sz w:val="24"/>
          <w:szCs w:val="24"/>
        </w:rPr>
        <w:t xml:space="preserve"> de injusticia</w:t>
      </w:r>
      <w:r w:rsidR="00E02618">
        <w:rPr>
          <w:rFonts w:ascii="Times New Roman" w:hAnsi="Times New Roman" w:cs="Times New Roman"/>
          <w:sz w:val="24"/>
          <w:szCs w:val="24"/>
        </w:rPr>
        <w:t xml:space="preserve"> social</w:t>
      </w:r>
      <w:r>
        <w:rPr>
          <w:rFonts w:ascii="Times New Roman" w:hAnsi="Times New Roman" w:cs="Times New Roman"/>
          <w:sz w:val="24"/>
          <w:szCs w:val="24"/>
        </w:rPr>
        <w:t>, económicas y políti</w:t>
      </w:r>
      <w:r w:rsidR="002B7F7A">
        <w:rPr>
          <w:rFonts w:ascii="Times New Roman" w:hAnsi="Times New Roman" w:cs="Times New Roman"/>
          <w:sz w:val="24"/>
          <w:szCs w:val="24"/>
        </w:rPr>
        <w:t>cas. Las primeras se relacionan</w:t>
      </w:r>
      <w:r>
        <w:rPr>
          <w:rFonts w:ascii="Times New Roman" w:hAnsi="Times New Roman" w:cs="Times New Roman"/>
          <w:sz w:val="24"/>
          <w:szCs w:val="24"/>
        </w:rPr>
        <w:t xml:space="preserve"> con el derecho de las personas a </w:t>
      </w:r>
      <w:r w:rsidR="00855D7B">
        <w:rPr>
          <w:rFonts w:ascii="Times New Roman" w:hAnsi="Times New Roman" w:cs="Times New Roman"/>
          <w:sz w:val="24"/>
          <w:szCs w:val="24"/>
        </w:rPr>
        <w:t>contar con cond</w:t>
      </w:r>
      <w:r w:rsidR="001866C9">
        <w:rPr>
          <w:rFonts w:ascii="Times New Roman" w:hAnsi="Times New Roman" w:cs="Times New Roman"/>
          <w:sz w:val="24"/>
          <w:szCs w:val="24"/>
        </w:rPr>
        <w:t>iciones mínimas de subsistencia</w:t>
      </w:r>
      <w:r w:rsidR="00855D7B">
        <w:rPr>
          <w:rFonts w:ascii="Times New Roman" w:hAnsi="Times New Roman" w:cs="Times New Roman"/>
          <w:sz w:val="24"/>
          <w:szCs w:val="24"/>
        </w:rPr>
        <w:t xml:space="preserve"> simplemente</w:t>
      </w:r>
      <w:r w:rsidR="00A31B52">
        <w:rPr>
          <w:rFonts w:ascii="Times New Roman" w:hAnsi="Times New Roman" w:cs="Times New Roman"/>
          <w:sz w:val="24"/>
          <w:szCs w:val="24"/>
        </w:rPr>
        <w:t xml:space="preserve"> por el hecho de ser humanos, el cual se pone en riesgo</w:t>
      </w:r>
      <w:r w:rsidR="00855D7B">
        <w:rPr>
          <w:rFonts w:ascii="Times New Roman" w:hAnsi="Times New Roman" w:cs="Times New Roman"/>
          <w:sz w:val="24"/>
          <w:szCs w:val="24"/>
        </w:rPr>
        <w:t xml:space="preserve"> si existen condiciones de desigualdad.</w:t>
      </w:r>
      <w:r w:rsidR="00EA2B89">
        <w:rPr>
          <w:rFonts w:ascii="Times New Roman" w:hAnsi="Times New Roman" w:cs="Times New Roman"/>
          <w:sz w:val="24"/>
          <w:szCs w:val="24"/>
        </w:rPr>
        <w:t xml:space="preserve"> Si bien esto podría atenderse con un programa que propicie tales condiciones mínimas para todos los individuos, en realidad no sería </w:t>
      </w:r>
      <w:r w:rsidR="00183EF6">
        <w:rPr>
          <w:rFonts w:ascii="Times New Roman" w:hAnsi="Times New Roman" w:cs="Times New Roman"/>
          <w:sz w:val="24"/>
          <w:szCs w:val="24"/>
        </w:rPr>
        <w:t>un esquema autosustentable si sólo</w:t>
      </w:r>
      <w:r w:rsidR="00EA2B89">
        <w:rPr>
          <w:rFonts w:ascii="Times New Roman" w:hAnsi="Times New Roman" w:cs="Times New Roman"/>
          <w:sz w:val="24"/>
          <w:szCs w:val="24"/>
        </w:rPr>
        <w:t xml:space="preserve"> se </w:t>
      </w:r>
      <w:r w:rsidR="00183EF6">
        <w:rPr>
          <w:rFonts w:ascii="Times New Roman" w:hAnsi="Times New Roman" w:cs="Times New Roman"/>
          <w:sz w:val="24"/>
          <w:szCs w:val="24"/>
        </w:rPr>
        <w:t>atienden las consecuencias</w:t>
      </w:r>
      <w:r w:rsidR="00520B1B">
        <w:rPr>
          <w:rFonts w:ascii="Times New Roman" w:hAnsi="Times New Roman" w:cs="Times New Roman"/>
          <w:sz w:val="24"/>
          <w:szCs w:val="24"/>
        </w:rPr>
        <w:t xml:space="preserve"> de la desigua</w:t>
      </w:r>
      <w:r w:rsidR="00183EF6">
        <w:rPr>
          <w:rFonts w:ascii="Times New Roman" w:hAnsi="Times New Roman" w:cs="Times New Roman"/>
          <w:sz w:val="24"/>
          <w:szCs w:val="24"/>
        </w:rPr>
        <w:t xml:space="preserve">ldad </w:t>
      </w:r>
      <w:r w:rsidR="00183EF6">
        <w:rPr>
          <w:rFonts w:ascii="Times New Roman" w:hAnsi="Times New Roman" w:cs="Times New Roman"/>
          <w:sz w:val="24"/>
          <w:szCs w:val="24"/>
        </w:rPr>
        <w:lastRenderedPageBreak/>
        <w:t>y no se solucionan sus causas</w:t>
      </w:r>
      <w:r w:rsidR="00520B1B">
        <w:rPr>
          <w:rFonts w:ascii="Times New Roman" w:hAnsi="Times New Roman" w:cs="Times New Roman"/>
          <w:sz w:val="24"/>
          <w:szCs w:val="24"/>
        </w:rPr>
        <w:t xml:space="preserve">. </w:t>
      </w:r>
      <w:r w:rsidR="00E02618">
        <w:rPr>
          <w:rFonts w:ascii="Times New Roman" w:hAnsi="Times New Roman" w:cs="Times New Roman"/>
          <w:sz w:val="24"/>
          <w:szCs w:val="24"/>
        </w:rPr>
        <w:t>En este mismo sentido</w:t>
      </w:r>
      <w:r w:rsidR="00855D7B">
        <w:rPr>
          <w:rFonts w:ascii="Times New Roman" w:hAnsi="Times New Roman" w:cs="Times New Roman"/>
          <w:sz w:val="24"/>
          <w:szCs w:val="24"/>
        </w:rPr>
        <w:t>, las razones de injusticia se relacionan con el hecho de que una persona no decide dónde nace, lo cual es un</w:t>
      </w:r>
      <w:r w:rsidR="00FD353D">
        <w:rPr>
          <w:rFonts w:ascii="Times New Roman" w:hAnsi="Times New Roman" w:cs="Times New Roman"/>
          <w:sz w:val="24"/>
          <w:szCs w:val="24"/>
        </w:rPr>
        <w:t xml:space="preserve"> determinante fundamental de sus</w:t>
      </w:r>
      <w:r w:rsidR="00855D7B">
        <w:rPr>
          <w:rFonts w:ascii="Times New Roman" w:hAnsi="Times New Roman" w:cs="Times New Roman"/>
          <w:sz w:val="24"/>
          <w:szCs w:val="24"/>
        </w:rPr>
        <w:t xml:space="preserve"> condiciones de vida durante el resto de su existencia.</w:t>
      </w:r>
    </w:p>
    <w:p w14:paraId="32EA7109" w14:textId="1176036C" w:rsidR="00855D7B" w:rsidRDefault="00E02618" w:rsidP="003F121C">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Por su parte, l</w:t>
      </w:r>
      <w:r w:rsidR="00855D7B">
        <w:rPr>
          <w:rFonts w:ascii="Times New Roman" w:hAnsi="Times New Roman" w:cs="Times New Roman"/>
          <w:sz w:val="24"/>
          <w:szCs w:val="24"/>
        </w:rPr>
        <w:t>as razones económicas se refieren a que se debe buscar incluir a toda la población en el desarrollo de un país para generar mayor valor agregado y competitividad. Si existen regiones que se encuentran perennemente en atraso, es difícil detonar el desarrollo nacional o, por lo menos</w:t>
      </w:r>
      <w:r w:rsidR="00452BD1">
        <w:rPr>
          <w:rFonts w:ascii="Times New Roman" w:hAnsi="Times New Roman" w:cs="Times New Roman"/>
          <w:sz w:val="24"/>
          <w:szCs w:val="24"/>
        </w:rPr>
        <w:t>,</w:t>
      </w:r>
      <w:r w:rsidR="00855D7B">
        <w:rPr>
          <w:rFonts w:ascii="Times New Roman" w:hAnsi="Times New Roman" w:cs="Times New Roman"/>
          <w:sz w:val="24"/>
          <w:szCs w:val="24"/>
        </w:rPr>
        <w:t xml:space="preserve"> se ve mermado por el hecho de tener que rescatar dichas regiones, en vez de incluirlas en el desarrollo productivo del país.</w:t>
      </w:r>
      <w:r w:rsidR="00107C37">
        <w:rPr>
          <w:rFonts w:ascii="Times New Roman" w:hAnsi="Times New Roman" w:cs="Times New Roman"/>
          <w:sz w:val="24"/>
          <w:szCs w:val="24"/>
        </w:rPr>
        <w:t xml:space="preserve"> </w:t>
      </w:r>
      <w:r w:rsidR="00B826D7">
        <w:rPr>
          <w:rFonts w:ascii="Times New Roman" w:hAnsi="Times New Roman" w:cs="Times New Roman"/>
          <w:sz w:val="24"/>
          <w:szCs w:val="24"/>
        </w:rPr>
        <w:t>Así pues, el contar con equidad puede contribuir a generar mejores condiciones de desarroll</w:t>
      </w:r>
      <w:r w:rsidR="00FD353D">
        <w:rPr>
          <w:rFonts w:ascii="Times New Roman" w:hAnsi="Times New Roman" w:cs="Times New Roman"/>
          <w:sz w:val="24"/>
          <w:szCs w:val="24"/>
        </w:rPr>
        <w:t>o económico nacional</w:t>
      </w:r>
      <w:r w:rsidR="00B826D7">
        <w:rPr>
          <w:rFonts w:ascii="Times New Roman" w:hAnsi="Times New Roman" w:cs="Times New Roman"/>
          <w:sz w:val="24"/>
          <w:szCs w:val="24"/>
        </w:rPr>
        <w:t>.</w:t>
      </w:r>
      <w:r>
        <w:rPr>
          <w:rFonts w:ascii="Times New Roman" w:hAnsi="Times New Roman" w:cs="Times New Roman"/>
          <w:sz w:val="24"/>
          <w:szCs w:val="24"/>
        </w:rPr>
        <w:t xml:space="preserve"> </w:t>
      </w:r>
      <w:r w:rsidR="00BE3669">
        <w:rPr>
          <w:rFonts w:ascii="Times New Roman" w:hAnsi="Times New Roman" w:cs="Times New Roman"/>
          <w:sz w:val="24"/>
          <w:szCs w:val="24"/>
        </w:rPr>
        <w:t>Asimismo, al existir desigualdad, una democracia exig</w:t>
      </w:r>
      <w:r w:rsidR="00E7443D">
        <w:rPr>
          <w:rFonts w:ascii="Times New Roman" w:hAnsi="Times New Roman" w:cs="Times New Roman"/>
          <w:sz w:val="24"/>
          <w:szCs w:val="24"/>
        </w:rPr>
        <w:t>e mecanismos redistributivos, los cuales</w:t>
      </w:r>
      <w:r w:rsidR="00BE3669">
        <w:rPr>
          <w:rFonts w:ascii="Times New Roman" w:hAnsi="Times New Roman" w:cs="Times New Roman"/>
          <w:sz w:val="24"/>
          <w:szCs w:val="24"/>
        </w:rPr>
        <w:t xml:space="preserve"> utilizan recursos que bien podrían utilizarse en acciones que </w:t>
      </w:r>
      <w:r w:rsidR="00136B6C">
        <w:rPr>
          <w:rFonts w:ascii="Times New Roman" w:hAnsi="Times New Roman" w:cs="Times New Roman"/>
          <w:sz w:val="24"/>
          <w:szCs w:val="24"/>
        </w:rPr>
        <w:t>fomenten el crecimiento y desarrollo económicos.</w:t>
      </w:r>
    </w:p>
    <w:p w14:paraId="66FF432E" w14:textId="517BE801" w:rsidR="00855D7B" w:rsidRDefault="00855D7B" w:rsidP="003F121C">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Por último, las razones políticas se refieren al ambiente de polarización q</w:t>
      </w:r>
      <w:r w:rsidR="00E7443D">
        <w:rPr>
          <w:rFonts w:ascii="Times New Roman" w:hAnsi="Times New Roman" w:cs="Times New Roman"/>
          <w:sz w:val="24"/>
          <w:szCs w:val="24"/>
        </w:rPr>
        <w:t>ue puede generar la desigualdad</w:t>
      </w:r>
      <w:r w:rsidR="001866C9">
        <w:rPr>
          <w:rFonts w:ascii="Times New Roman" w:hAnsi="Times New Roman" w:cs="Times New Roman"/>
          <w:sz w:val="24"/>
          <w:szCs w:val="24"/>
        </w:rPr>
        <w:t xml:space="preserve"> al propiciar resentimientos o reclamos de justicia que pueden desbordarse.</w:t>
      </w:r>
      <w:r>
        <w:rPr>
          <w:rFonts w:ascii="Times New Roman" w:hAnsi="Times New Roman" w:cs="Times New Roman"/>
          <w:sz w:val="24"/>
          <w:szCs w:val="24"/>
        </w:rPr>
        <w:t xml:space="preserve"> </w:t>
      </w:r>
      <w:r w:rsidR="003F121C">
        <w:rPr>
          <w:rFonts w:ascii="Times New Roman" w:hAnsi="Times New Roman" w:cs="Times New Roman"/>
          <w:sz w:val="24"/>
          <w:szCs w:val="24"/>
        </w:rPr>
        <w:t>Tal situación</w:t>
      </w:r>
      <w:r w:rsidR="00910FA6">
        <w:rPr>
          <w:rFonts w:ascii="Times New Roman" w:hAnsi="Times New Roman" w:cs="Times New Roman"/>
          <w:sz w:val="24"/>
          <w:szCs w:val="24"/>
        </w:rPr>
        <w:t xml:space="preserve"> puede resultar en</w:t>
      </w:r>
      <w:r w:rsidR="003F121C">
        <w:rPr>
          <w:rFonts w:ascii="Times New Roman" w:hAnsi="Times New Roman" w:cs="Times New Roman"/>
          <w:sz w:val="24"/>
          <w:szCs w:val="24"/>
        </w:rPr>
        <w:t xml:space="preserve"> inestabilidad</w:t>
      </w:r>
      <w:r w:rsidR="00910FA6">
        <w:rPr>
          <w:rFonts w:ascii="Times New Roman" w:hAnsi="Times New Roman" w:cs="Times New Roman"/>
          <w:sz w:val="24"/>
          <w:szCs w:val="24"/>
        </w:rPr>
        <w:t xml:space="preserve"> social, la cual, en el extremo, podría propicia</w:t>
      </w:r>
      <w:r w:rsidR="003F121C">
        <w:rPr>
          <w:rFonts w:ascii="Times New Roman" w:hAnsi="Times New Roman" w:cs="Times New Roman"/>
          <w:sz w:val="24"/>
          <w:szCs w:val="24"/>
        </w:rPr>
        <w:t>r una guerra civil o una revolución por las condiciones tan di</w:t>
      </w:r>
      <w:r w:rsidR="00910FA6">
        <w:rPr>
          <w:rFonts w:ascii="Times New Roman" w:hAnsi="Times New Roman" w:cs="Times New Roman"/>
          <w:sz w:val="24"/>
          <w:szCs w:val="24"/>
        </w:rPr>
        <w:t>spares en que vive la población.</w:t>
      </w:r>
      <w:r w:rsidR="003F121C">
        <w:rPr>
          <w:rFonts w:ascii="Times New Roman" w:hAnsi="Times New Roman" w:cs="Times New Roman"/>
          <w:sz w:val="24"/>
          <w:szCs w:val="24"/>
        </w:rPr>
        <w:t xml:space="preserve"> </w:t>
      </w:r>
      <w:r w:rsidR="00136B6C">
        <w:rPr>
          <w:rFonts w:ascii="Times New Roman" w:hAnsi="Times New Roman" w:cs="Times New Roman"/>
          <w:sz w:val="24"/>
          <w:szCs w:val="24"/>
        </w:rPr>
        <w:t>Lo anterior también tiene un impacto directo sobre el aspecto económico referido en el párrafo anterior, pues la inestabilidad política genera condiciones adversas para la inversión y, por tanto, para el crecimiento de un país.</w:t>
      </w:r>
    </w:p>
    <w:p w14:paraId="69C11E8A" w14:textId="7EA9CF66" w:rsidR="007F2F68" w:rsidRDefault="009D0D8A" w:rsidP="008B219C">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Tomando en cuenta todos estos aspectos nega</w:t>
      </w:r>
      <w:r w:rsidR="00E7443D">
        <w:rPr>
          <w:rFonts w:ascii="Times New Roman" w:hAnsi="Times New Roman" w:cs="Times New Roman"/>
          <w:sz w:val="24"/>
          <w:szCs w:val="24"/>
        </w:rPr>
        <w:t>tivos que genera la desigualdad</w:t>
      </w:r>
      <w:r>
        <w:rPr>
          <w:rFonts w:ascii="Times New Roman" w:hAnsi="Times New Roman" w:cs="Times New Roman"/>
          <w:sz w:val="24"/>
          <w:szCs w:val="24"/>
        </w:rPr>
        <w:t xml:space="preserve"> </w:t>
      </w:r>
      <w:r w:rsidR="00E7443D">
        <w:rPr>
          <w:rFonts w:ascii="Times New Roman" w:hAnsi="Times New Roman" w:cs="Times New Roman"/>
          <w:sz w:val="24"/>
          <w:szCs w:val="24"/>
        </w:rPr>
        <w:t xml:space="preserve">–si </w:t>
      </w:r>
      <w:r w:rsidR="001866C9">
        <w:rPr>
          <w:rFonts w:ascii="Times New Roman" w:hAnsi="Times New Roman" w:cs="Times New Roman"/>
          <w:sz w:val="24"/>
          <w:szCs w:val="24"/>
        </w:rPr>
        <w:t>bien no son</w:t>
      </w:r>
      <w:r w:rsidR="00E7443D">
        <w:rPr>
          <w:rFonts w:ascii="Times New Roman" w:hAnsi="Times New Roman" w:cs="Times New Roman"/>
          <w:sz w:val="24"/>
          <w:szCs w:val="24"/>
        </w:rPr>
        <w:t xml:space="preserve"> los únicos—resulta </w:t>
      </w:r>
      <w:r>
        <w:rPr>
          <w:rFonts w:ascii="Times New Roman" w:hAnsi="Times New Roman" w:cs="Times New Roman"/>
          <w:sz w:val="24"/>
          <w:szCs w:val="24"/>
        </w:rPr>
        <w:t>preocupante que en México s</w:t>
      </w:r>
      <w:r w:rsidR="00EF55A5">
        <w:rPr>
          <w:rFonts w:ascii="Times New Roman" w:hAnsi="Times New Roman" w:cs="Times New Roman"/>
          <w:sz w:val="24"/>
          <w:szCs w:val="24"/>
        </w:rPr>
        <w:t>iga siendo</w:t>
      </w:r>
      <w:r>
        <w:rPr>
          <w:rFonts w:ascii="Times New Roman" w:hAnsi="Times New Roman" w:cs="Times New Roman"/>
          <w:sz w:val="24"/>
          <w:szCs w:val="24"/>
        </w:rPr>
        <w:t xml:space="preserve"> un problema que, a </w:t>
      </w:r>
      <w:r>
        <w:rPr>
          <w:rFonts w:ascii="Times New Roman" w:hAnsi="Times New Roman" w:cs="Times New Roman"/>
          <w:sz w:val="24"/>
          <w:szCs w:val="24"/>
        </w:rPr>
        <w:lastRenderedPageBreak/>
        <w:t>pesar de los esfuerzos</w:t>
      </w:r>
      <w:r w:rsidR="00106AAD">
        <w:rPr>
          <w:rFonts w:ascii="Times New Roman" w:hAnsi="Times New Roman" w:cs="Times New Roman"/>
          <w:sz w:val="24"/>
          <w:szCs w:val="24"/>
        </w:rPr>
        <w:t xml:space="preserve"> y recursos destinados</w:t>
      </w:r>
      <w:r w:rsidR="00943BF8">
        <w:rPr>
          <w:rFonts w:ascii="Times New Roman" w:hAnsi="Times New Roman" w:cs="Times New Roman"/>
          <w:sz w:val="24"/>
          <w:szCs w:val="24"/>
        </w:rPr>
        <w:t>, no se ha podido mitigar</w:t>
      </w:r>
      <w:r w:rsidR="00B974E8">
        <w:rPr>
          <w:rFonts w:ascii="Times New Roman" w:hAnsi="Times New Roman" w:cs="Times New Roman"/>
          <w:sz w:val="24"/>
          <w:szCs w:val="24"/>
        </w:rPr>
        <w:t>.</w:t>
      </w:r>
      <w:r w:rsidR="008910AD" w:rsidRPr="00414E48">
        <w:rPr>
          <w:rStyle w:val="Refdenotaalpie"/>
          <w:rFonts w:ascii="Times New Roman" w:eastAsia="Times New Roman" w:hAnsi="Times New Roman" w:cs="Times New Roman"/>
          <w:color w:val="000000"/>
          <w:sz w:val="20"/>
          <w:szCs w:val="20"/>
        </w:rPr>
        <w:footnoteReference w:id="3"/>
      </w:r>
      <w:r w:rsidR="00EF55A5">
        <w:rPr>
          <w:rFonts w:ascii="Times New Roman" w:hAnsi="Times New Roman" w:cs="Times New Roman"/>
          <w:sz w:val="24"/>
          <w:szCs w:val="24"/>
        </w:rPr>
        <w:t xml:space="preserve"> </w:t>
      </w:r>
      <w:r w:rsidR="00B826D7">
        <w:rPr>
          <w:rFonts w:ascii="Times New Roman" w:hAnsi="Times New Roman" w:cs="Times New Roman"/>
          <w:sz w:val="24"/>
          <w:szCs w:val="24"/>
        </w:rPr>
        <w:t xml:space="preserve">Como ya se mencionaba hace casi 20 años y se sigue observando en la actualidad, </w:t>
      </w:r>
      <w:r w:rsidR="00B974E8">
        <w:rPr>
          <w:rFonts w:ascii="Times New Roman" w:hAnsi="Times New Roman" w:cs="Times New Roman"/>
          <w:sz w:val="24"/>
          <w:szCs w:val="24"/>
        </w:rPr>
        <w:t>“</w:t>
      </w:r>
      <w:r w:rsidR="00B826D7">
        <w:rPr>
          <w:rFonts w:ascii="Times New Roman" w:hAnsi="Times New Roman" w:cs="Times New Roman"/>
          <w:sz w:val="24"/>
          <w:szCs w:val="24"/>
        </w:rPr>
        <w:t>[e]</w:t>
      </w:r>
      <w:r w:rsidR="00C8766B" w:rsidRPr="00414E48">
        <w:rPr>
          <w:rFonts w:ascii="Times New Roman" w:hAnsi="Times New Roman" w:cs="Times New Roman"/>
          <w:sz w:val="24"/>
          <w:szCs w:val="24"/>
        </w:rPr>
        <w:t>l rasgo más sobresaliente de la estructura regional de México es la inequidad. No importa qué indicador se esté contemplando, ni cómo se mida o con qué metodología se elaboren las mediciones, la realidad más notoria del país es que los niveles de desarrollo económico, político y social muestran una varianza enorme”</w:t>
      </w:r>
      <w:r w:rsidR="00C8766B" w:rsidRPr="00414E48">
        <w:rPr>
          <w:rFonts w:ascii="Times New Roman" w:eastAsia="Times New Roman" w:hAnsi="Times New Roman" w:cs="Times New Roman"/>
          <w:color w:val="000000"/>
          <w:sz w:val="20"/>
          <w:szCs w:val="20"/>
        </w:rPr>
        <w:t>.</w:t>
      </w:r>
      <w:r w:rsidR="00C8766B" w:rsidRPr="00414E48">
        <w:rPr>
          <w:rStyle w:val="Refdenotaalpie"/>
          <w:rFonts w:ascii="Times New Roman" w:eastAsia="Times New Roman" w:hAnsi="Times New Roman" w:cs="Times New Roman"/>
          <w:color w:val="000000"/>
          <w:sz w:val="20"/>
          <w:szCs w:val="20"/>
        </w:rPr>
        <w:footnoteReference w:id="4"/>
      </w:r>
    </w:p>
    <w:p w14:paraId="30BD8460" w14:textId="32F7DBBF" w:rsidR="00F572A1" w:rsidRDefault="00090B67" w:rsidP="00F572A1">
      <w:pPr>
        <w:spacing w:after="0" w:line="480" w:lineRule="auto"/>
        <w:ind w:firstLine="708"/>
        <w:jc w:val="both"/>
      </w:pPr>
      <w:r>
        <w:rPr>
          <w:rFonts w:ascii="Times New Roman" w:hAnsi="Times New Roman" w:cs="Times New Roman"/>
          <w:sz w:val="24"/>
          <w:szCs w:val="24"/>
        </w:rPr>
        <w:t xml:space="preserve">Algo muy relevante que hay que notar es que desigualdad no únicamente se refiere a la existente entre regiones o entidades federativas, sino también al interior de las mismas. </w:t>
      </w:r>
      <w:r w:rsidR="00F572A1">
        <w:rPr>
          <w:rFonts w:ascii="Times New Roman" w:eastAsia="Times New Roman" w:hAnsi="Times New Roman" w:cs="Times New Roman"/>
          <w:color w:val="000000"/>
          <w:sz w:val="24"/>
          <w:szCs w:val="24"/>
        </w:rPr>
        <w:t>Como panorama general es posible afirmar que l</w:t>
      </w:r>
      <w:r w:rsidR="00F572A1" w:rsidRPr="0051520D">
        <w:rPr>
          <w:rFonts w:ascii="Times New Roman" w:eastAsia="Times New Roman" w:hAnsi="Times New Roman" w:cs="Times New Roman"/>
          <w:color w:val="000000"/>
          <w:sz w:val="24"/>
          <w:szCs w:val="24"/>
        </w:rPr>
        <w:t xml:space="preserve">as tres entidades federativas con mayores problemas de desigualdad tanto a nivel nacional, como </w:t>
      </w:r>
      <w:proofErr w:type="spellStart"/>
      <w:r w:rsidR="00F572A1" w:rsidRPr="0051520D">
        <w:rPr>
          <w:rFonts w:ascii="Times New Roman" w:eastAsia="Times New Roman" w:hAnsi="Times New Roman" w:cs="Times New Roman"/>
          <w:color w:val="000000"/>
          <w:sz w:val="24"/>
          <w:szCs w:val="24"/>
        </w:rPr>
        <w:t>intraestatal</w:t>
      </w:r>
      <w:proofErr w:type="spellEnd"/>
      <w:r w:rsidR="00F572A1" w:rsidRPr="0051520D">
        <w:rPr>
          <w:rFonts w:ascii="Times New Roman" w:eastAsia="Times New Roman" w:hAnsi="Times New Roman" w:cs="Times New Roman"/>
          <w:color w:val="000000"/>
          <w:sz w:val="24"/>
          <w:szCs w:val="24"/>
        </w:rPr>
        <w:t xml:space="preserve"> son Oaxaca, Chiapas y Gue</w:t>
      </w:r>
      <w:r w:rsidR="00E7443D">
        <w:rPr>
          <w:rFonts w:ascii="Times New Roman" w:eastAsia="Times New Roman" w:hAnsi="Times New Roman" w:cs="Times New Roman"/>
          <w:color w:val="000000"/>
          <w:sz w:val="24"/>
          <w:szCs w:val="24"/>
        </w:rPr>
        <w:t>rrero. Si tomamos en cuenta el Í</w:t>
      </w:r>
      <w:r w:rsidR="00F572A1" w:rsidRPr="0051520D">
        <w:rPr>
          <w:rFonts w:ascii="Times New Roman" w:eastAsia="Times New Roman" w:hAnsi="Times New Roman" w:cs="Times New Roman"/>
          <w:color w:val="000000"/>
          <w:sz w:val="24"/>
          <w:szCs w:val="24"/>
        </w:rPr>
        <w:t xml:space="preserve">ndice de </w:t>
      </w:r>
      <w:r w:rsidR="00E7443D">
        <w:rPr>
          <w:rFonts w:ascii="Times New Roman" w:eastAsia="Times New Roman" w:hAnsi="Times New Roman" w:cs="Times New Roman"/>
          <w:color w:val="000000"/>
          <w:sz w:val="24"/>
          <w:szCs w:val="24"/>
        </w:rPr>
        <w:t>Desarrollo H</w:t>
      </w:r>
      <w:r w:rsidR="00F572A1" w:rsidRPr="0051520D">
        <w:rPr>
          <w:rFonts w:ascii="Times New Roman" w:eastAsia="Times New Roman" w:hAnsi="Times New Roman" w:cs="Times New Roman"/>
          <w:color w:val="000000"/>
          <w:sz w:val="24"/>
          <w:szCs w:val="24"/>
        </w:rPr>
        <w:t xml:space="preserve">umano y su evolución en el tiempo, observamos que </w:t>
      </w:r>
      <w:r w:rsidR="00F572A1" w:rsidRPr="0051520D">
        <w:rPr>
          <w:rFonts w:ascii="Times New Roman" w:hAnsi="Times New Roman" w:cs="Times New Roman"/>
          <w:color w:val="000000"/>
          <w:sz w:val="24"/>
          <w:szCs w:val="24"/>
        </w:rPr>
        <w:t>“Guerrero presenta el desempeño más pobre en 1950, de 1960 a 1980 este lugar lo ocupa Oaxaca y de 1990 al 2000 Chiapas presenta el índice más bajo. Hay que hacer notar que Chiapas, Oaxaca y Guerrero nunca han salido de los últimos tres lugares a nivel nacional”.</w:t>
      </w:r>
      <w:r w:rsidR="0074559F">
        <w:rPr>
          <w:rStyle w:val="Refdenotaalpie"/>
          <w:rFonts w:ascii="Times New Roman" w:hAnsi="Times New Roman" w:cs="Times New Roman"/>
          <w:color w:val="000000"/>
          <w:sz w:val="24"/>
          <w:szCs w:val="24"/>
        </w:rPr>
        <w:footnoteReference w:id="5"/>
      </w:r>
      <w:r w:rsidR="00F572A1" w:rsidRPr="0051520D">
        <w:rPr>
          <w:rFonts w:ascii="Times New Roman" w:hAnsi="Times New Roman" w:cs="Times New Roman"/>
          <w:color w:val="000000"/>
          <w:sz w:val="24"/>
          <w:szCs w:val="24"/>
        </w:rPr>
        <w:t xml:space="preserve"> Ahora bien, si lo que nos importa es la desigualdad</w:t>
      </w:r>
      <w:r w:rsidR="00F572A1">
        <w:rPr>
          <w:rFonts w:ascii="Times New Roman" w:hAnsi="Times New Roman" w:cs="Times New Roman"/>
          <w:color w:val="000000"/>
          <w:sz w:val="24"/>
          <w:szCs w:val="24"/>
        </w:rPr>
        <w:t xml:space="preserve"> </w:t>
      </w:r>
      <w:r w:rsidR="00F572A1" w:rsidRPr="0051520D">
        <w:rPr>
          <w:rFonts w:ascii="Times New Roman" w:hAnsi="Times New Roman" w:cs="Times New Roman"/>
          <w:color w:val="000000"/>
          <w:sz w:val="24"/>
          <w:szCs w:val="24"/>
        </w:rPr>
        <w:t xml:space="preserve">entre municipios al interior de los estados, estas tres entidades federativas también presentan problemas graves. Así, </w:t>
      </w:r>
      <w:r w:rsidR="00F572A1" w:rsidRPr="0051520D">
        <w:rPr>
          <w:rFonts w:ascii="Times New Roman" w:hAnsi="Times New Roman" w:cs="Times New Roman"/>
          <w:sz w:val="24"/>
          <w:szCs w:val="24"/>
        </w:rPr>
        <w:t xml:space="preserve">“la entidad federativa que registra mayor desigualdad de ingresos es </w:t>
      </w:r>
      <w:r w:rsidR="00F572A1" w:rsidRPr="0051520D">
        <w:rPr>
          <w:rFonts w:ascii="Times New Roman" w:hAnsi="Times New Roman" w:cs="Times New Roman"/>
          <w:sz w:val="24"/>
          <w:szCs w:val="24"/>
        </w:rPr>
        <w:lastRenderedPageBreak/>
        <w:t>el estado de Querétaro –con un índice de 0.487–, seguido de cerca por Chiapas, Oaxaca y Guerrero, que son también los tres estados que registran mayor pobreza a nivel nacional”.</w:t>
      </w:r>
      <w:r w:rsidR="00036FB4">
        <w:rPr>
          <w:rStyle w:val="Refdenotaalpie"/>
          <w:rFonts w:ascii="Times New Roman" w:hAnsi="Times New Roman" w:cs="Times New Roman"/>
          <w:sz w:val="24"/>
          <w:szCs w:val="24"/>
        </w:rPr>
        <w:footnoteReference w:id="6"/>
      </w:r>
      <w:r w:rsidR="00F572A1">
        <w:t xml:space="preserve"> </w:t>
      </w:r>
    </w:p>
    <w:p w14:paraId="718C3475" w14:textId="77777777" w:rsidR="00E7103E" w:rsidRDefault="00632005" w:rsidP="0074559F">
      <w:pPr>
        <w:spacing w:after="0" w:line="480" w:lineRule="auto"/>
        <w:ind w:firstLine="708"/>
        <w:jc w:val="both"/>
        <w:rPr>
          <w:rFonts w:ascii="Times New Roman" w:eastAsia="Times New Roman" w:hAnsi="Times New Roman" w:cs="Times New Roman"/>
          <w:color w:val="000000"/>
          <w:sz w:val="24"/>
          <w:szCs w:val="24"/>
        </w:rPr>
      </w:pPr>
      <w:r w:rsidRPr="0074559F">
        <w:rPr>
          <w:rFonts w:ascii="Times New Roman" w:hAnsi="Times New Roman" w:cs="Times New Roman"/>
          <w:sz w:val="24"/>
          <w:szCs w:val="24"/>
        </w:rPr>
        <w:t xml:space="preserve">Dado este contexto, la pregunta inmediata que </w:t>
      </w:r>
      <w:r w:rsidR="00182D1A">
        <w:rPr>
          <w:rFonts w:ascii="Times New Roman" w:hAnsi="Times New Roman" w:cs="Times New Roman"/>
          <w:sz w:val="24"/>
          <w:szCs w:val="24"/>
        </w:rPr>
        <w:t>emerge</w:t>
      </w:r>
      <w:r w:rsidRPr="0074559F">
        <w:rPr>
          <w:rFonts w:ascii="Times New Roman" w:hAnsi="Times New Roman" w:cs="Times New Roman"/>
          <w:sz w:val="24"/>
          <w:szCs w:val="24"/>
        </w:rPr>
        <w:t xml:space="preserve"> es ¿qué está funcionando mal para que la desigualdad siga siendo uno de los principales problemas del país? Si bien pueden existir muchas explicaciones al respecto, en esta tesina me enfocaré en el papel del gasto federalizado, el cual, con el arreglo fiscal existente, </w:t>
      </w:r>
      <w:r w:rsidR="00182D1A">
        <w:rPr>
          <w:rFonts w:ascii="Times New Roman" w:hAnsi="Times New Roman" w:cs="Times New Roman"/>
          <w:sz w:val="24"/>
          <w:szCs w:val="24"/>
        </w:rPr>
        <w:t>podría ser</w:t>
      </w:r>
      <w:r w:rsidRPr="0074559F">
        <w:rPr>
          <w:rFonts w:ascii="Times New Roman" w:hAnsi="Times New Roman" w:cs="Times New Roman"/>
          <w:sz w:val="24"/>
          <w:szCs w:val="24"/>
        </w:rPr>
        <w:t xml:space="preserve"> una de las principales medidas para eliminar las desigualdades entre regiones y al interior de las entidades federativas.</w:t>
      </w:r>
      <w:r w:rsidR="00703699" w:rsidRPr="003C4B6A">
        <w:rPr>
          <w:rStyle w:val="Refdenotaalpie"/>
          <w:rFonts w:ascii="Times New Roman" w:eastAsia="Times New Roman" w:hAnsi="Times New Roman" w:cs="Times New Roman"/>
          <w:color w:val="000000"/>
          <w:sz w:val="24"/>
          <w:szCs w:val="24"/>
        </w:rPr>
        <w:footnoteReference w:id="7"/>
      </w:r>
      <w:r w:rsidRPr="00B60F59">
        <w:rPr>
          <w:rFonts w:ascii="Times New Roman" w:eastAsia="Times New Roman" w:hAnsi="Times New Roman" w:cs="Times New Roman"/>
          <w:color w:val="000000"/>
          <w:sz w:val="24"/>
          <w:szCs w:val="24"/>
        </w:rPr>
        <w:t xml:space="preserve"> </w:t>
      </w:r>
    </w:p>
    <w:p w14:paraId="2AC567B0" w14:textId="77777777" w:rsidR="00E7103E" w:rsidRDefault="00632005" w:rsidP="0074559F">
      <w:pPr>
        <w:spacing w:after="0" w:line="480" w:lineRule="auto"/>
        <w:ind w:firstLine="708"/>
        <w:jc w:val="both"/>
        <w:rPr>
          <w:rFonts w:ascii="Times New Roman" w:eastAsia="Times New Roman" w:hAnsi="Times New Roman" w:cs="Times New Roman"/>
          <w:sz w:val="24"/>
          <w:szCs w:val="24"/>
        </w:rPr>
      </w:pPr>
      <w:r w:rsidRPr="0074559F">
        <w:rPr>
          <w:rFonts w:ascii="Times New Roman" w:hAnsi="Times New Roman" w:cs="Times New Roman"/>
          <w:sz w:val="24"/>
          <w:szCs w:val="24"/>
        </w:rPr>
        <w:t>El gasto federalizado se refiere a las transferencias de recursos que hace el gobierno federal a las entidades federativas</w:t>
      </w:r>
      <w:r w:rsidRPr="0074559F">
        <w:rPr>
          <w:rFonts w:ascii="Times New Roman" w:eastAsia="Times New Roman" w:hAnsi="Times New Roman" w:cs="Times New Roman"/>
          <w:color w:val="000000"/>
          <w:sz w:val="24"/>
          <w:szCs w:val="24"/>
        </w:rPr>
        <w:t xml:space="preserve">, municipios y demarcaciones territoriales del Distrito Federal. </w:t>
      </w:r>
      <w:r w:rsidRPr="0074559F">
        <w:rPr>
          <w:rFonts w:ascii="Times New Roman" w:eastAsia="Times New Roman" w:hAnsi="Times New Roman" w:cs="Times New Roman"/>
          <w:sz w:val="24"/>
          <w:szCs w:val="24"/>
        </w:rPr>
        <w:t xml:space="preserve">Si bien los componentes principales de dicho gasto son las aportaciones y participaciones, también consta de recursos derivados de ingresos excedentes, subsidios orientados al desarrollo regional, recursos para apoyar las tareas de fiscalización y subsidios para fortalecer las acciones de seguridad pública. </w:t>
      </w:r>
    </w:p>
    <w:p w14:paraId="72279616" w14:textId="77777777" w:rsidR="00E7103E" w:rsidRPr="00B60F59" w:rsidRDefault="00632005" w:rsidP="0074559F">
      <w:pPr>
        <w:spacing w:line="480" w:lineRule="auto"/>
        <w:ind w:firstLine="708"/>
        <w:jc w:val="both"/>
        <w:rPr>
          <w:rFonts w:ascii="Times New Roman" w:hAnsi="Times New Roman" w:cs="Times New Roman"/>
          <w:sz w:val="24"/>
          <w:szCs w:val="24"/>
        </w:rPr>
      </w:pPr>
      <w:r w:rsidRPr="0074559F">
        <w:rPr>
          <w:rFonts w:ascii="Times New Roman" w:eastAsia="Times New Roman" w:hAnsi="Times New Roman" w:cs="Times New Roman"/>
          <w:sz w:val="24"/>
          <w:szCs w:val="24"/>
        </w:rPr>
        <w:t xml:space="preserve">Gracias a la conformación particular del federalismo en México y a las leyes de coordinación fiscal, el gobierno federal estableció las transferencias directas a las entidades federativas como el principal mecanismo para combatir la desigualdad. </w:t>
      </w:r>
      <w:r w:rsidR="008D4F1C">
        <w:rPr>
          <w:rFonts w:ascii="Times New Roman" w:eastAsia="Times New Roman" w:hAnsi="Times New Roman" w:cs="Times New Roman"/>
          <w:sz w:val="24"/>
          <w:szCs w:val="24"/>
        </w:rPr>
        <w:t>Dicho mecanismo adquiere aún mayor importancia si tomamos en consideración que la</w:t>
      </w:r>
      <w:r w:rsidR="00B469C9">
        <w:rPr>
          <w:rFonts w:ascii="Times New Roman" w:eastAsia="Times New Roman" w:hAnsi="Times New Roman" w:cs="Times New Roman"/>
          <w:sz w:val="24"/>
          <w:szCs w:val="24"/>
        </w:rPr>
        <w:t xml:space="preserve"> provisión de infraestructura </w:t>
      </w:r>
      <w:r w:rsidR="00BC0ADC">
        <w:rPr>
          <w:rFonts w:ascii="Times New Roman" w:eastAsia="Times New Roman" w:hAnsi="Times New Roman" w:cs="Times New Roman"/>
          <w:sz w:val="24"/>
          <w:szCs w:val="24"/>
        </w:rPr>
        <w:t xml:space="preserve">con fines de equidad </w:t>
      </w:r>
      <w:r w:rsidR="00B469C9">
        <w:rPr>
          <w:rFonts w:ascii="Times New Roman" w:eastAsia="Times New Roman" w:hAnsi="Times New Roman" w:cs="Times New Roman"/>
          <w:sz w:val="24"/>
          <w:szCs w:val="24"/>
        </w:rPr>
        <w:t xml:space="preserve">es un área que necesariamente requiere de intervención gubernamental. Las asignaciones vía mercado no generarían incentivos </w:t>
      </w:r>
      <w:r w:rsidR="00BC0ADC">
        <w:rPr>
          <w:rFonts w:ascii="Times New Roman" w:eastAsia="Times New Roman" w:hAnsi="Times New Roman" w:cs="Times New Roman"/>
          <w:sz w:val="24"/>
          <w:szCs w:val="24"/>
        </w:rPr>
        <w:t xml:space="preserve">suficientes </w:t>
      </w:r>
      <w:r w:rsidR="00B469C9">
        <w:rPr>
          <w:rFonts w:ascii="Times New Roman" w:eastAsia="Times New Roman" w:hAnsi="Times New Roman" w:cs="Times New Roman"/>
          <w:sz w:val="24"/>
          <w:szCs w:val="24"/>
        </w:rPr>
        <w:t xml:space="preserve">para proveer la infraestructura necesaria en las regiones más marginadas, pues su provisión </w:t>
      </w:r>
      <w:r w:rsidR="00BC0ADC">
        <w:rPr>
          <w:rFonts w:ascii="Times New Roman" w:eastAsia="Times New Roman" w:hAnsi="Times New Roman" w:cs="Times New Roman"/>
          <w:sz w:val="24"/>
          <w:szCs w:val="24"/>
        </w:rPr>
        <w:lastRenderedPageBreak/>
        <w:t>resulta muy costosa</w:t>
      </w:r>
      <w:r w:rsidR="00B469C9">
        <w:rPr>
          <w:rFonts w:ascii="Times New Roman" w:eastAsia="Times New Roman" w:hAnsi="Times New Roman" w:cs="Times New Roman"/>
          <w:sz w:val="24"/>
          <w:szCs w:val="24"/>
        </w:rPr>
        <w:t xml:space="preserve"> y con pocos beneficios </w:t>
      </w:r>
      <w:r w:rsidR="00BC0ADC">
        <w:rPr>
          <w:rFonts w:ascii="Times New Roman" w:eastAsia="Times New Roman" w:hAnsi="Times New Roman" w:cs="Times New Roman"/>
          <w:sz w:val="24"/>
          <w:szCs w:val="24"/>
        </w:rPr>
        <w:t>para los inversionistas</w:t>
      </w:r>
      <w:r w:rsidR="00B469C9">
        <w:rPr>
          <w:rFonts w:ascii="Times New Roman" w:eastAsia="Times New Roman" w:hAnsi="Times New Roman" w:cs="Times New Roman"/>
          <w:sz w:val="24"/>
          <w:szCs w:val="24"/>
        </w:rPr>
        <w:t>.</w:t>
      </w:r>
      <w:r w:rsidR="00BC0ADC">
        <w:rPr>
          <w:rFonts w:ascii="Times New Roman" w:eastAsia="Times New Roman" w:hAnsi="Times New Roman" w:cs="Times New Roman"/>
          <w:sz w:val="24"/>
          <w:szCs w:val="24"/>
        </w:rPr>
        <w:t xml:space="preserve"> Por tanto, la intervención gubernamental se vuelve fundamental para atender el problema de la desigualdad entre entidades federativas y al interior de las mismas.</w:t>
      </w:r>
      <w:r w:rsidR="008D4F1C">
        <w:rPr>
          <w:rFonts w:ascii="Times New Roman" w:eastAsia="Times New Roman" w:hAnsi="Times New Roman" w:cs="Times New Roman"/>
          <w:sz w:val="24"/>
          <w:szCs w:val="24"/>
        </w:rPr>
        <w:t xml:space="preserve"> </w:t>
      </w:r>
    </w:p>
    <w:p w14:paraId="73B5D14F" w14:textId="548BAFEF" w:rsidR="00E7103E" w:rsidRPr="00B60F59" w:rsidRDefault="00BC0ADC" w:rsidP="0074559F">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Los</w:t>
      </w:r>
      <w:r w:rsidR="00632005" w:rsidRPr="00B60F59">
        <w:rPr>
          <w:rFonts w:ascii="Times New Roman" w:hAnsi="Times New Roman" w:cs="Times New Roman"/>
          <w:sz w:val="24"/>
          <w:szCs w:val="24"/>
        </w:rPr>
        <w:t xml:space="preserve"> </w:t>
      </w:r>
      <w:r w:rsidR="009E0064">
        <w:rPr>
          <w:rFonts w:ascii="Times New Roman" w:hAnsi="Times New Roman" w:cs="Times New Roman"/>
          <w:sz w:val="24"/>
          <w:szCs w:val="24"/>
        </w:rPr>
        <w:t>proyectos de</w:t>
      </w:r>
      <w:r w:rsidR="00632005" w:rsidRPr="00B60F59">
        <w:rPr>
          <w:rFonts w:ascii="Times New Roman" w:hAnsi="Times New Roman" w:cs="Times New Roman"/>
          <w:sz w:val="24"/>
          <w:szCs w:val="24"/>
        </w:rPr>
        <w:t xml:space="preserve"> infraestructura son un instrumento clave para abatir desigualdad y rezago, pues sirven como complemento fundamental a los programas sociales que buscan mitigar la pobreza. </w:t>
      </w:r>
      <w:r w:rsidR="009E0064">
        <w:rPr>
          <w:rFonts w:ascii="Times New Roman" w:hAnsi="Times New Roman" w:cs="Times New Roman"/>
          <w:sz w:val="24"/>
          <w:szCs w:val="24"/>
        </w:rPr>
        <w:t xml:space="preserve">Sin tales </w:t>
      </w:r>
      <w:r>
        <w:rPr>
          <w:rFonts w:ascii="Times New Roman" w:hAnsi="Times New Roman" w:cs="Times New Roman"/>
          <w:sz w:val="24"/>
          <w:szCs w:val="24"/>
        </w:rPr>
        <w:t xml:space="preserve">proyectos, financiados con transferencias, </w:t>
      </w:r>
      <w:r w:rsidR="008D4F1C">
        <w:rPr>
          <w:rFonts w:ascii="Times New Roman" w:hAnsi="Times New Roman" w:cs="Times New Roman"/>
          <w:sz w:val="24"/>
          <w:szCs w:val="24"/>
        </w:rPr>
        <w:t xml:space="preserve">resultaría muy difícil incentivar el desarrollo de las zonas más marginadas del país, pues, aunque se </w:t>
      </w:r>
      <w:r>
        <w:rPr>
          <w:rFonts w:ascii="Times New Roman" w:hAnsi="Times New Roman" w:cs="Times New Roman"/>
          <w:sz w:val="24"/>
          <w:szCs w:val="24"/>
        </w:rPr>
        <w:t>beneficien con otros</w:t>
      </w:r>
      <w:r w:rsidR="008D4F1C">
        <w:rPr>
          <w:rFonts w:ascii="Times New Roman" w:hAnsi="Times New Roman" w:cs="Times New Roman"/>
          <w:sz w:val="24"/>
          <w:szCs w:val="24"/>
        </w:rPr>
        <w:t xml:space="preserve"> programas sociales, </w:t>
      </w:r>
      <w:r>
        <w:rPr>
          <w:rFonts w:ascii="Times New Roman" w:hAnsi="Times New Roman" w:cs="Times New Roman"/>
          <w:sz w:val="24"/>
          <w:szCs w:val="24"/>
        </w:rPr>
        <w:t xml:space="preserve">las </w:t>
      </w:r>
      <w:r w:rsidR="00A922A7">
        <w:rPr>
          <w:rFonts w:ascii="Times New Roman" w:hAnsi="Times New Roman" w:cs="Times New Roman"/>
          <w:sz w:val="24"/>
          <w:szCs w:val="24"/>
        </w:rPr>
        <w:t xml:space="preserve">condiciones de infraestructura </w:t>
      </w:r>
      <w:r>
        <w:rPr>
          <w:rFonts w:ascii="Times New Roman" w:hAnsi="Times New Roman" w:cs="Times New Roman"/>
          <w:sz w:val="24"/>
          <w:szCs w:val="24"/>
        </w:rPr>
        <w:t xml:space="preserve">no permitirían </w:t>
      </w:r>
      <w:r w:rsidR="00517FA3">
        <w:rPr>
          <w:rFonts w:ascii="Times New Roman" w:hAnsi="Times New Roman" w:cs="Times New Roman"/>
          <w:sz w:val="24"/>
          <w:szCs w:val="24"/>
        </w:rPr>
        <w:t>el desarrollo de opciones productivas viables</w:t>
      </w:r>
      <w:r w:rsidR="00C733F8">
        <w:rPr>
          <w:rFonts w:ascii="Times New Roman" w:hAnsi="Times New Roman" w:cs="Times New Roman"/>
          <w:sz w:val="24"/>
          <w:szCs w:val="24"/>
        </w:rPr>
        <w:t xml:space="preserve"> en </w:t>
      </w:r>
      <w:r w:rsidR="00A922A7">
        <w:rPr>
          <w:rFonts w:ascii="Times New Roman" w:hAnsi="Times New Roman" w:cs="Times New Roman"/>
          <w:sz w:val="24"/>
          <w:szCs w:val="24"/>
        </w:rPr>
        <w:t>dichas zonas, por lo que se reproduciría el ciclo de desigualdad. Es decir,</w:t>
      </w:r>
      <w:r w:rsidR="00517FA3">
        <w:rPr>
          <w:rFonts w:ascii="Times New Roman" w:hAnsi="Times New Roman" w:cs="Times New Roman"/>
          <w:sz w:val="24"/>
          <w:szCs w:val="24"/>
        </w:rPr>
        <w:t xml:space="preserve"> </w:t>
      </w:r>
      <w:r w:rsidR="00A922A7">
        <w:rPr>
          <w:rFonts w:ascii="Times New Roman" w:hAnsi="Times New Roman" w:cs="Times New Roman"/>
          <w:sz w:val="24"/>
          <w:szCs w:val="24"/>
        </w:rPr>
        <w:t>c</w:t>
      </w:r>
      <w:r w:rsidR="00517FA3">
        <w:rPr>
          <w:rFonts w:ascii="Times New Roman" w:hAnsi="Times New Roman" w:cs="Times New Roman"/>
          <w:sz w:val="24"/>
          <w:szCs w:val="24"/>
        </w:rPr>
        <w:t>on ello, s</w:t>
      </w:r>
      <w:r>
        <w:rPr>
          <w:rFonts w:ascii="Times New Roman" w:hAnsi="Times New Roman" w:cs="Times New Roman"/>
          <w:sz w:val="24"/>
          <w:szCs w:val="24"/>
        </w:rPr>
        <w:t>e f</w:t>
      </w:r>
      <w:r w:rsidR="00517FA3">
        <w:rPr>
          <w:rFonts w:ascii="Times New Roman" w:hAnsi="Times New Roman" w:cs="Times New Roman"/>
          <w:sz w:val="24"/>
          <w:szCs w:val="24"/>
        </w:rPr>
        <w:t xml:space="preserve">ortalecerían tanto la </w:t>
      </w:r>
      <w:r>
        <w:rPr>
          <w:rFonts w:ascii="Times New Roman" w:hAnsi="Times New Roman" w:cs="Times New Roman"/>
          <w:sz w:val="24"/>
          <w:szCs w:val="24"/>
        </w:rPr>
        <w:t>migración</w:t>
      </w:r>
      <w:r w:rsidR="00517FA3">
        <w:rPr>
          <w:rFonts w:ascii="Times New Roman" w:hAnsi="Times New Roman" w:cs="Times New Roman"/>
          <w:sz w:val="24"/>
          <w:szCs w:val="24"/>
        </w:rPr>
        <w:t xml:space="preserve"> hacia zonas productivas, como la</w:t>
      </w:r>
      <w:r>
        <w:rPr>
          <w:rFonts w:ascii="Times New Roman" w:hAnsi="Times New Roman" w:cs="Times New Roman"/>
          <w:sz w:val="24"/>
          <w:szCs w:val="24"/>
        </w:rPr>
        <w:t xml:space="preserve"> concentración de</w:t>
      </w:r>
      <w:r w:rsidR="00517FA3">
        <w:rPr>
          <w:rFonts w:ascii="Times New Roman" w:hAnsi="Times New Roman" w:cs="Times New Roman"/>
          <w:sz w:val="24"/>
          <w:szCs w:val="24"/>
        </w:rPr>
        <w:t xml:space="preserve"> programas sociales y recursos</w:t>
      </w:r>
      <w:r>
        <w:rPr>
          <w:rFonts w:ascii="Times New Roman" w:hAnsi="Times New Roman" w:cs="Times New Roman"/>
          <w:sz w:val="24"/>
          <w:szCs w:val="24"/>
        </w:rPr>
        <w:t xml:space="preserve"> en aquellas zonas que ya contaban con niveles </w:t>
      </w:r>
      <w:r w:rsidR="00517FA3">
        <w:rPr>
          <w:rFonts w:ascii="Times New Roman" w:hAnsi="Times New Roman" w:cs="Times New Roman"/>
          <w:sz w:val="24"/>
          <w:szCs w:val="24"/>
        </w:rPr>
        <w:t xml:space="preserve">altos </w:t>
      </w:r>
      <w:r>
        <w:rPr>
          <w:rFonts w:ascii="Times New Roman" w:hAnsi="Times New Roman" w:cs="Times New Roman"/>
          <w:sz w:val="24"/>
          <w:szCs w:val="24"/>
        </w:rPr>
        <w:t>de desarrollo</w:t>
      </w:r>
      <w:r w:rsidR="00517FA3">
        <w:rPr>
          <w:rFonts w:ascii="Times New Roman" w:hAnsi="Times New Roman" w:cs="Times New Roman"/>
          <w:sz w:val="24"/>
          <w:szCs w:val="24"/>
        </w:rPr>
        <w:t>,</w:t>
      </w:r>
      <w:r w:rsidR="00C733F8">
        <w:rPr>
          <w:rFonts w:ascii="Times New Roman" w:hAnsi="Times New Roman" w:cs="Times New Roman"/>
          <w:sz w:val="24"/>
          <w:szCs w:val="24"/>
        </w:rPr>
        <w:t xml:space="preserve"> pues son las que concentrarían mayor población,</w:t>
      </w:r>
      <w:r w:rsidR="00517FA3">
        <w:rPr>
          <w:rFonts w:ascii="Times New Roman" w:hAnsi="Times New Roman" w:cs="Times New Roman"/>
          <w:sz w:val="24"/>
          <w:szCs w:val="24"/>
        </w:rPr>
        <w:t xml:space="preserve"> por lo que las zonas marginadas seguirían distanciadas de la atención gubernamental y con muy pocas posibilidades reales de desarrollo.</w:t>
      </w:r>
      <w:r w:rsidR="008D4F1C">
        <w:rPr>
          <w:rFonts w:ascii="Times New Roman" w:hAnsi="Times New Roman" w:cs="Times New Roman"/>
          <w:sz w:val="24"/>
          <w:szCs w:val="24"/>
        </w:rPr>
        <w:t xml:space="preserve"> </w:t>
      </w:r>
      <w:r w:rsidR="00632005" w:rsidRPr="00B60F59">
        <w:rPr>
          <w:rFonts w:ascii="Times New Roman" w:hAnsi="Times New Roman" w:cs="Times New Roman"/>
          <w:sz w:val="24"/>
          <w:szCs w:val="24"/>
        </w:rPr>
        <w:t>Como explican</w:t>
      </w:r>
      <w:r w:rsidR="0096687D">
        <w:rPr>
          <w:rFonts w:ascii="Times New Roman" w:hAnsi="Times New Roman" w:cs="Times New Roman"/>
          <w:sz w:val="24"/>
          <w:szCs w:val="24"/>
        </w:rPr>
        <w:t xml:space="preserve"> </w:t>
      </w:r>
      <w:r w:rsidR="00632005" w:rsidRPr="00B60F59">
        <w:rPr>
          <w:rFonts w:ascii="Times New Roman" w:hAnsi="Times New Roman" w:cs="Times New Roman"/>
          <w:sz w:val="24"/>
          <w:szCs w:val="24"/>
        </w:rPr>
        <w:t>Fausto Hernández y Brenda Jarillo:</w:t>
      </w:r>
    </w:p>
    <w:p w14:paraId="212BC5B4" w14:textId="77777777" w:rsidR="00E7103E" w:rsidRDefault="00112A2A" w:rsidP="00B60F59">
      <w:pPr>
        <w:pStyle w:val="Prrafodelista"/>
        <w:spacing w:after="0"/>
        <w:jc w:val="both"/>
        <w:rPr>
          <w:rFonts w:ascii="Times New Roman" w:hAnsi="Times New Roman" w:cs="Times New Roman"/>
        </w:rPr>
      </w:pPr>
      <w:r w:rsidRPr="00112A2A">
        <w:rPr>
          <w:rFonts w:ascii="Times New Roman" w:hAnsi="Times New Roman" w:cs="Times New Roman"/>
        </w:rPr>
        <w:t>Como están diseñadas hoy día, las comunidades marginadas alejadas y con población dispersa están condenadas a seguir en el atraso, puesto que sin desarrollo de infraestructura local, otros programas de alivio</w:t>
      </w:r>
      <w:r w:rsidR="00613816">
        <w:rPr>
          <w:rFonts w:ascii="Times New Roman" w:hAnsi="Times New Roman" w:cs="Times New Roman"/>
        </w:rPr>
        <w:t xml:space="preserve"> a la pobreza como el programa O</w:t>
      </w:r>
      <w:r w:rsidRPr="00112A2A">
        <w:rPr>
          <w:rFonts w:ascii="Times New Roman" w:hAnsi="Times New Roman" w:cs="Times New Roman"/>
        </w:rPr>
        <w:t>portunidades - el cual opera sobre la formación de capital humano de los individuos más necesitados, no contribuyen a disminuir la pobreza a nivel regional, debido a que ante la falta de oportunidades laborales (asociadas a falta de infraestructura básica) en la localidad de origen, dicho capital humano emigra a comunidades más desarrolladas.</w:t>
      </w:r>
      <w:r w:rsidRPr="00044A3D">
        <w:rPr>
          <w:rStyle w:val="Refdenotaalpie"/>
          <w:rFonts w:ascii="Times New Roman" w:hAnsi="Times New Roman" w:cs="Times New Roman"/>
        </w:rPr>
        <w:footnoteReference w:id="8"/>
      </w:r>
    </w:p>
    <w:p w14:paraId="274C4390" w14:textId="77777777" w:rsidR="00E7103E" w:rsidRPr="00B60F59" w:rsidRDefault="00E7103E" w:rsidP="00B60F59">
      <w:pPr>
        <w:spacing w:after="0" w:line="480" w:lineRule="auto"/>
        <w:jc w:val="both"/>
        <w:rPr>
          <w:rFonts w:ascii="Times New Roman" w:eastAsia="Times New Roman" w:hAnsi="Times New Roman" w:cs="Times New Roman"/>
          <w:sz w:val="24"/>
          <w:szCs w:val="24"/>
        </w:rPr>
      </w:pPr>
    </w:p>
    <w:p w14:paraId="33C8B57E" w14:textId="43C78799" w:rsidR="00E7103E" w:rsidRDefault="001866C9" w:rsidP="00B60F59">
      <w:pPr>
        <w:spacing w:after="0" w:line="480" w:lineRule="auto"/>
        <w:jc w:val="both"/>
      </w:pPr>
      <w:r>
        <w:rPr>
          <w:rFonts w:ascii="Times New Roman" w:eastAsia="Times New Roman" w:hAnsi="Times New Roman" w:cs="Times New Roman"/>
          <w:sz w:val="24"/>
          <w:szCs w:val="24"/>
        </w:rPr>
        <w:t>De forma general, e</w:t>
      </w:r>
      <w:r w:rsidR="00632005" w:rsidRPr="00B60F59">
        <w:rPr>
          <w:rFonts w:ascii="Times New Roman" w:eastAsia="Times New Roman" w:hAnsi="Times New Roman" w:cs="Times New Roman"/>
          <w:sz w:val="24"/>
          <w:szCs w:val="24"/>
        </w:rPr>
        <w:t xml:space="preserve">l mecanismo que siguen estos recursos para afectar positivamente la equidad regional sería el siguiente: </w:t>
      </w:r>
      <w:r w:rsidR="00632005" w:rsidRPr="00B60F59">
        <w:rPr>
          <w:rFonts w:ascii="Times New Roman" w:hAnsi="Times New Roman" w:cs="Times New Roman"/>
          <w:sz w:val="24"/>
          <w:szCs w:val="24"/>
        </w:rPr>
        <w:t xml:space="preserve">“los fondos recibidos desde el gobierno central financian gastos (o permiten reducir impuestos) que benefician a individuos o familias de </w:t>
      </w:r>
      <w:r w:rsidR="00632005" w:rsidRPr="00B60F59">
        <w:rPr>
          <w:rFonts w:ascii="Times New Roman" w:hAnsi="Times New Roman" w:cs="Times New Roman"/>
          <w:sz w:val="24"/>
          <w:szCs w:val="24"/>
        </w:rPr>
        <w:lastRenderedPageBreak/>
        <w:t>distintos ingresos; de esta forma la acción de estas transferencias afecta la distribución del ingreso personal dentro de cada jurisdicción y la correspondiente al país en su conjunto”.</w:t>
      </w:r>
      <w:r w:rsidR="00703699">
        <w:rPr>
          <w:rStyle w:val="Refdenotaalpie"/>
          <w:rFonts w:ascii="Times New Roman" w:hAnsi="Times New Roman" w:cs="Times New Roman"/>
          <w:sz w:val="24"/>
          <w:szCs w:val="24"/>
        </w:rPr>
        <w:footnoteReference w:id="9"/>
      </w:r>
      <w:r w:rsidR="00632005" w:rsidRPr="00B60F59">
        <w:rPr>
          <w:rFonts w:ascii="Times New Roman" w:hAnsi="Times New Roman" w:cs="Times New Roman"/>
          <w:sz w:val="24"/>
          <w:szCs w:val="24"/>
        </w:rPr>
        <w:t xml:space="preserve"> En específico para el caso de los proyectos de infraestructura, lo que se busca es llevar obras y servicios a las comunidades más marginadas para fomentar la productividad de dichas regiones y, de esta manera, mejorar las condiciones de vida de su población.</w:t>
      </w:r>
    </w:p>
    <w:p w14:paraId="35E775DF" w14:textId="5B17A942" w:rsidR="00E7103E" w:rsidRDefault="0023642C" w:rsidP="00B60F59">
      <w:pPr>
        <w:spacing w:after="0" w:line="480" w:lineRule="auto"/>
        <w:ind w:firstLine="708"/>
        <w:jc w:val="both"/>
        <w:rPr>
          <w:rFonts w:ascii="Times New Roman" w:hAnsi="Times New Roman" w:cs="Times New Roman"/>
          <w:sz w:val="24"/>
          <w:szCs w:val="24"/>
        </w:rPr>
      </w:pPr>
      <w:r>
        <w:rPr>
          <w:rFonts w:ascii="Times New Roman" w:eastAsia="Times New Roman" w:hAnsi="Times New Roman" w:cs="Times New Roman"/>
          <w:sz w:val="24"/>
          <w:szCs w:val="24"/>
        </w:rPr>
        <w:t>Además de las razones ya mencionadas, l</w:t>
      </w:r>
      <w:r w:rsidRPr="009E0064">
        <w:rPr>
          <w:rFonts w:ascii="Times New Roman" w:eastAsia="Times New Roman" w:hAnsi="Times New Roman" w:cs="Times New Roman"/>
          <w:sz w:val="24"/>
          <w:szCs w:val="24"/>
        </w:rPr>
        <w:t>a importancia de</w:t>
      </w:r>
      <w:r>
        <w:rPr>
          <w:rFonts w:ascii="Times New Roman" w:eastAsia="Times New Roman" w:hAnsi="Times New Roman" w:cs="Times New Roman"/>
          <w:sz w:val="24"/>
          <w:szCs w:val="24"/>
        </w:rPr>
        <w:t>l gasto federalizado</w:t>
      </w:r>
      <w:r w:rsidR="00A922A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9E0064">
        <w:rPr>
          <w:rFonts w:ascii="Times New Roman" w:eastAsia="Times New Roman" w:hAnsi="Times New Roman" w:cs="Times New Roman"/>
          <w:sz w:val="24"/>
          <w:szCs w:val="24"/>
        </w:rPr>
        <w:t>desde el punto de vista de la desigualdad</w:t>
      </w:r>
      <w:r w:rsidR="00A922A7">
        <w:rPr>
          <w:rFonts w:ascii="Times New Roman" w:eastAsia="Times New Roman" w:hAnsi="Times New Roman" w:cs="Times New Roman"/>
          <w:sz w:val="24"/>
          <w:szCs w:val="24"/>
        </w:rPr>
        <w:t>,</w:t>
      </w:r>
      <w:r w:rsidRPr="009E0064">
        <w:rPr>
          <w:rFonts w:ascii="Times New Roman" w:eastAsia="Times New Roman" w:hAnsi="Times New Roman" w:cs="Times New Roman"/>
          <w:sz w:val="24"/>
          <w:szCs w:val="24"/>
        </w:rPr>
        <w:t xml:space="preserve"> radica</w:t>
      </w:r>
      <w:r>
        <w:rPr>
          <w:rFonts w:ascii="Times New Roman" w:eastAsia="Times New Roman" w:hAnsi="Times New Roman" w:cs="Times New Roman"/>
          <w:sz w:val="24"/>
          <w:szCs w:val="24"/>
        </w:rPr>
        <w:t xml:space="preserve"> </w:t>
      </w:r>
      <w:r w:rsidRPr="009E0064">
        <w:rPr>
          <w:rFonts w:ascii="Times New Roman" w:eastAsia="Times New Roman" w:hAnsi="Times New Roman" w:cs="Times New Roman"/>
          <w:sz w:val="24"/>
          <w:szCs w:val="24"/>
        </w:rPr>
        <w:t xml:space="preserve">en su monto. La cantidad de recursos que reciben los gobiernos </w:t>
      </w:r>
      <w:proofErr w:type="spellStart"/>
      <w:r w:rsidRPr="009E0064">
        <w:rPr>
          <w:rFonts w:ascii="Times New Roman" w:eastAsia="Times New Roman" w:hAnsi="Times New Roman" w:cs="Times New Roman"/>
          <w:sz w:val="24"/>
          <w:szCs w:val="24"/>
        </w:rPr>
        <w:t>subnacionales</w:t>
      </w:r>
      <w:proofErr w:type="spellEnd"/>
      <w:r w:rsidRPr="009E0064">
        <w:rPr>
          <w:rFonts w:ascii="Times New Roman" w:eastAsia="Times New Roman" w:hAnsi="Times New Roman" w:cs="Times New Roman"/>
          <w:sz w:val="24"/>
          <w:szCs w:val="24"/>
        </w:rPr>
        <w:t xml:space="preserve"> por este concepto asciende a 1 billón 309 mil 975 mill</w:t>
      </w:r>
      <w:r w:rsidR="00B50552">
        <w:rPr>
          <w:rFonts w:ascii="Times New Roman" w:eastAsia="Times New Roman" w:hAnsi="Times New Roman" w:cs="Times New Roman"/>
          <w:sz w:val="24"/>
          <w:szCs w:val="24"/>
        </w:rPr>
        <w:t>ones de pesos, lo que se traduce en</w:t>
      </w:r>
      <w:r w:rsidRPr="009E0064">
        <w:rPr>
          <w:rFonts w:ascii="Times New Roman" w:eastAsia="Times New Roman" w:hAnsi="Times New Roman" w:cs="Times New Roman"/>
          <w:sz w:val="24"/>
          <w:szCs w:val="24"/>
        </w:rPr>
        <w:t xml:space="preserve"> una tercera parte del gasto neto total.</w:t>
      </w:r>
      <w:r>
        <w:rPr>
          <w:rStyle w:val="Refdenotaalpie"/>
          <w:rFonts w:ascii="Times New Roman" w:eastAsia="Times New Roman" w:hAnsi="Times New Roman" w:cs="Times New Roman"/>
          <w:sz w:val="24"/>
          <w:szCs w:val="24"/>
        </w:rPr>
        <w:footnoteReference w:id="10"/>
      </w:r>
      <w:r w:rsidRPr="009E0064">
        <w:rPr>
          <w:rFonts w:ascii="Times New Roman" w:eastAsia="Times New Roman" w:hAnsi="Times New Roman" w:cs="Times New Roman"/>
          <w:sz w:val="24"/>
          <w:szCs w:val="24"/>
        </w:rPr>
        <w:t xml:space="preserve"> Además de la gran cantidad de recursos que esto representa, el hecho de que 59% </w:t>
      </w:r>
      <w:r w:rsidR="00B50552">
        <w:rPr>
          <w:rFonts w:ascii="Times New Roman" w:eastAsia="Times New Roman" w:hAnsi="Times New Roman" w:cs="Times New Roman"/>
          <w:sz w:val="24"/>
          <w:szCs w:val="24"/>
        </w:rPr>
        <w:t>de ellos se encuentre etiquetado</w:t>
      </w:r>
      <w:r w:rsidRPr="009E0064">
        <w:rPr>
          <w:rFonts w:ascii="Times New Roman" w:eastAsia="Times New Roman" w:hAnsi="Times New Roman" w:cs="Times New Roman"/>
          <w:sz w:val="24"/>
          <w:szCs w:val="24"/>
        </w:rPr>
        <w:t xml:space="preserve"> –la mayor parte con objetivos de equidad—a través de aportaciones, convenios o </w:t>
      </w:r>
      <w:r w:rsidR="00592E47">
        <w:rPr>
          <w:rFonts w:ascii="Times New Roman" w:eastAsia="Times New Roman" w:hAnsi="Times New Roman" w:cs="Times New Roman"/>
          <w:sz w:val="24"/>
          <w:szCs w:val="24"/>
        </w:rPr>
        <w:t>subsidios</w:t>
      </w:r>
      <w:r w:rsidRPr="009E0064">
        <w:rPr>
          <w:rFonts w:ascii="Times New Roman" w:eastAsia="Times New Roman" w:hAnsi="Times New Roman" w:cs="Times New Roman"/>
          <w:sz w:val="24"/>
          <w:szCs w:val="24"/>
        </w:rPr>
        <w:t>, genera que</w:t>
      </w:r>
      <w:r w:rsidR="00A922A7">
        <w:rPr>
          <w:rFonts w:ascii="Times New Roman" w:eastAsia="Times New Roman" w:hAnsi="Times New Roman" w:cs="Times New Roman"/>
          <w:sz w:val="24"/>
          <w:szCs w:val="24"/>
        </w:rPr>
        <w:t xml:space="preserve"> el gasto federalizado</w:t>
      </w:r>
      <w:r w:rsidRPr="009E0064">
        <w:rPr>
          <w:rFonts w:ascii="Times New Roman" w:eastAsia="Times New Roman" w:hAnsi="Times New Roman" w:cs="Times New Roman"/>
          <w:sz w:val="24"/>
          <w:szCs w:val="24"/>
        </w:rPr>
        <w:t xml:space="preserve"> sea un instrumento de gran importancia para combatir la desigualdad en el país. </w:t>
      </w:r>
    </w:p>
    <w:p w14:paraId="0BA1B05A" w14:textId="2992DB86" w:rsidR="00886CDA" w:rsidRDefault="00A922A7">
      <w:pPr>
        <w:spacing w:line="48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ab/>
      </w:r>
      <w:r w:rsidR="00632005" w:rsidRPr="00B60F59">
        <w:rPr>
          <w:rFonts w:ascii="Times New Roman" w:hAnsi="Times New Roman" w:cs="Times New Roman"/>
          <w:sz w:val="24"/>
          <w:szCs w:val="24"/>
        </w:rPr>
        <w:t>Para poder estudiar a detalle cómo se utilizan estos recursos, en esta tesina me enfocaré en el Fondo Regional (</w:t>
      </w:r>
      <w:proofErr w:type="spellStart"/>
      <w:r w:rsidR="00632005" w:rsidRPr="00B60F59">
        <w:rPr>
          <w:rFonts w:ascii="Times New Roman" w:hAnsi="Times New Roman" w:cs="Times New Roman"/>
          <w:sz w:val="24"/>
          <w:szCs w:val="24"/>
        </w:rPr>
        <w:t>Fonregión</w:t>
      </w:r>
      <w:proofErr w:type="spellEnd"/>
      <w:r w:rsidR="00632005" w:rsidRPr="00B60F59">
        <w:rPr>
          <w:rFonts w:ascii="Times New Roman" w:hAnsi="Times New Roman" w:cs="Times New Roman"/>
          <w:sz w:val="24"/>
          <w:szCs w:val="24"/>
        </w:rPr>
        <w:t xml:space="preserve">). </w:t>
      </w:r>
      <w:r w:rsidR="00632005" w:rsidRPr="00B60F59">
        <w:rPr>
          <w:rFonts w:ascii="Times New Roman" w:eastAsia="Times New Roman" w:hAnsi="Times New Roman" w:cs="Times New Roman"/>
          <w:color w:val="000000"/>
          <w:sz w:val="24"/>
          <w:szCs w:val="24"/>
        </w:rPr>
        <w:t>El Fondo fue creado en 2007 por el Ejecutivo Federal para mitigar la desigualdad entre las entidades federativas del país. A través del Ramo 23, se destinan recursos a las diez entidades con menor Índice de Desarrollo Humano (</w:t>
      </w:r>
      <w:r w:rsidR="00632005" w:rsidRPr="00B60F59">
        <w:rPr>
          <w:rFonts w:ascii="Times New Roman" w:eastAsia="Times New Roman" w:hAnsi="Times New Roman" w:cs="Times New Roman"/>
          <w:sz w:val="24"/>
          <w:szCs w:val="24"/>
        </w:rPr>
        <w:t>Chiapas, Guerrero, Hidalgo, Michoacán, Nayarit, Oaxaca, Puebla, Tlaxcala, Veracruz y Zacatecas</w:t>
      </w:r>
      <w:r w:rsidR="00632005" w:rsidRPr="00B60F59">
        <w:rPr>
          <w:rFonts w:ascii="Times New Roman" w:eastAsia="Times New Roman" w:hAnsi="Times New Roman" w:cs="Times New Roman"/>
          <w:color w:val="000000"/>
          <w:sz w:val="24"/>
          <w:szCs w:val="24"/>
        </w:rPr>
        <w:t>)</w:t>
      </w:r>
      <w:r w:rsidR="00975362">
        <w:rPr>
          <w:rStyle w:val="Refdenotaalpie"/>
          <w:rFonts w:ascii="Times New Roman" w:eastAsia="Times New Roman" w:hAnsi="Times New Roman" w:cs="Times New Roman"/>
          <w:color w:val="000000"/>
          <w:sz w:val="24"/>
          <w:szCs w:val="24"/>
        </w:rPr>
        <w:footnoteReference w:id="11"/>
      </w:r>
      <w:r w:rsidR="00807A1B">
        <w:rPr>
          <w:rFonts w:ascii="Times New Roman" w:eastAsia="Times New Roman" w:hAnsi="Times New Roman" w:cs="Times New Roman"/>
          <w:color w:val="000000"/>
          <w:sz w:val="24"/>
          <w:szCs w:val="24"/>
        </w:rPr>
        <w:t xml:space="preserve"> Guanajuato SLP en lugar de Tlaxcala y Nayarit</w:t>
      </w:r>
      <w:r w:rsidR="00632005" w:rsidRPr="00B60F59">
        <w:rPr>
          <w:rFonts w:ascii="Times New Roman" w:eastAsia="Times New Roman" w:hAnsi="Times New Roman" w:cs="Times New Roman"/>
          <w:color w:val="000000"/>
          <w:sz w:val="24"/>
          <w:szCs w:val="24"/>
        </w:rPr>
        <w:t xml:space="preserve"> para el financiamiento de programas y proyectos de inversión en infraestructura y equipamiento. Es decir, el Fondo intenta mitigar la desigualdad entre entidades federativas y otorgar condiciones necesarias </w:t>
      </w:r>
      <w:r w:rsidR="00632005" w:rsidRPr="00B60F59">
        <w:rPr>
          <w:rFonts w:ascii="Times New Roman" w:eastAsia="Times New Roman" w:hAnsi="Times New Roman" w:cs="Times New Roman"/>
          <w:color w:val="000000"/>
          <w:sz w:val="24"/>
          <w:szCs w:val="24"/>
        </w:rPr>
        <w:lastRenderedPageBreak/>
        <w:t>para el adecuado desarrollo de la población.</w:t>
      </w:r>
      <w:r w:rsidR="00886CDA">
        <w:rPr>
          <w:rFonts w:ascii="Times New Roman" w:eastAsia="Times New Roman" w:hAnsi="Times New Roman" w:cs="Times New Roman"/>
          <w:color w:val="000000"/>
          <w:sz w:val="24"/>
          <w:szCs w:val="24"/>
        </w:rPr>
        <w:t xml:space="preserve"> </w:t>
      </w:r>
      <w:r w:rsidR="001011CA">
        <w:rPr>
          <w:rFonts w:ascii="Times New Roman" w:eastAsia="Times New Roman" w:hAnsi="Times New Roman" w:cs="Times New Roman"/>
          <w:color w:val="000000"/>
          <w:sz w:val="24"/>
          <w:szCs w:val="24"/>
        </w:rPr>
        <w:t xml:space="preserve">Dado su objetivo de equidad y su carácter de transferencia federal, estudiar el Fondo Regional puede ofrecer respuestas a algunas de las principales interrogantes que han surgido en materia de combate a la desigualdad. </w:t>
      </w:r>
    </w:p>
    <w:p w14:paraId="7D02548B" w14:textId="385BC122" w:rsidR="00CD4A34" w:rsidRDefault="001011CA" w:rsidP="00CD4A34">
      <w:pPr>
        <w:spacing w:line="480" w:lineRule="auto"/>
        <w:ind w:firstLine="708"/>
        <w:jc w:val="both"/>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Elijo específicamente dicho </w:t>
      </w:r>
      <w:r w:rsidR="00886CDA">
        <w:rPr>
          <w:rFonts w:ascii="Times New Roman" w:eastAsia="Times New Roman" w:hAnsi="Times New Roman" w:cs="Times New Roman"/>
          <w:color w:val="000000"/>
          <w:sz w:val="24"/>
          <w:szCs w:val="24"/>
        </w:rPr>
        <w:t>fondo</w:t>
      </w:r>
      <w:r>
        <w:rPr>
          <w:rFonts w:ascii="Times New Roman" w:eastAsia="Times New Roman" w:hAnsi="Times New Roman" w:cs="Times New Roman"/>
          <w:color w:val="000000"/>
          <w:sz w:val="24"/>
          <w:szCs w:val="24"/>
        </w:rPr>
        <w:t xml:space="preserve"> </w:t>
      </w:r>
      <w:r w:rsidR="003E4BA0">
        <w:rPr>
          <w:rFonts w:ascii="Times New Roman" w:eastAsia="Times New Roman" w:hAnsi="Times New Roman" w:cs="Times New Roman"/>
          <w:color w:val="000000"/>
          <w:sz w:val="24"/>
          <w:szCs w:val="24"/>
        </w:rPr>
        <w:t xml:space="preserve">no sólo por ejemplificar el principal mecanismo de mitigación de la desigualdad, sino porque también </w:t>
      </w:r>
      <w:r w:rsidR="00632005" w:rsidRPr="00B60F59">
        <w:rPr>
          <w:rFonts w:ascii="Times New Roman" w:eastAsia="Times New Roman" w:hAnsi="Times New Roman" w:cs="Times New Roman"/>
          <w:color w:val="000000"/>
          <w:sz w:val="24"/>
          <w:szCs w:val="24"/>
        </w:rPr>
        <w:t>el objetivo de esta tesina es entender el funcionamiento de los programas o fondos discrecionales en un contexto democrático.</w:t>
      </w:r>
      <w:r w:rsidR="00A922A7">
        <w:rPr>
          <w:rFonts w:ascii="Times New Roman" w:eastAsia="Times New Roman" w:hAnsi="Times New Roman" w:cs="Times New Roman"/>
          <w:color w:val="000000"/>
          <w:sz w:val="24"/>
          <w:szCs w:val="24"/>
        </w:rPr>
        <w:t xml:space="preserve"> </w:t>
      </w:r>
      <w:r w:rsidR="00CD4A34">
        <w:rPr>
          <w:rFonts w:ascii="Times New Roman" w:eastAsia="Times New Roman" w:hAnsi="Times New Roman" w:cs="Times New Roman"/>
          <w:color w:val="000000"/>
          <w:sz w:val="24"/>
          <w:szCs w:val="24"/>
        </w:rPr>
        <w:t xml:space="preserve">En tal contexto </w:t>
      </w:r>
      <w:r w:rsidR="00CD4A34">
        <w:rPr>
          <w:rFonts w:ascii="Times New Roman" w:hAnsi="Times New Roman" w:cs="Times New Roman"/>
          <w:sz w:val="24"/>
          <w:szCs w:val="24"/>
        </w:rPr>
        <w:t>deberían impulsarse mecanismos de redistribución en presencia de desigualdad, pues se buscaría satisfacer la voluntad de las mayorías. D</w:t>
      </w:r>
      <w:r w:rsidR="00CD4A34" w:rsidRPr="00032B73">
        <w:rPr>
          <w:rFonts w:ascii="Times New Roman" w:hAnsi="Times New Roman" w:cs="Times New Roman"/>
          <w:sz w:val="24"/>
          <w:szCs w:val="24"/>
        </w:rPr>
        <w:t xml:space="preserve">e acuerdo con Carles </w:t>
      </w:r>
      <w:proofErr w:type="spellStart"/>
      <w:r w:rsidR="00CD4A34" w:rsidRPr="00032B73">
        <w:rPr>
          <w:rFonts w:ascii="Times New Roman" w:hAnsi="Times New Roman" w:cs="Times New Roman"/>
          <w:sz w:val="24"/>
          <w:szCs w:val="24"/>
        </w:rPr>
        <w:t>Boix</w:t>
      </w:r>
      <w:proofErr w:type="spellEnd"/>
      <w:r w:rsidR="00CD4A34" w:rsidRPr="00032B73">
        <w:rPr>
          <w:rFonts w:ascii="Times New Roman" w:hAnsi="Times New Roman" w:cs="Times New Roman"/>
          <w:sz w:val="24"/>
          <w:szCs w:val="24"/>
        </w:rPr>
        <w:t>, los actor</w:t>
      </w:r>
      <w:r w:rsidR="00CD4A34">
        <w:rPr>
          <w:rFonts w:ascii="Times New Roman" w:hAnsi="Times New Roman" w:cs="Times New Roman"/>
          <w:sz w:val="24"/>
          <w:szCs w:val="24"/>
        </w:rPr>
        <w:t>e</w:t>
      </w:r>
      <w:r w:rsidR="00CD4A34" w:rsidRPr="00032B73">
        <w:rPr>
          <w:rFonts w:ascii="Times New Roman" w:hAnsi="Times New Roman" w:cs="Times New Roman"/>
          <w:sz w:val="24"/>
          <w:szCs w:val="24"/>
        </w:rPr>
        <w:t xml:space="preserve">s </w:t>
      </w:r>
      <w:r w:rsidR="00CD4A34">
        <w:rPr>
          <w:rFonts w:ascii="Times New Roman" w:hAnsi="Times New Roman" w:cs="Times New Roman"/>
          <w:sz w:val="24"/>
          <w:szCs w:val="24"/>
        </w:rPr>
        <w:t>polí</w:t>
      </w:r>
      <w:r w:rsidR="00CD4A34" w:rsidRPr="00032B73">
        <w:rPr>
          <w:rFonts w:ascii="Times New Roman" w:hAnsi="Times New Roman" w:cs="Times New Roman"/>
          <w:sz w:val="24"/>
          <w:szCs w:val="24"/>
        </w:rPr>
        <w:t>ticos buscarán impulsa</w:t>
      </w:r>
      <w:r w:rsidR="00CD4A34">
        <w:rPr>
          <w:rFonts w:ascii="Times New Roman" w:hAnsi="Times New Roman" w:cs="Times New Roman"/>
          <w:sz w:val="24"/>
          <w:szCs w:val="24"/>
        </w:rPr>
        <w:t xml:space="preserve">r mecanismos para instaurar el régimen político que más les favorezca. </w:t>
      </w:r>
      <w:r w:rsidR="00CD4A34" w:rsidRPr="00032B73">
        <w:rPr>
          <w:rFonts w:ascii="Times New Roman" w:hAnsi="Times New Roman" w:cs="Times New Roman"/>
          <w:sz w:val="24"/>
          <w:szCs w:val="24"/>
        </w:rPr>
        <w:t>Es decir, “los individuos con mayor</w:t>
      </w:r>
      <w:r w:rsidR="00CD4A34">
        <w:rPr>
          <w:rFonts w:ascii="Times New Roman" w:hAnsi="Times New Roman" w:cs="Times New Roman"/>
          <w:sz w:val="24"/>
          <w:szCs w:val="24"/>
        </w:rPr>
        <w:t>e</w:t>
      </w:r>
      <w:r w:rsidR="00CD4A34" w:rsidRPr="00032B73">
        <w:rPr>
          <w:rFonts w:ascii="Times New Roman" w:hAnsi="Times New Roman" w:cs="Times New Roman"/>
          <w:sz w:val="24"/>
          <w:szCs w:val="24"/>
        </w:rPr>
        <w:t>s carencias apoyan la democracia, dado que les ofrece una oportunidad</w:t>
      </w:r>
      <w:r w:rsidR="00CD4A34">
        <w:rPr>
          <w:rFonts w:ascii="Times New Roman" w:hAnsi="Times New Roman" w:cs="Times New Roman"/>
          <w:sz w:val="24"/>
          <w:szCs w:val="24"/>
        </w:rPr>
        <w:t xml:space="preserve"> de establecer mecanismos redistributivos en su favor. En contraste, l</w:t>
      </w:r>
      <w:r w:rsidR="00CD4A34" w:rsidRPr="0059773D">
        <w:rPr>
          <w:rFonts w:ascii="Times New Roman" w:hAnsi="Times New Roman" w:cs="Times New Roman"/>
          <w:sz w:val="24"/>
          <w:szCs w:val="24"/>
        </w:rPr>
        <w:t>os ciudadanos de mayor</w:t>
      </w:r>
      <w:r w:rsidR="00CD4A34">
        <w:rPr>
          <w:rFonts w:ascii="Times New Roman" w:hAnsi="Times New Roman" w:cs="Times New Roman"/>
          <w:sz w:val="24"/>
          <w:szCs w:val="24"/>
        </w:rPr>
        <w:t>e</w:t>
      </w:r>
      <w:r w:rsidR="00CD4A34" w:rsidRPr="0059773D">
        <w:rPr>
          <w:rFonts w:ascii="Times New Roman" w:hAnsi="Times New Roman" w:cs="Times New Roman"/>
          <w:sz w:val="24"/>
          <w:szCs w:val="24"/>
        </w:rPr>
        <w:t>s recursos, quienes habrían tenido que sufrir un</w:t>
      </w:r>
      <w:r w:rsidR="00CD4A34">
        <w:rPr>
          <w:rFonts w:ascii="Times New Roman" w:hAnsi="Times New Roman" w:cs="Times New Roman"/>
          <w:sz w:val="24"/>
          <w:szCs w:val="24"/>
        </w:rPr>
        <w:t>a pérdida neta de ingreso, bajo una democracia, apoyarían una estructura constitucional en la que sólo ellos puedan votar”.</w:t>
      </w:r>
      <w:r w:rsidR="00CD4A34">
        <w:rPr>
          <w:rStyle w:val="Refdenotaalpie"/>
          <w:rFonts w:ascii="Times New Roman" w:hAnsi="Times New Roman" w:cs="Times New Roman"/>
          <w:sz w:val="24"/>
          <w:szCs w:val="24"/>
        </w:rPr>
        <w:footnoteReference w:id="12"/>
      </w:r>
      <w:r w:rsidR="00CD4A34">
        <w:rPr>
          <w:rFonts w:ascii="Times New Roman" w:hAnsi="Times New Roman" w:cs="Times New Roman"/>
          <w:sz w:val="24"/>
          <w:szCs w:val="24"/>
        </w:rPr>
        <w:t xml:space="preserve"> Esto generaría que si los poderosos conservan el poder sobre las asignaciones discrecionales es probable que traten de favorecerse y obtener beneficios entre los que se incluye conservar el nicho de votantes que les proporciona el arreglo democrático existente, en vez de atender las necesidades socioeconómicas de la población. </w:t>
      </w:r>
    </w:p>
    <w:p w14:paraId="14CB69B6" w14:textId="7E040C80" w:rsidR="0096687D" w:rsidRDefault="0096687D" w:rsidP="0096687D">
      <w:pPr>
        <w:spacing w:line="480" w:lineRule="auto"/>
        <w:ind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 este sentido</w:t>
      </w:r>
      <w:r w:rsidR="001E4097">
        <w:rPr>
          <w:rFonts w:ascii="Times New Roman" w:eastAsia="Times New Roman" w:hAnsi="Times New Roman" w:cs="Times New Roman"/>
          <w:color w:val="000000"/>
          <w:sz w:val="24"/>
          <w:szCs w:val="24"/>
        </w:rPr>
        <w:t xml:space="preserve"> </w:t>
      </w:r>
      <w:r w:rsidR="003E4BA0">
        <w:rPr>
          <w:rFonts w:ascii="Times New Roman" w:eastAsia="Times New Roman" w:hAnsi="Times New Roman" w:cs="Times New Roman"/>
          <w:color w:val="000000"/>
          <w:sz w:val="24"/>
          <w:szCs w:val="24"/>
        </w:rPr>
        <w:t>busco estudiar cómo afectan las distorsiones distributi</w:t>
      </w:r>
      <w:r w:rsidR="0086308B">
        <w:rPr>
          <w:rFonts w:ascii="Times New Roman" w:eastAsia="Times New Roman" w:hAnsi="Times New Roman" w:cs="Times New Roman"/>
          <w:color w:val="000000"/>
          <w:sz w:val="24"/>
          <w:szCs w:val="24"/>
        </w:rPr>
        <w:t>vas en contextos de desigualdad al gasto federalizado.</w:t>
      </w:r>
      <w:r w:rsidR="003E4BA0">
        <w:rPr>
          <w:rFonts w:ascii="Times New Roman" w:eastAsia="Times New Roman" w:hAnsi="Times New Roman" w:cs="Times New Roman"/>
          <w:color w:val="000000"/>
          <w:sz w:val="24"/>
          <w:szCs w:val="24"/>
        </w:rPr>
        <w:t xml:space="preserve"> Por distor</w:t>
      </w:r>
      <w:r w:rsidR="0086308B">
        <w:rPr>
          <w:rFonts w:ascii="Times New Roman" w:eastAsia="Times New Roman" w:hAnsi="Times New Roman" w:cs="Times New Roman"/>
          <w:color w:val="000000"/>
          <w:sz w:val="24"/>
          <w:szCs w:val="24"/>
        </w:rPr>
        <w:t>siones distributivas me refiero a que los recursos no se asignen con base en los objetivos para los que fueron planeados y, por ello, no los estén cumpliendo.</w:t>
      </w:r>
      <w:r w:rsidR="00CD4A34">
        <w:rPr>
          <w:rFonts w:ascii="Times New Roman" w:eastAsia="Times New Roman" w:hAnsi="Times New Roman" w:cs="Times New Roman"/>
          <w:color w:val="000000"/>
          <w:sz w:val="24"/>
          <w:szCs w:val="24"/>
        </w:rPr>
        <w:t xml:space="preserve"> </w:t>
      </w:r>
      <w:r w:rsidR="00CD4A34">
        <w:rPr>
          <w:rFonts w:ascii="Times New Roman" w:hAnsi="Times New Roman" w:cs="Times New Roman"/>
          <w:sz w:val="24"/>
          <w:szCs w:val="24"/>
        </w:rPr>
        <w:t xml:space="preserve">Así pues, la problemática general se inserta dentro de un </w:t>
      </w:r>
      <w:r w:rsidR="00CD4A34">
        <w:rPr>
          <w:rFonts w:ascii="Times New Roman" w:hAnsi="Times New Roman" w:cs="Times New Roman"/>
          <w:sz w:val="24"/>
          <w:szCs w:val="24"/>
        </w:rPr>
        <w:lastRenderedPageBreak/>
        <w:t xml:space="preserve">continuo que va desde tener reglas de </w:t>
      </w:r>
      <w:proofErr w:type="gramStart"/>
      <w:r w:rsidR="00CD4A34">
        <w:rPr>
          <w:rFonts w:ascii="Times New Roman" w:hAnsi="Times New Roman" w:cs="Times New Roman"/>
          <w:sz w:val="24"/>
          <w:szCs w:val="24"/>
        </w:rPr>
        <w:t>distribución claras e inflexibles</w:t>
      </w:r>
      <w:proofErr w:type="gramEnd"/>
      <w:r w:rsidR="00CD4A34">
        <w:rPr>
          <w:rFonts w:ascii="Times New Roman" w:hAnsi="Times New Roman" w:cs="Times New Roman"/>
          <w:sz w:val="24"/>
          <w:szCs w:val="24"/>
        </w:rPr>
        <w:t>, hasta contar con mecanismos discrecionales de distribución.</w:t>
      </w:r>
      <w:r w:rsidR="009D01DC">
        <w:rPr>
          <w:rFonts w:ascii="Times New Roman" w:eastAsia="Times New Roman" w:hAnsi="Times New Roman" w:cs="Times New Roman"/>
          <w:color w:val="000000"/>
          <w:sz w:val="24"/>
          <w:szCs w:val="24"/>
        </w:rPr>
        <w:t xml:space="preserve"> </w:t>
      </w:r>
      <w:r w:rsidR="00CD4A34">
        <w:rPr>
          <w:rFonts w:ascii="Times New Roman" w:eastAsia="Times New Roman" w:hAnsi="Times New Roman" w:cs="Times New Roman"/>
          <w:color w:val="000000"/>
          <w:sz w:val="24"/>
          <w:szCs w:val="24"/>
        </w:rPr>
        <w:t>Mientras que las fórmulas permiten contar con criterios claros de asignación preestablecidos y, por tanto, impacta</w:t>
      </w:r>
      <w:r>
        <w:rPr>
          <w:rFonts w:ascii="Times New Roman" w:eastAsia="Times New Roman" w:hAnsi="Times New Roman" w:cs="Times New Roman"/>
          <w:color w:val="000000"/>
          <w:sz w:val="24"/>
          <w:szCs w:val="24"/>
        </w:rPr>
        <w:t>r en las variables que se busca atender, el contar con criterios discrecionales normalmente se acompaña de poca información y de criterios flexibles que pueden cambiar en cualquier momento sin responder, necesariamente, a los problemas objetivo de los programas. Ello no quiere decir que todas las fórmulas alcanzarán los objetivos de política pública, pues puede ser que exista algún sesgo discrecional en su elaboración, o bien que no hayan sido calculadas de forma correcta. Sin embargo, lo que sí nos brindan es mayor información sobre la asignación de los recursos, lo cual ya es una ventaja para la evaluación de la política pública.</w:t>
      </w:r>
    </w:p>
    <w:p w14:paraId="697EF0F1" w14:textId="77777777" w:rsidR="00B50552" w:rsidRDefault="00B50552" w:rsidP="00B50552">
      <w:pPr>
        <w:spacing w:after="0" w:line="48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problema de tener </w:t>
      </w:r>
      <w:r w:rsidRPr="00B60F59">
        <w:rPr>
          <w:rFonts w:ascii="Times New Roman" w:eastAsia="Times New Roman" w:hAnsi="Times New Roman" w:cs="Times New Roman"/>
          <w:sz w:val="24"/>
          <w:szCs w:val="24"/>
        </w:rPr>
        <w:t>distorsión distributiva en contextos de alta desigualdad</w:t>
      </w:r>
      <w:r>
        <w:rPr>
          <w:rFonts w:ascii="Times New Roman" w:eastAsia="Times New Roman" w:hAnsi="Times New Roman" w:cs="Times New Roman"/>
          <w:sz w:val="24"/>
          <w:szCs w:val="24"/>
        </w:rPr>
        <w:t xml:space="preserve"> implica que</w:t>
      </w:r>
      <w:r w:rsidRPr="00C9496D">
        <w:rPr>
          <w:rFonts w:ascii="Times New Roman" w:eastAsia="Times New Roman" w:hAnsi="Times New Roman" w:cs="Times New Roman"/>
          <w:sz w:val="24"/>
          <w:szCs w:val="24"/>
        </w:rPr>
        <w:t xml:space="preserve"> la presencia de discrecionalidad</w:t>
      </w:r>
      <w:r w:rsidRPr="00B60F59">
        <w:rPr>
          <w:rFonts w:ascii="Times New Roman" w:eastAsia="Times New Roman" w:hAnsi="Times New Roman" w:cs="Times New Roman"/>
          <w:sz w:val="24"/>
          <w:szCs w:val="24"/>
        </w:rPr>
        <w:t xml:space="preserve"> per </w:t>
      </w:r>
      <w:r w:rsidRPr="00C9496D">
        <w:rPr>
          <w:rFonts w:ascii="Times New Roman" w:eastAsia="Times New Roman" w:hAnsi="Times New Roman" w:cs="Times New Roman"/>
          <w:sz w:val="24"/>
          <w:szCs w:val="24"/>
        </w:rPr>
        <w:t xml:space="preserve">se, no es un problema; siempre y cuando se cumplan los objetivos de mejora en la </w:t>
      </w:r>
      <w:r>
        <w:rPr>
          <w:rFonts w:ascii="Times New Roman" w:eastAsia="Times New Roman" w:hAnsi="Times New Roman" w:cs="Times New Roman"/>
          <w:sz w:val="24"/>
          <w:szCs w:val="24"/>
        </w:rPr>
        <w:t>calidad de vida de los habitantes y no se excluya de los beneficios a la población potencial.</w:t>
      </w:r>
      <w:r w:rsidRPr="00C9496D">
        <w:rPr>
          <w:rFonts w:ascii="Times New Roman" w:eastAsia="Times New Roman" w:hAnsi="Times New Roman" w:cs="Times New Roman"/>
          <w:sz w:val="24"/>
          <w:szCs w:val="24"/>
        </w:rPr>
        <w:t xml:space="preserve"> El propio juego democrático probablemente llevaría a dotar de infraestructura a los municipios más desaventajados, si consideramos que el beneficio </w:t>
      </w:r>
      <w:r>
        <w:rPr>
          <w:rFonts w:ascii="Times New Roman" w:eastAsia="Times New Roman" w:hAnsi="Times New Roman" w:cs="Times New Roman"/>
          <w:sz w:val="24"/>
          <w:szCs w:val="24"/>
        </w:rPr>
        <w:t xml:space="preserve">electoral </w:t>
      </w:r>
      <w:r w:rsidRPr="00C9496D">
        <w:rPr>
          <w:rFonts w:ascii="Times New Roman" w:eastAsia="Times New Roman" w:hAnsi="Times New Roman" w:cs="Times New Roman"/>
          <w:sz w:val="24"/>
          <w:szCs w:val="24"/>
        </w:rPr>
        <w:t xml:space="preserve">marginal del gasto es mayor en regiones pobres. Sin embargo, la discrecionalidad puede distorsionar los objetivos que se buscan alcanzar con determinado </w:t>
      </w:r>
      <w:r>
        <w:rPr>
          <w:rFonts w:ascii="Times New Roman" w:eastAsia="Times New Roman" w:hAnsi="Times New Roman" w:cs="Times New Roman"/>
          <w:sz w:val="24"/>
          <w:szCs w:val="24"/>
        </w:rPr>
        <w:t xml:space="preserve">programa o, en este caso, fondo, dependiendo de quiénes sean los beneficiarios reales de los recursos de dicho programa. </w:t>
      </w:r>
    </w:p>
    <w:p w14:paraId="5F2A638A" w14:textId="1A279A59" w:rsidR="001866C9" w:rsidRPr="00687D5D" w:rsidRDefault="0096687D" w:rsidP="00687D5D">
      <w:pPr>
        <w:spacing w:line="480" w:lineRule="auto"/>
        <w:ind w:firstLine="708"/>
        <w:jc w:val="both"/>
        <w:rPr>
          <w:rFonts w:ascii="Times New Roman" w:hAnsi="Times New Roman" w:cs="Times New Roman"/>
          <w:sz w:val="24"/>
          <w:szCs w:val="24"/>
        </w:rPr>
      </w:pPr>
      <w:r>
        <w:rPr>
          <w:rFonts w:ascii="Times New Roman" w:eastAsia="Times New Roman" w:hAnsi="Times New Roman" w:cs="Times New Roman"/>
          <w:color w:val="000000"/>
          <w:sz w:val="24"/>
          <w:szCs w:val="24"/>
        </w:rPr>
        <w:t>Con base en lo anterior, e</w:t>
      </w:r>
      <w:r w:rsidR="009D01DC">
        <w:rPr>
          <w:rFonts w:ascii="Times New Roman" w:eastAsia="Times New Roman" w:hAnsi="Times New Roman" w:cs="Times New Roman"/>
          <w:color w:val="000000"/>
          <w:sz w:val="24"/>
          <w:szCs w:val="24"/>
        </w:rPr>
        <w:t xml:space="preserve">l </w:t>
      </w:r>
      <w:proofErr w:type="spellStart"/>
      <w:r w:rsidR="009D01DC">
        <w:rPr>
          <w:rFonts w:ascii="Times New Roman" w:eastAsia="Times New Roman" w:hAnsi="Times New Roman" w:cs="Times New Roman"/>
          <w:color w:val="000000"/>
          <w:sz w:val="24"/>
          <w:szCs w:val="24"/>
        </w:rPr>
        <w:t>Fonregión</w:t>
      </w:r>
      <w:proofErr w:type="spellEnd"/>
      <w:r w:rsidR="009D01DC">
        <w:rPr>
          <w:rFonts w:ascii="Times New Roman" w:eastAsia="Times New Roman" w:hAnsi="Times New Roman" w:cs="Times New Roman"/>
          <w:color w:val="000000"/>
          <w:sz w:val="24"/>
          <w:szCs w:val="24"/>
        </w:rPr>
        <w:t xml:space="preserve"> s</w:t>
      </w:r>
      <w:r>
        <w:rPr>
          <w:rFonts w:ascii="Times New Roman" w:eastAsia="Times New Roman" w:hAnsi="Times New Roman" w:cs="Times New Roman"/>
          <w:color w:val="000000"/>
          <w:sz w:val="24"/>
          <w:szCs w:val="24"/>
        </w:rPr>
        <w:t>irve perfectamente para el análisis que se propone en esta tesina</w:t>
      </w:r>
      <w:r w:rsidR="009D01DC">
        <w:rPr>
          <w:rFonts w:ascii="Times New Roman" w:eastAsia="Times New Roman" w:hAnsi="Times New Roman" w:cs="Times New Roman"/>
          <w:color w:val="000000"/>
          <w:sz w:val="24"/>
          <w:szCs w:val="24"/>
        </w:rPr>
        <w:t>, dado que es un fondo discrecional</w:t>
      </w:r>
      <w:r w:rsidR="009D28A9">
        <w:rPr>
          <w:rFonts w:ascii="Times New Roman" w:eastAsia="Times New Roman" w:hAnsi="Times New Roman" w:cs="Times New Roman"/>
          <w:color w:val="000000"/>
          <w:sz w:val="24"/>
          <w:szCs w:val="24"/>
        </w:rPr>
        <w:t xml:space="preserve"> que puede utilizarse para objetivos</w:t>
      </w:r>
      <w:r w:rsidR="009D01DC">
        <w:rPr>
          <w:rFonts w:ascii="Times New Roman" w:eastAsia="Times New Roman" w:hAnsi="Times New Roman" w:cs="Times New Roman"/>
          <w:color w:val="000000"/>
          <w:sz w:val="24"/>
          <w:szCs w:val="24"/>
        </w:rPr>
        <w:t xml:space="preserve"> distintos al combate a la desigualdad, como se </w:t>
      </w:r>
      <w:r w:rsidR="00C733F8">
        <w:rPr>
          <w:rFonts w:ascii="Times New Roman" w:eastAsia="Times New Roman" w:hAnsi="Times New Roman" w:cs="Times New Roman"/>
          <w:color w:val="000000"/>
          <w:sz w:val="24"/>
          <w:szCs w:val="24"/>
        </w:rPr>
        <w:t>verá</w:t>
      </w:r>
      <w:r w:rsidR="009D01DC">
        <w:rPr>
          <w:rFonts w:ascii="Times New Roman" w:eastAsia="Times New Roman" w:hAnsi="Times New Roman" w:cs="Times New Roman"/>
          <w:color w:val="000000"/>
          <w:sz w:val="24"/>
          <w:szCs w:val="24"/>
        </w:rPr>
        <w:t xml:space="preserve"> en la siguiente sección. </w:t>
      </w:r>
      <w:r>
        <w:rPr>
          <w:rFonts w:ascii="Times New Roman" w:hAnsi="Times New Roman" w:cs="Times New Roman"/>
          <w:sz w:val="24"/>
          <w:szCs w:val="24"/>
        </w:rPr>
        <w:t xml:space="preserve">Al no </w:t>
      </w:r>
      <w:r>
        <w:rPr>
          <w:rFonts w:ascii="Times New Roman" w:hAnsi="Times New Roman" w:cs="Times New Roman"/>
          <w:sz w:val="24"/>
          <w:szCs w:val="24"/>
        </w:rPr>
        <w:lastRenderedPageBreak/>
        <w:t>contar con fórmulas de distribución que tomen en cuenta las características de los municipios beneficiados, es probable que se estén generando resultados regresivos, como se pondrá a prueba en esta tesina.</w:t>
      </w:r>
    </w:p>
    <w:p w14:paraId="0B087EAB" w14:textId="2F4712CA" w:rsidR="00703699" w:rsidRDefault="00B50552" w:rsidP="00703699">
      <w:pPr>
        <w:spacing w:after="0" w:line="480" w:lineRule="auto"/>
        <w:ind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De esta manera resulta </w:t>
      </w:r>
      <w:r w:rsidR="00632005" w:rsidRPr="00B60F59">
        <w:rPr>
          <w:rFonts w:ascii="Times New Roman" w:eastAsia="Times New Roman" w:hAnsi="Times New Roman" w:cs="Times New Roman"/>
          <w:sz w:val="24"/>
          <w:szCs w:val="24"/>
        </w:rPr>
        <w:t>importante tener claro ¿con base en qué criterios se asignan los recursos y proyectos del Fondo Regional? De cumplir co</w:t>
      </w:r>
      <w:r w:rsidR="00703699" w:rsidRPr="00C22772">
        <w:rPr>
          <w:rFonts w:ascii="Times New Roman" w:eastAsia="Times New Roman" w:hAnsi="Times New Roman" w:cs="Times New Roman"/>
          <w:color w:val="000000"/>
          <w:sz w:val="24"/>
          <w:szCs w:val="24"/>
        </w:rPr>
        <w:t xml:space="preserve">n sus objetivos de combate a la </w:t>
      </w:r>
      <w:r w:rsidR="00703699">
        <w:rPr>
          <w:rFonts w:ascii="Times New Roman" w:eastAsia="Times New Roman" w:hAnsi="Times New Roman" w:cs="Times New Roman"/>
          <w:color w:val="000000"/>
          <w:sz w:val="24"/>
          <w:szCs w:val="24"/>
        </w:rPr>
        <w:t>desigualdad</w:t>
      </w:r>
      <w:r w:rsidR="00703699" w:rsidRPr="00C22772">
        <w:rPr>
          <w:rFonts w:ascii="Times New Roman" w:eastAsia="Times New Roman" w:hAnsi="Times New Roman" w:cs="Times New Roman"/>
          <w:color w:val="000000"/>
          <w:sz w:val="24"/>
          <w:szCs w:val="24"/>
        </w:rPr>
        <w:t xml:space="preserve">, deberíamos observar su asignación con </w:t>
      </w:r>
      <w:r w:rsidR="00703699">
        <w:rPr>
          <w:rFonts w:ascii="Times New Roman" w:eastAsia="Times New Roman" w:hAnsi="Times New Roman" w:cs="Times New Roman"/>
          <w:color w:val="000000"/>
          <w:sz w:val="24"/>
          <w:szCs w:val="24"/>
        </w:rPr>
        <w:t xml:space="preserve">base en criterios socioeconómicos (principalmente el IDH) </w:t>
      </w:r>
      <w:r w:rsidR="00703699" w:rsidRPr="00C22772">
        <w:rPr>
          <w:rFonts w:ascii="Times New Roman" w:eastAsia="Times New Roman" w:hAnsi="Times New Roman" w:cs="Times New Roman"/>
          <w:color w:val="000000"/>
          <w:sz w:val="24"/>
          <w:szCs w:val="24"/>
        </w:rPr>
        <w:t>hacia los municipios con mayores carencias. Sin embargo</w:t>
      </w:r>
      <w:r w:rsidR="00703699">
        <w:rPr>
          <w:rFonts w:ascii="Times New Roman" w:eastAsia="Times New Roman" w:hAnsi="Times New Roman" w:cs="Times New Roman"/>
          <w:color w:val="000000"/>
          <w:sz w:val="24"/>
          <w:szCs w:val="24"/>
        </w:rPr>
        <w:t xml:space="preserve">, el argumento que intentaré </w:t>
      </w:r>
      <w:r w:rsidR="00703699" w:rsidRPr="00C22772">
        <w:rPr>
          <w:rFonts w:ascii="Times New Roman" w:eastAsia="Times New Roman" w:hAnsi="Times New Roman" w:cs="Times New Roman"/>
          <w:color w:val="000000"/>
          <w:sz w:val="24"/>
          <w:szCs w:val="24"/>
        </w:rPr>
        <w:t>probar se refiere</w:t>
      </w:r>
      <w:r w:rsidR="00703699">
        <w:rPr>
          <w:rFonts w:ascii="Times New Roman" w:eastAsia="Times New Roman" w:hAnsi="Times New Roman" w:cs="Times New Roman"/>
          <w:color w:val="000000"/>
          <w:sz w:val="24"/>
          <w:szCs w:val="24"/>
        </w:rPr>
        <w:t xml:space="preserve"> </w:t>
      </w:r>
      <w:r w:rsidR="00703699" w:rsidRPr="00C22772">
        <w:rPr>
          <w:rFonts w:ascii="Times New Roman" w:eastAsia="Times New Roman" w:hAnsi="Times New Roman" w:cs="Times New Roman"/>
          <w:color w:val="000000"/>
          <w:sz w:val="24"/>
          <w:szCs w:val="24"/>
        </w:rPr>
        <w:t>a que</w:t>
      </w:r>
      <w:r w:rsidR="00703699">
        <w:rPr>
          <w:rFonts w:ascii="Times New Roman" w:eastAsia="Times New Roman" w:hAnsi="Times New Roman" w:cs="Times New Roman"/>
          <w:color w:val="000000"/>
          <w:sz w:val="24"/>
          <w:szCs w:val="24"/>
        </w:rPr>
        <w:t>, si bien</w:t>
      </w:r>
      <w:r w:rsidR="00703699" w:rsidRPr="00C22772">
        <w:rPr>
          <w:rFonts w:ascii="Times New Roman" w:eastAsia="Times New Roman" w:hAnsi="Times New Roman" w:cs="Times New Roman"/>
          <w:color w:val="000000"/>
          <w:sz w:val="24"/>
          <w:szCs w:val="24"/>
        </w:rPr>
        <w:t xml:space="preserve"> los gobernadores </w:t>
      </w:r>
      <w:r w:rsidR="00703699">
        <w:rPr>
          <w:rFonts w:ascii="Times New Roman" w:eastAsia="Times New Roman" w:hAnsi="Times New Roman" w:cs="Times New Roman"/>
          <w:color w:val="000000"/>
          <w:sz w:val="24"/>
          <w:szCs w:val="24"/>
        </w:rPr>
        <w:t xml:space="preserve">toman en cuenta los factores sociales para asignar proyectos y recursos, en realidad gran parte de su asignación se basa </w:t>
      </w:r>
      <w:r w:rsidR="00703699" w:rsidRPr="00C22772">
        <w:rPr>
          <w:rFonts w:ascii="Times New Roman" w:eastAsia="Times New Roman" w:hAnsi="Times New Roman" w:cs="Times New Roman"/>
          <w:color w:val="000000"/>
          <w:sz w:val="24"/>
          <w:szCs w:val="24"/>
        </w:rPr>
        <w:t>en cálculos políticos</w:t>
      </w:r>
      <w:r w:rsidR="00703699">
        <w:rPr>
          <w:rFonts w:ascii="Times New Roman" w:eastAsia="Times New Roman" w:hAnsi="Times New Roman" w:cs="Times New Roman"/>
          <w:color w:val="000000"/>
          <w:sz w:val="24"/>
          <w:szCs w:val="24"/>
        </w:rPr>
        <w:t xml:space="preserve"> qu</w:t>
      </w:r>
      <w:r w:rsidR="00574E4F">
        <w:rPr>
          <w:rFonts w:ascii="Times New Roman" w:eastAsia="Times New Roman" w:hAnsi="Times New Roman" w:cs="Times New Roman"/>
          <w:color w:val="000000"/>
          <w:sz w:val="24"/>
          <w:szCs w:val="24"/>
        </w:rPr>
        <w:t>e los beneficien electoralmente</w:t>
      </w:r>
      <w:r w:rsidR="00703699">
        <w:rPr>
          <w:rFonts w:ascii="Times New Roman" w:eastAsia="Times New Roman" w:hAnsi="Times New Roman" w:cs="Times New Roman"/>
          <w:color w:val="000000"/>
          <w:sz w:val="24"/>
          <w:szCs w:val="24"/>
        </w:rPr>
        <w:t xml:space="preserve"> en el corto o mediano plazos. En primera instancia me enfocaré en el papel de los gobernadores, pues son ellos quienes deciden </w:t>
      </w:r>
      <w:r w:rsidR="00703699">
        <w:rPr>
          <w:rFonts w:ascii="Times New Roman" w:eastAsia="Times New Roman" w:hAnsi="Times New Roman" w:cs="Times New Roman"/>
          <w:i/>
          <w:color w:val="000000"/>
          <w:sz w:val="24"/>
          <w:szCs w:val="24"/>
        </w:rPr>
        <w:t>de facto</w:t>
      </w:r>
      <w:r w:rsidR="00703699">
        <w:rPr>
          <w:rFonts w:ascii="Times New Roman" w:eastAsia="Times New Roman" w:hAnsi="Times New Roman" w:cs="Times New Roman"/>
          <w:color w:val="000000"/>
          <w:sz w:val="24"/>
          <w:szCs w:val="24"/>
        </w:rPr>
        <w:t xml:space="preserve"> sobre el destino de los recursos del Fondo </w:t>
      </w:r>
      <w:r w:rsidR="00632005" w:rsidRPr="00B60F59">
        <w:rPr>
          <w:rFonts w:ascii="Times New Roman" w:eastAsia="Times New Roman" w:hAnsi="Times New Roman" w:cs="Times New Roman"/>
          <w:color w:val="000000"/>
          <w:sz w:val="24"/>
          <w:szCs w:val="24"/>
        </w:rPr>
        <w:t>al interior de los estados</w:t>
      </w:r>
      <w:r w:rsidR="004B4789">
        <w:rPr>
          <w:rFonts w:ascii="Times New Roman" w:eastAsia="Times New Roman" w:hAnsi="Times New Roman" w:cs="Times New Roman"/>
          <w:color w:val="000000"/>
          <w:sz w:val="24"/>
          <w:szCs w:val="24"/>
        </w:rPr>
        <w:t>.</w:t>
      </w:r>
      <w:r w:rsidR="00703699">
        <w:rPr>
          <w:rFonts w:ascii="Times New Roman" w:eastAsia="Times New Roman" w:hAnsi="Times New Roman" w:cs="Times New Roman"/>
          <w:color w:val="000000"/>
          <w:sz w:val="24"/>
          <w:szCs w:val="24"/>
        </w:rPr>
        <w:t xml:space="preserve"> </w:t>
      </w:r>
    </w:p>
    <w:p w14:paraId="5FF018C5" w14:textId="36E617A1" w:rsidR="00E7103E" w:rsidRDefault="003B50DF" w:rsidP="00B60F59">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Cabe</w:t>
      </w:r>
      <w:r w:rsidRPr="00130723">
        <w:rPr>
          <w:rFonts w:ascii="Times New Roman" w:hAnsi="Times New Roman" w:cs="Times New Roman"/>
          <w:sz w:val="24"/>
          <w:szCs w:val="24"/>
        </w:rPr>
        <w:t xml:space="preserve"> aclarar que</w:t>
      </w:r>
      <w:r w:rsidR="00574E4F">
        <w:rPr>
          <w:rFonts w:ascii="Times New Roman" w:hAnsi="Times New Roman" w:cs="Times New Roman"/>
          <w:sz w:val="24"/>
          <w:szCs w:val="24"/>
        </w:rPr>
        <w:t xml:space="preserve"> en esta tesina abordaré exclusivamente</w:t>
      </w:r>
      <w:r w:rsidRPr="00130723">
        <w:rPr>
          <w:rFonts w:ascii="Times New Roman" w:hAnsi="Times New Roman" w:cs="Times New Roman"/>
          <w:sz w:val="24"/>
          <w:szCs w:val="24"/>
        </w:rPr>
        <w:t xml:space="preserve"> la asignación de los recursos y proyectos, no en lo que se gasta en realidad. Si a final de cuentas el dinero no llega o no se ejerce de manera correcta, es un problema de implementación o corrupción que sobr</w:t>
      </w:r>
      <w:r w:rsidR="00687D5D">
        <w:rPr>
          <w:rFonts w:ascii="Times New Roman" w:hAnsi="Times New Roman" w:cs="Times New Roman"/>
          <w:sz w:val="24"/>
          <w:szCs w:val="24"/>
        </w:rPr>
        <w:t>epasa los límites de esta investigación</w:t>
      </w:r>
      <w:r w:rsidRPr="00130723">
        <w:rPr>
          <w:rFonts w:ascii="Times New Roman" w:hAnsi="Times New Roman" w:cs="Times New Roman"/>
          <w:sz w:val="24"/>
          <w:szCs w:val="24"/>
        </w:rPr>
        <w:t>.</w:t>
      </w:r>
      <w:r>
        <w:rPr>
          <w:rFonts w:ascii="Times New Roman" w:hAnsi="Times New Roman" w:cs="Times New Roman"/>
          <w:sz w:val="24"/>
          <w:szCs w:val="24"/>
        </w:rPr>
        <w:t xml:space="preserve"> A pesar de e</w:t>
      </w:r>
      <w:r w:rsidRPr="00FC3F64">
        <w:rPr>
          <w:rFonts w:ascii="Times New Roman" w:hAnsi="Times New Roman" w:cs="Times New Roman"/>
          <w:sz w:val="24"/>
          <w:szCs w:val="24"/>
        </w:rPr>
        <w:t>ll</w:t>
      </w:r>
      <w:r>
        <w:rPr>
          <w:rFonts w:ascii="Times New Roman" w:hAnsi="Times New Roman" w:cs="Times New Roman"/>
          <w:sz w:val="24"/>
          <w:szCs w:val="24"/>
        </w:rPr>
        <w:t xml:space="preserve">o, no dejo de reconocer que </w:t>
      </w:r>
      <w:r w:rsidRPr="00FC3F64">
        <w:rPr>
          <w:rFonts w:ascii="Times New Roman" w:hAnsi="Times New Roman" w:cs="Times New Roman"/>
          <w:sz w:val="24"/>
          <w:szCs w:val="24"/>
        </w:rPr>
        <w:t>l</w:t>
      </w:r>
      <w:r>
        <w:rPr>
          <w:rFonts w:ascii="Times New Roman" w:hAnsi="Times New Roman" w:cs="Times New Roman"/>
          <w:sz w:val="24"/>
          <w:szCs w:val="24"/>
        </w:rPr>
        <w:t>a asignación es en rea</w:t>
      </w:r>
      <w:r w:rsidRPr="00FC3F64">
        <w:rPr>
          <w:rFonts w:ascii="Times New Roman" w:hAnsi="Times New Roman" w:cs="Times New Roman"/>
          <w:sz w:val="24"/>
          <w:szCs w:val="24"/>
        </w:rPr>
        <w:t>l</w:t>
      </w:r>
      <w:r>
        <w:rPr>
          <w:rFonts w:ascii="Times New Roman" w:hAnsi="Times New Roman" w:cs="Times New Roman"/>
          <w:sz w:val="24"/>
          <w:szCs w:val="24"/>
        </w:rPr>
        <w:t>idad una co</w:t>
      </w:r>
      <w:r w:rsidR="00574E4F">
        <w:rPr>
          <w:rFonts w:ascii="Times New Roman" w:hAnsi="Times New Roman" w:cs="Times New Roman"/>
          <w:sz w:val="24"/>
          <w:szCs w:val="24"/>
        </w:rPr>
        <w:t xml:space="preserve">ndición necesaria, </w:t>
      </w:r>
      <w:proofErr w:type="gramStart"/>
      <w:r w:rsidR="00574E4F">
        <w:rPr>
          <w:rFonts w:ascii="Times New Roman" w:hAnsi="Times New Roman" w:cs="Times New Roman"/>
          <w:sz w:val="24"/>
          <w:szCs w:val="24"/>
        </w:rPr>
        <w:t>ma</w:t>
      </w:r>
      <w:r>
        <w:rPr>
          <w:rFonts w:ascii="Times New Roman" w:hAnsi="Times New Roman" w:cs="Times New Roman"/>
          <w:sz w:val="24"/>
          <w:szCs w:val="24"/>
        </w:rPr>
        <w:t>s</w:t>
      </w:r>
      <w:proofErr w:type="gramEnd"/>
      <w:r>
        <w:rPr>
          <w:rFonts w:ascii="Times New Roman" w:hAnsi="Times New Roman" w:cs="Times New Roman"/>
          <w:sz w:val="24"/>
          <w:szCs w:val="24"/>
        </w:rPr>
        <w:t xml:space="preserve"> no suficiente para </w:t>
      </w:r>
      <w:r w:rsidRPr="00FC3F64">
        <w:rPr>
          <w:rFonts w:ascii="Times New Roman" w:hAnsi="Times New Roman" w:cs="Times New Roman"/>
          <w:sz w:val="24"/>
          <w:szCs w:val="24"/>
        </w:rPr>
        <w:t>l</w:t>
      </w:r>
      <w:r>
        <w:rPr>
          <w:rFonts w:ascii="Times New Roman" w:hAnsi="Times New Roman" w:cs="Times New Roman"/>
          <w:sz w:val="24"/>
          <w:szCs w:val="24"/>
        </w:rPr>
        <w:t>a efectividad instrumenta</w:t>
      </w:r>
      <w:r w:rsidRPr="00FC3F64">
        <w:rPr>
          <w:rFonts w:ascii="Times New Roman" w:hAnsi="Times New Roman" w:cs="Times New Roman"/>
          <w:sz w:val="24"/>
          <w:szCs w:val="24"/>
        </w:rPr>
        <w:t>l</w:t>
      </w:r>
      <w:r>
        <w:rPr>
          <w:rFonts w:ascii="Times New Roman" w:hAnsi="Times New Roman" w:cs="Times New Roman"/>
          <w:sz w:val="24"/>
          <w:szCs w:val="24"/>
        </w:rPr>
        <w:t xml:space="preserve"> de</w:t>
      </w:r>
      <w:r w:rsidRPr="004B4377">
        <w:rPr>
          <w:rFonts w:ascii="Times New Roman" w:hAnsi="Times New Roman" w:cs="Times New Roman"/>
          <w:sz w:val="24"/>
          <w:szCs w:val="24"/>
        </w:rPr>
        <w:t>l</w:t>
      </w:r>
      <w:r>
        <w:rPr>
          <w:rFonts w:ascii="Times New Roman" w:hAnsi="Times New Roman" w:cs="Times New Roman"/>
          <w:sz w:val="24"/>
          <w:szCs w:val="24"/>
        </w:rPr>
        <w:t xml:space="preserve"> gasto, por </w:t>
      </w:r>
      <w:r w:rsidRPr="004B4377">
        <w:rPr>
          <w:rFonts w:ascii="Times New Roman" w:hAnsi="Times New Roman" w:cs="Times New Roman"/>
          <w:sz w:val="24"/>
          <w:szCs w:val="24"/>
        </w:rPr>
        <w:t>l</w:t>
      </w:r>
      <w:r>
        <w:rPr>
          <w:rFonts w:ascii="Times New Roman" w:hAnsi="Times New Roman" w:cs="Times New Roman"/>
          <w:sz w:val="24"/>
          <w:szCs w:val="24"/>
        </w:rPr>
        <w:t xml:space="preserve">o que </w:t>
      </w:r>
      <w:r w:rsidRPr="004B4377">
        <w:rPr>
          <w:rFonts w:ascii="Times New Roman" w:hAnsi="Times New Roman" w:cs="Times New Roman"/>
          <w:sz w:val="24"/>
          <w:szCs w:val="24"/>
        </w:rPr>
        <w:t>l</w:t>
      </w:r>
      <w:r>
        <w:rPr>
          <w:rFonts w:ascii="Times New Roman" w:hAnsi="Times New Roman" w:cs="Times New Roman"/>
          <w:sz w:val="24"/>
          <w:szCs w:val="24"/>
        </w:rPr>
        <w:t>as conc</w:t>
      </w:r>
      <w:r w:rsidRPr="004B4377">
        <w:rPr>
          <w:rFonts w:ascii="Times New Roman" w:hAnsi="Times New Roman" w:cs="Times New Roman"/>
          <w:sz w:val="24"/>
          <w:szCs w:val="24"/>
        </w:rPr>
        <w:t>l</w:t>
      </w:r>
      <w:r>
        <w:rPr>
          <w:rFonts w:ascii="Times New Roman" w:hAnsi="Times New Roman" w:cs="Times New Roman"/>
          <w:sz w:val="24"/>
          <w:szCs w:val="24"/>
        </w:rPr>
        <w:t xml:space="preserve">usiones que </w:t>
      </w:r>
      <w:r w:rsidRPr="004B4377">
        <w:rPr>
          <w:rFonts w:ascii="Times New Roman" w:hAnsi="Times New Roman" w:cs="Times New Roman"/>
          <w:sz w:val="24"/>
          <w:szCs w:val="24"/>
        </w:rPr>
        <w:t>ll</w:t>
      </w:r>
      <w:r>
        <w:rPr>
          <w:rFonts w:ascii="Times New Roman" w:hAnsi="Times New Roman" w:cs="Times New Roman"/>
          <w:sz w:val="24"/>
          <w:szCs w:val="24"/>
        </w:rPr>
        <w:t xml:space="preserve">eguen a generarse bien pueden expandirse con posteriores trabajos de investigación. </w:t>
      </w:r>
      <w:r w:rsidR="00632005" w:rsidRPr="00B60F59">
        <w:rPr>
          <w:rFonts w:ascii="Times New Roman" w:hAnsi="Times New Roman" w:cs="Times New Roman"/>
          <w:sz w:val="24"/>
          <w:szCs w:val="24"/>
        </w:rPr>
        <w:t>A lo que me limito</w:t>
      </w:r>
      <w:r w:rsidR="00613816">
        <w:rPr>
          <w:rFonts w:ascii="Times New Roman" w:hAnsi="Times New Roman" w:cs="Times New Roman"/>
          <w:sz w:val="24"/>
          <w:szCs w:val="24"/>
        </w:rPr>
        <w:t>, entonces,</w:t>
      </w:r>
      <w:r w:rsidR="00632005" w:rsidRPr="00B60F59">
        <w:rPr>
          <w:rFonts w:ascii="Times New Roman" w:hAnsi="Times New Roman" w:cs="Times New Roman"/>
          <w:sz w:val="24"/>
          <w:szCs w:val="24"/>
        </w:rPr>
        <w:t xml:space="preserve"> en </w:t>
      </w:r>
      <w:r w:rsidR="00C53903">
        <w:rPr>
          <w:rFonts w:ascii="Times New Roman" w:hAnsi="Times New Roman" w:cs="Times New Roman"/>
          <w:sz w:val="24"/>
          <w:szCs w:val="24"/>
        </w:rPr>
        <w:t>esta tesina</w:t>
      </w:r>
      <w:r w:rsidR="00632005" w:rsidRPr="00B60F59">
        <w:rPr>
          <w:rFonts w:ascii="Times New Roman" w:hAnsi="Times New Roman" w:cs="Times New Roman"/>
          <w:sz w:val="24"/>
          <w:szCs w:val="24"/>
        </w:rPr>
        <w:t xml:space="preserve"> es a analizar la economía política de la distribución de fondos discrecionales en un contexto de pluralismo político democrático.</w:t>
      </w:r>
      <w:r>
        <w:rPr>
          <w:rFonts w:ascii="Times New Roman" w:hAnsi="Times New Roman" w:cs="Times New Roman"/>
          <w:sz w:val="24"/>
          <w:szCs w:val="24"/>
        </w:rPr>
        <w:t xml:space="preserve"> </w:t>
      </w:r>
    </w:p>
    <w:p w14:paraId="240923AE" w14:textId="7FDB2E69" w:rsidR="00703699" w:rsidRDefault="00687D5D" w:rsidP="00703699">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Para tratar de responder a la pregunta de investigación me basaré en </w:t>
      </w:r>
      <w:r w:rsidR="003B50DF">
        <w:rPr>
          <w:rFonts w:ascii="Times New Roman" w:hAnsi="Times New Roman" w:cs="Times New Roman"/>
          <w:sz w:val="24"/>
          <w:szCs w:val="24"/>
        </w:rPr>
        <w:t>las</w:t>
      </w:r>
      <w:r w:rsidR="00DD185F">
        <w:rPr>
          <w:rFonts w:ascii="Times New Roman" w:hAnsi="Times New Roman" w:cs="Times New Roman"/>
          <w:sz w:val="24"/>
          <w:szCs w:val="24"/>
        </w:rPr>
        <w:t xml:space="preserve"> teorías distributivas de transferencias intergubernamentales</w:t>
      </w:r>
      <w:r w:rsidR="003B50DF">
        <w:rPr>
          <w:rFonts w:ascii="Times New Roman" w:hAnsi="Times New Roman" w:cs="Times New Roman"/>
          <w:sz w:val="24"/>
          <w:szCs w:val="24"/>
        </w:rPr>
        <w:t>, en especial las de votantes indecisos y duros (</w:t>
      </w:r>
      <w:r w:rsidR="003B50DF">
        <w:rPr>
          <w:rFonts w:ascii="Times New Roman" w:hAnsi="Times New Roman" w:cs="Times New Roman"/>
          <w:i/>
          <w:sz w:val="24"/>
          <w:szCs w:val="24"/>
        </w:rPr>
        <w:t>swing/</w:t>
      </w:r>
      <w:proofErr w:type="spellStart"/>
      <w:r w:rsidR="003B50DF">
        <w:rPr>
          <w:rFonts w:ascii="Times New Roman" w:hAnsi="Times New Roman" w:cs="Times New Roman"/>
          <w:i/>
          <w:sz w:val="24"/>
          <w:szCs w:val="24"/>
        </w:rPr>
        <w:t>core</w:t>
      </w:r>
      <w:proofErr w:type="spellEnd"/>
      <w:r w:rsidR="003B50DF">
        <w:rPr>
          <w:rFonts w:ascii="Times New Roman" w:hAnsi="Times New Roman" w:cs="Times New Roman"/>
          <w:i/>
          <w:sz w:val="24"/>
          <w:szCs w:val="24"/>
        </w:rPr>
        <w:t xml:space="preserve"> </w:t>
      </w:r>
      <w:proofErr w:type="spellStart"/>
      <w:r w:rsidR="003B50DF">
        <w:rPr>
          <w:rFonts w:ascii="Times New Roman" w:hAnsi="Times New Roman" w:cs="Times New Roman"/>
          <w:i/>
          <w:sz w:val="24"/>
          <w:szCs w:val="24"/>
        </w:rPr>
        <w:t>voters</w:t>
      </w:r>
      <w:proofErr w:type="spellEnd"/>
      <w:r w:rsidR="003B50DF">
        <w:rPr>
          <w:rFonts w:ascii="Times New Roman" w:hAnsi="Times New Roman" w:cs="Times New Roman"/>
          <w:sz w:val="24"/>
          <w:szCs w:val="24"/>
        </w:rPr>
        <w:t xml:space="preserve">) y </w:t>
      </w:r>
      <w:r w:rsidR="00574E4F">
        <w:rPr>
          <w:rFonts w:ascii="Times New Roman" w:hAnsi="Times New Roman" w:cs="Times New Roman"/>
          <w:sz w:val="24"/>
          <w:szCs w:val="24"/>
        </w:rPr>
        <w:t xml:space="preserve">la </w:t>
      </w:r>
      <w:r w:rsidR="003B50DF">
        <w:rPr>
          <w:rFonts w:ascii="Times New Roman" w:hAnsi="Times New Roman" w:cs="Times New Roman"/>
          <w:sz w:val="24"/>
          <w:szCs w:val="24"/>
        </w:rPr>
        <w:t xml:space="preserve">de poder de negociación. </w:t>
      </w:r>
      <w:r w:rsidR="00971A79">
        <w:rPr>
          <w:rFonts w:ascii="Times New Roman" w:hAnsi="Times New Roman" w:cs="Times New Roman"/>
          <w:sz w:val="24"/>
          <w:szCs w:val="24"/>
        </w:rPr>
        <w:t>D</w:t>
      </w:r>
      <w:r w:rsidR="00DD185F">
        <w:rPr>
          <w:rFonts w:ascii="Times New Roman" w:hAnsi="Times New Roman" w:cs="Times New Roman"/>
          <w:sz w:val="24"/>
          <w:szCs w:val="24"/>
        </w:rPr>
        <w:t>e forma general</w:t>
      </w:r>
      <w:r w:rsidR="00971A79">
        <w:rPr>
          <w:rFonts w:ascii="Times New Roman" w:hAnsi="Times New Roman" w:cs="Times New Roman"/>
          <w:sz w:val="24"/>
          <w:szCs w:val="24"/>
        </w:rPr>
        <w:t>, l</w:t>
      </w:r>
      <w:r w:rsidR="00703699" w:rsidRPr="0000592B">
        <w:rPr>
          <w:rFonts w:ascii="Times New Roman" w:hAnsi="Times New Roman" w:cs="Times New Roman"/>
          <w:sz w:val="24"/>
          <w:szCs w:val="24"/>
        </w:rPr>
        <w:t xml:space="preserve">as teorías distributivas de bienes pueden referirse tanto a clientelismo como a las políticas de </w:t>
      </w:r>
      <w:proofErr w:type="spellStart"/>
      <w:r w:rsidR="00703699" w:rsidRPr="0000592B">
        <w:rPr>
          <w:rFonts w:ascii="Times New Roman" w:hAnsi="Times New Roman" w:cs="Times New Roman"/>
          <w:i/>
          <w:sz w:val="24"/>
          <w:szCs w:val="24"/>
        </w:rPr>
        <w:t>pork</w:t>
      </w:r>
      <w:proofErr w:type="spellEnd"/>
      <w:r w:rsidR="00703699" w:rsidRPr="0000592B">
        <w:rPr>
          <w:rFonts w:ascii="Times New Roman" w:hAnsi="Times New Roman" w:cs="Times New Roman"/>
          <w:i/>
          <w:sz w:val="24"/>
          <w:szCs w:val="24"/>
        </w:rPr>
        <w:t xml:space="preserve"> </w:t>
      </w:r>
      <w:proofErr w:type="spellStart"/>
      <w:r w:rsidR="00703699" w:rsidRPr="009F646C">
        <w:rPr>
          <w:rFonts w:ascii="Times New Roman" w:hAnsi="Times New Roman" w:cs="Times New Roman"/>
          <w:i/>
          <w:sz w:val="24"/>
          <w:szCs w:val="24"/>
        </w:rPr>
        <w:t>barrel</w:t>
      </w:r>
      <w:r w:rsidR="009F646C" w:rsidRPr="009F646C">
        <w:rPr>
          <w:rFonts w:ascii="Times New Roman" w:hAnsi="Times New Roman" w:cs="Times New Roman"/>
          <w:i/>
          <w:sz w:val="24"/>
          <w:szCs w:val="24"/>
        </w:rPr>
        <w:t>ing</w:t>
      </w:r>
      <w:proofErr w:type="spellEnd"/>
      <w:r w:rsidR="00703699" w:rsidRPr="0000592B">
        <w:rPr>
          <w:rFonts w:ascii="Times New Roman" w:hAnsi="Times New Roman" w:cs="Times New Roman"/>
          <w:sz w:val="24"/>
          <w:szCs w:val="24"/>
        </w:rPr>
        <w:t>. Díaz-</w:t>
      </w:r>
      <w:proofErr w:type="spellStart"/>
      <w:r w:rsidR="00703699" w:rsidRPr="0000592B">
        <w:rPr>
          <w:rFonts w:ascii="Times New Roman" w:hAnsi="Times New Roman" w:cs="Times New Roman"/>
          <w:sz w:val="24"/>
          <w:szCs w:val="24"/>
        </w:rPr>
        <w:t>Cayeros</w:t>
      </w:r>
      <w:proofErr w:type="spellEnd"/>
      <w:r w:rsidR="00703699" w:rsidRPr="0000592B">
        <w:rPr>
          <w:rFonts w:ascii="Times New Roman" w:hAnsi="Times New Roman" w:cs="Times New Roman"/>
          <w:sz w:val="24"/>
          <w:szCs w:val="24"/>
        </w:rPr>
        <w:t xml:space="preserve">, Estévez y </w:t>
      </w:r>
      <w:proofErr w:type="spellStart"/>
      <w:r w:rsidR="00703699" w:rsidRPr="0000592B">
        <w:rPr>
          <w:rFonts w:ascii="Times New Roman" w:hAnsi="Times New Roman" w:cs="Times New Roman"/>
          <w:sz w:val="24"/>
          <w:szCs w:val="24"/>
        </w:rPr>
        <w:t>Magaloni</w:t>
      </w:r>
      <w:proofErr w:type="spellEnd"/>
      <w:r w:rsidR="00703699" w:rsidRPr="0000592B">
        <w:rPr>
          <w:rFonts w:ascii="Times New Roman" w:hAnsi="Times New Roman" w:cs="Times New Roman"/>
          <w:sz w:val="24"/>
          <w:szCs w:val="24"/>
        </w:rPr>
        <w:t xml:space="preserve"> trazan esta distinción y explican que el clientelismo se refiere a la provisión de bienes privados, por lo que se puede excluir de manera más fácil a la población que no beneficia electoralmente a los candidatos.</w:t>
      </w:r>
      <w:r w:rsidR="00703699" w:rsidRPr="0000592B">
        <w:rPr>
          <w:rStyle w:val="Refdenotaalpie"/>
          <w:rFonts w:ascii="Times New Roman" w:hAnsi="Times New Roman" w:cs="Times New Roman"/>
          <w:sz w:val="24"/>
          <w:szCs w:val="24"/>
        </w:rPr>
        <w:footnoteReference w:id="13"/>
      </w:r>
      <w:r w:rsidR="00703699" w:rsidRPr="0000592B">
        <w:rPr>
          <w:rFonts w:ascii="Times New Roman" w:hAnsi="Times New Roman" w:cs="Times New Roman"/>
          <w:sz w:val="24"/>
          <w:szCs w:val="24"/>
        </w:rPr>
        <w:t xml:space="preserve"> Por su parte el </w:t>
      </w:r>
      <w:proofErr w:type="spellStart"/>
      <w:r w:rsidR="00703699" w:rsidRPr="0000592B">
        <w:rPr>
          <w:rFonts w:ascii="Times New Roman" w:hAnsi="Times New Roman" w:cs="Times New Roman"/>
          <w:i/>
          <w:sz w:val="24"/>
          <w:szCs w:val="24"/>
        </w:rPr>
        <w:t>pork</w:t>
      </w:r>
      <w:proofErr w:type="spellEnd"/>
      <w:r w:rsidR="00703699" w:rsidRPr="0000592B">
        <w:rPr>
          <w:rFonts w:ascii="Times New Roman" w:hAnsi="Times New Roman" w:cs="Times New Roman"/>
          <w:i/>
          <w:sz w:val="24"/>
          <w:szCs w:val="24"/>
        </w:rPr>
        <w:t xml:space="preserve"> </w:t>
      </w:r>
      <w:proofErr w:type="spellStart"/>
      <w:r w:rsidR="00703699" w:rsidRPr="0000592B">
        <w:rPr>
          <w:rFonts w:ascii="Times New Roman" w:hAnsi="Times New Roman" w:cs="Times New Roman"/>
          <w:i/>
          <w:sz w:val="24"/>
          <w:szCs w:val="24"/>
        </w:rPr>
        <w:t>barreling</w:t>
      </w:r>
      <w:proofErr w:type="spellEnd"/>
      <w:r w:rsidR="0096687D">
        <w:rPr>
          <w:rFonts w:ascii="Times New Roman" w:hAnsi="Times New Roman" w:cs="Times New Roman"/>
          <w:i/>
          <w:sz w:val="24"/>
          <w:szCs w:val="24"/>
        </w:rPr>
        <w:t xml:space="preserve"> </w:t>
      </w:r>
      <w:r w:rsidR="00703699" w:rsidRPr="0000592B">
        <w:rPr>
          <w:rFonts w:ascii="Times New Roman" w:hAnsi="Times New Roman" w:cs="Times New Roman"/>
          <w:sz w:val="24"/>
          <w:szCs w:val="24"/>
        </w:rPr>
        <w:t>se refiere a la provisión de bie</w:t>
      </w:r>
      <w:r w:rsidR="00703699">
        <w:rPr>
          <w:rFonts w:ascii="Times New Roman" w:hAnsi="Times New Roman" w:cs="Times New Roman"/>
          <w:sz w:val="24"/>
          <w:szCs w:val="24"/>
        </w:rPr>
        <w:t>nes públicos, por lo que genera</w:t>
      </w:r>
      <w:r w:rsidR="00703699" w:rsidRPr="0000592B">
        <w:rPr>
          <w:rFonts w:ascii="Times New Roman" w:hAnsi="Times New Roman" w:cs="Times New Roman"/>
          <w:sz w:val="24"/>
          <w:szCs w:val="24"/>
        </w:rPr>
        <w:t xml:space="preserve"> “un problema de compromiso porque pueden ser aprovechados por cualquiera en el distrito”.</w:t>
      </w:r>
      <w:r w:rsidR="00703699" w:rsidRPr="0000592B">
        <w:rPr>
          <w:rStyle w:val="Refdenotaalpie"/>
          <w:rFonts w:ascii="Times New Roman" w:hAnsi="Times New Roman" w:cs="Times New Roman"/>
          <w:sz w:val="24"/>
          <w:szCs w:val="24"/>
        </w:rPr>
        <w:footnoteReference w:id="14"/>
      </w:r>
      <w:r w:rsidR="00703699" w:rsidRPr="0000592B">
        <w:rPr>
          <w:rFonts w:ascii="Times New Roman" w:hAnsi="Times New Roman" w:cs="Times New Roman"/>
          <w:sz w:val="24"/>
          <w:szCs w:val="24"/>
        </w:rPr>
        <w:t xml:space="preserve"> Como puede verse, el Fondo Regional, al proveer infraestructura se inserta en esta segunda categoría.</w:t>
      </w:r>
    </w:p>
    <w:p w14:paraId="0DAA967E" w14:textId="4AA9F501" w:rsidR="00E7103E" w:rsidRDefault="00703699" w:rsidP="00B60F59">
      <w:pPr>
        <w:spacing w:line="480" w:lineRule="auto"/>
        <w:ind w:firstLine="708"/>
        <w:jc w:val="both"/>
        <w:rPr>
          <w:rFonts w:ascii="Times New Roman" w:hAnsi="Times New Roman" w:cs="Times New Roman"/>
          <w:sz w:val="24"/>
          <w:szCs w:val="24"/>
        </w:rPr>
      </w:pPr>
      <w:r w:rsidRPr="0000592B">
        <w:rPr>
          <w:rFonts w:ascii="Times New Roman" w:hAnsi="Times New Roman" w:cs="Times New Roman"/>
          <w:sz w:val="24"/>
          <w:szCs w:val="24"/>
        </w:rPr>
        <w:t xml:space="preserve">Lo importante de esta distinción, además del problema de compromiso son los efectos que genera que no se pueda excluir </w:t>
      </w:r>
      <w:r>
        <w:rPr>
          <w:rFonts w:ascii="Times New Roman" w:hAnsi="Times New Roman" w:cs="Times New Roman"/>
          <w:sz w:val="24"/>
          <w:szCs w:val="24"/>
        </w:rPr>
        <w:t>a los opositores de</w:t>
      </w:r>
      <w:r w:rsidRPr="0000592B">
        <w:rPr>
          <w:rFonts w:ascii="Times New Roman" w:hAnsi="Times New Roman" w:cs="Times New Roman"/>
          <w:sz w:val="24"/>
          <w:szCs w:val="24"/>
        </w:rPr>
        <w:t xml:space="preserve"> la provisión de bienes públicos.</w:t>
      </w:r>
      <w:r>
        <w:rPr>
          <w:rFonts w:ascii="Times New Roman" w:hAnsi="Times New Roman" w:cs="Times New Roman"/>
          <w:sz w:val="24"/>
          <w:szCs w:val="24"/>
        </w:rPr>
        <w:t xml:space="preserve"> </w:t>
      </w:r>
      <w:r w:rsidRPr="0000592B">
        <w:rPr>
          <w:rFonts w:ascii="Times New Roman" w:hAnsi="Times New Roman" w:cs="Times New Roman"/>
          <w:sz w:val="24"/>
          <w:szCs w:val="24"/>
        </w:rPr>
        <w:t>Mientras que las transferencias clientelares directas suelen hacerse a los más pobres porque</w:t>
      </w:r>
      <w:r w:rsidR="0096687D">
        <w:rPr>
          <w:rFonts w:ascii="Times New Roman" w:hAnsi="Times New Roman" w:cs="Times New Roman"/>
          <w:sz w:val="24"/>
          <w:szCs w:val="24"/>
        </w:rPr>
        <w:t xml:space="preserve"> </w:t>
      </w:r>
      <w:r w:rsidRPr="0000592B">
        <w:rPr>
          <w:rFonts w:ascii="Times New Roman" w:hAnsi="Times New Roman" w:cs="Times New Roman"/>
          <w:sz w:val="24"/>
          <w:szCs w:val="24"/>
        </w:rPr>
        <w:t>la utilidad marginal del ingreso muestra que el aumento del ingreso en los niveles más bajos genera mayor compromiso, este no es necesariamente el caso en la distribución de</w:t>
      </w:r>
      <w:r w:rsidRPr="0000592B">
        <w:rPr>
          <w:rFonts w:ascii="Times New Roman" w:hAnsi="Times New Roman" w:cs="Times New Roman"/>
          <w:i/>
          <w:sz w:val="24"/>
          <w:szCs w:val="24"/>
        </w:rPr>
        <w:t xml:space="preserve"> </w:t>
      </w:r>
      <w:r w:rsidRPr="0000592B">
        <w:rPr>
          <w:rFonts w:ascii="Times New Roman" w:hAnsi="Times New Roman" w:cs="Times New Roman"/>
          <w:sz w:val="24"/>
          <w:szCs w:val="24"/>
        </w:rPr>
        <w:t>los bienes públicos.</w:t>
      </w:r>
      <w:r w:rsidRPr="0000592B">
        <w:rPr>
          <w:rStyle w:val="Refdenotaalpie"/>
          <w:rFonts w:ascii="Times New Roman" w:hAnsi="Times New Roman" w:cs="Times New Roman"/>
          <w:sz w:val="24"/>
          <w:szCs w:val="24"/>
        </w:rPr>
        <w:footnoteReference w:id="15"/>
      </w:r>
      <w:r w:rsidRPr="0000592B">
        <w:rPr>
          <w:rFonts w:ascii="Times New Roman" w:hAnsi="Times New Roman" w:cs="Times New Roman"/>
          <w:sz w:val="24"/>
          <w:szCs w:val="24"/>
        </w:rPr>
        <w:t xml:space="preserve"> Para el caso del </w:t>
      </w:r>
      <w:proofErr w:type="spellStart"/>
      <w:r w:rsidRPr="0000592B">
        <w:rPr>
          <w:rFonts w:ascii="Times New Roman" w:hAnsi="Times New Roman" w:cs="Times New Roman"/>
          <w:i/>
          <w:sz w:val="24"/>
          <w:szCs w:val="24"/>
        </w:rPr>
        <w:t>pork</w:t>
      </w:r>
      <w:proofErr w:type="spellEnd"/>
      <w:r w:rsidRPr="0000592B">
        <w:rPr>
          <w:rFonts w:ascii="Times New Roman" w:hAnsi="Times New Roman" w:cs="Times New Roman"/>
          <w:i/>
          <w:sz w:val="24"/>
          <w:szCs w:val="24"/>
        </w:rPr>
        <w:t xml:space="preserve"> </w:t>
      </w:r>
      <w:proofErr w:type="spellStart"/>
      <w:r w:rsidRPr="0000592B">
        <w:rPr>
          <w:rFonts w:ascii="Times New Roman" w:hAnsi="Times New Roman" w:cs="Times New Roman"/>
          <w:i/>
          <w:sz w:val="24"/>
          <w:szCs w:val="24"/>
        </w:rPr>
        <w:t>barreling</w:t>
      </w:r>
      <w:proofErr w:type="spellEnd"/>
      <w:r w:rsidRPr="0000592B">
        <w:rPr>
          <w:rFonts w:ascii="Times New Roman" w:hAnsi="Times New Roman" w:cs="Times New Roman"/>
          <w:i/>
          <w:sz w:val="24"/>
          <w:szCs w:val="24"/>
        </w:rPr>
        <w:t xml:space="preserve">, </w:t>
      </w:r>
      <w:r w:rsidRPr="00D47C46">
        <w:rPr>
          <w:rFonts w:ascii="Times New Roman" w:hAnsi="Times New Roman" w:cs="Times New Roman"/>
          <w:sz w:val="24"/>
          <w:szCs w:val="24"/>
        </w:rPr>
        <w:t xml:space="preserve">ha llegado a sugerirse que más bien suele dirigirse a las clases medias con base en su calidad de votantes </w:t>
      </w:r>
      <w:r>
        <w:rPr>
          <w:rFonts w:ascii="Times New Roman" w:hAnsi="Times New Roman" w:cs="Times New Roman"/>
          <w:sz w:val="24"/>
          <w:szCs w:val="24"/>
        </w:rPr>
        <w:lastRenderedPageBreak/>
        <w:t>indecisos</w:t>
      </w:r>
      <w:r w:rsidRPr="00D47C46">
        <w:rPr>
          <w:rFonts w:ascii="Times New Roman" w:hAnsi="Times New Roman" w:cs="Times New Roman"/>
          <w:sz w:val="24"/>
          <w:szCs w:val="24"/>
        </w:rPr>
        <w:t>.</w:t>
      </w:r>
      <w:r w:rsidRPr="0000592B">
        <w:rPr>
          <w:rStyle w:val="Refdenotaalpie"/>
          <w:rFonts w:ascii="Times New Roman" w:hAnsi="Times New Roman" w:cs="Times New Roman"/>
          <w:sz w:val="24"/>
          <w:szCs w:val="24"/>
        </w:rPr>
        <w:footnoteReference w:id="16"/>
      </w:r>
      <w:r w:rsidRPr="0000592B">
        <w:rPr>
          <w:rFonts w:ascii="Times New Roman" w:hAnsi="Times New Roman" w:cs="Times New Roman"/>
          <w:sz w:val="24"/>
          <w:szCs w:val="24"/>
        </w:rPr>
        <w:t xml:space="preserve"> Esto entonces puede generar que el ciclo de pobreza y desigualdad no se mitigue en México, sino que se pronuncie aún más, debido a que no se lleva infraestructura que pueda detonar el desarrollo de las zonas más marginadas del país.</w:t>
      </w:r>
    </w:p>
    <w:p w14:paraId="645C0FCD" w14:textId="3EDDFE63" w:rsidR="00A54AAD" w:rsidRDefault="00EB1AED">
      <w:pPr>
        <w:spacing w:line="48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ab/>
        <w:t xml:space="preserve">La importancia de </w:t>
      </w:r>
      <w:r w:rsidR="002972F6">
        <w:rPr>
          <w:rFonts w:ascii="Times New Roman" w:hAnsi="Times New Roman" w:cs="Times New Roman"/>
          <w:sz w:val="24"/>
          <w:szCs w:val="24"/>
        </w:rPr>
        <w:t>esta tesina</w:t>
      </w:r>
      <w:r>
        <w:rPr>
          <w:rFonts w:ascii="Times New Roman" w:hAnsi="Times New Roman" w:cs="Times New Roman"/>
          <w:sz w:val="24"/>
          <w:szCs w:val="24"/>
        </w:rPr>
        <w:t xml:space="preserve"> reside en que se trata de un </w:t>
      </w:r>
      <w:r w:rsidR="009D7389">
        <w:rPr>
          <w:rFonts w:ascii="Times New Roman" w:hAnsi="Times New Roman" w:cs="Times New Roman"/>
          <w:sz w:val="24"/>
          <w:szCs w:val="24"/>
        </w:rPr>
        <w:t xml:space="preserve">fondo puramente discrecional en un contexto democrático. </w:t>
      </w:r>
      <w:r w:rsidR="009D7389">
        <w:rPr>
          <w:rFonts w:ascii="Times New Roman" w:eastAsia="Times New Roman" w:hAnsi="Times New Roman" w:cs="Times New Roman"/>
          <w:color w:val="000000"/>
          <w:sz w:val="24"/>
          <w:szCs w:val="24"/>
        </w:rPr>
        <w:t>Con la transición democrática que ha estado ocurriendo en el país desde hace algunos años, lo común es ver cada vez más asignaciones claras, a través de fórmulas, que eviten, en la medida de lo posible, las distorsiones distributiv</w:t>
      </w:r>
      <w:r w:rsidR="009F646C">
        <w:rPr>
          <w:rFonts w:ascii="Times New Roman" w:eastAsia="Times New Roman" w:hAnsi="Times New Roman" w:cs="Times New Roman"/>
          <w:color w:val="000000"/>
          <w:sz w:val="24"/>
          <w:szCs w:val="24"/>
        </w:rPr>
        <w:t>as por decisiones discrecionales.</w:t>
      </w:r>
      <w:r w:rsidR="009D7389">
        <w:rPr>
          <w:rStyle w:val="Refdenotaalpie"/>
          <w:rFonts w:ascii="Times New Roman" w:eastAsia="Times New Roman" w:hAnsi="Times New Roman" w:cs="Times New Roman"/>
          <w:color w:val="000000"/>
          <w:sz w:val="24"/>
          <w:szCs w:val="24"/>
        </w:rPr>
        <w:footnoteReference w:id="17"/>
      </w:r>
      <w:r w:rsidR="009D7389">
        <w:rPr>
          <w:rFonts w:ascii="Times New Roman" w:eastAsia="Times New Roman" w:hAnsi="Times New Roman" w:cs="Times New Roman"/>
          <w:color w:val="000000"/>
          <w:sz w:val="24"/>
          <w:szCs w:val="24"/>
        </w:rPr>
        <w:t xml:space="preserve">Así pues, estudiar un caso puramente discrecional de distribución, bajo un contexto democrático, proporciona una oportunidad importante para conocer claramente los incentivos de los actores que asignan los recursos y qué lógica se está siguiendo para distribuirlos.  </w:t>
      </w:r>
    </w:p>
    <w:p w14:paraId="3AD715DF" w14:textId="53265016" w:rsidR="00E7103E" w:rsidRDefault="009F646C" w:rsidP="00B60F59">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Luego entonces</w:t>
      </w:r>
      <w:r w:rsidR="009D7389" w:rsidRPr="0000592B">
        <w:rPr>
          <w:rFonts w:ascii="Times New Roman" w:hAnsi="Times New Roman" w:cs="Times New Roman"/>
          <w:sz w:val="24"/>
          <w:szCs w:val="24"/>
        </w:rPr>
        <w:t>,</w:t>
      </w:r>
      <w:r w:rsidR="009D7389">
        <w:rPr>
          <w:rFonts w:ascii="Times New Roman" w:hAnsi="Times New Roman" w:cs="Times New Roman"/>
          <w:sz w:val="24"/>
          <w:szCs w:val="24"/>
        </w:rPr>
        <w:t xml:space="preserve"> resulta muy importante encontrar los incentivos adecuados para que el gasto federalizado cumpla sus funciones originales de promover el desarrollo equitativo. En este sentido, e</w:t>
      </w:r>
      <w:r w:rsidR="009D7389" w:rsidRPr="0000592B">
        <w:rPr>
          <w:rFonts w:ascii="Times New Roman" w:hAnsi="Times New Roman" w:cs="Times New Roman"/>
          <w:sz w:val="24"/>
          <w:szCs w:val="24"/>
        </w:rPr>
        <w:t>sta tesina adquiere mayor importancia al buscar conocer los criterios de distribución de la infraestructura a nivel local.</w:t>
      </w:r>
      <w:r w:rsidR="00742D9C">
        <w:rPr>
          <w:rFonts w:ascii="Times New Roman" w:hAnsi="Times New Roman" w:cs="Times New Roman"/>
          <w:sz w:val="24"/>
          <w:szCs w:val="24"/>
        </w:rPr>
        <w:t xml:space="preserve"> </w:t>
      </w:r>
      <w:r w:rsidR="009D7389" w:rsidRPr="0000592B">
        <w:rPr>
          <w:rFonts w:ascii="Times New Roman" w:hAnsi="Times New Roman" w:cs="Times New Roman"/>
          <w:sz w:val="24"/>
          <w:szCs w:val="24"/>
        </w:rPr>
        <w:t>Si podemos establecer claramente los incentivos políticos de los gobernadores para distribuir los proyectos de inversión, estamos más cerca de generar un mecanismo que permita la utilización de los recursos y proyectos de infraestructu</w:t>
      </w:r>
      <w:r w:rsidR="009D7389">
        <w:rPr>
          <w:rFonts w:ascii="Times New Roman" w:hAnsi="Times New Roman" w:cs="Times New Roman"/>
          <w:sz w:val="24"/>
          <w:szCs w:val="24"/>
        </w:rPr>
        <w:t>ra en las zonas más marginales.</w:t>
      </w:r>
    </w:p>
    <w:p w14:paraId="686EE327" w14:textId="2CA10941" w:rsidR="00E7103E" w:rsidRDefault="009D7389" w:rsidP="00B60F59">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Por otro lado, también es importante resaltar que los datos que utilizo para la comprobación de los modelos, son datos muy difíciles de encontrar en otra parte. Elaboré </w:t>
      </w:r>
      <w:r>
        <w:rPr>
          <w:rFonts w:ascii="Times New Roman" w:hAnsi="Times New Roman" w:cs="Times New Roman"/>
          <w:sz w:val="24"/>
          <w:szCs w:val="24"/>
        </w:rPr>
        <w:lastRenderedPageBreak/>
        <w:t xml:space="preserve">una base de datos inédita, de 4614 observaciones, con base en las carteras de inversión del Fondo Regional, </w:t>
      </w:r>
      <w:r w:rsidR="00BB4385">
        <w:rPr>
          <w:rFonts w:ascii="Times New Roman" w:hAnsi="Times New Roman" w:cs="Times New Roman"/>
          <w:sz w:val="24"/>
          <w:szCs w:val="24"/>
        </w:rPr>
        <w:t xml:space="preserve">mismas que conseguí </w:t>
      </w:r>
      <w:r>
        <w:rPr>
          <w:rFonts w:ascii="Times New Roman" w:hAnsi="Times New Roman" w:cs="Times New Roman"/>
          <w:sz w:val="24"/>
          <w:szCs w:val="24"/>
        </w:rPr>
        <w:t xml:space="preserve">por medio de una solicitud </w:t>
      </w:r>
      <w:r w:rsidR="00BB4385">
        <w:rPr>
          <w:rFonts w:ascii="Times New Roman" w:hAnsi="Times New Roman" w:cs="Times New Roman"/>
          <w:sz w:val="24"/>
          <w:szCs w:val="24"/>
        </w:rPr>
        <w:t>de acceso a la información, pues no se encuentran publicadas en ningún lugar. Lo más cercano es el Sistema de Formato Único</w:t>
      </w:r>
      <w:r w:rsidR="00EE739F">
        <w:rPr>
          <w:rFonts w:ascii="Times New Roman" w:hAnsi="Times New Roman" w:cs="Times New Roman"/>
          <w:sz w:val="24"/>
          <w:szCs w:val="24"/>
        </w:rPr>
        <w:t xml:space="preserve"> (SFU)</w:t>
      </w:r>
      <w:r w:rsidR="00BB4385">
        <w:rPr>
          <w:rFonts w:ascii="Times New Roman" w:hAnsi="Times New Roman" w:cs="Times New Roman"/>
          <w:sz w:val="24"/>
          <w:szCs w:val="24"/>
        </w:rPr>
        <w:t>, de la Secretaría de Hacienda y Crédito Público (SHCP), en el que las entidades federativas, municipios y demarcaciones territoriales del Distrito Federal reportan sobre el ejercicio, destino y resultados de los recursos federales que les transfieren. Sin emb</w:t>
      </w:r>
      <w:r w:rsidR="00DD185F">
        <w:rPr>
          <w:rFonts w:ascii="Times New Roman" w:hAnsi="Times New Roman" w:cs="Times New Roman"/>
          <w:sz w:val="24"/>
          <w:szCs w:val="24"/>
        </w:rPr>
        <w:t>argo, los registros los llevan a cabo directamente los ejecutores de los recursos</w:t>
      </w:r>
      <w:r w:rsidR="00BB4385">
        <w:rPr>
          <w:rFonts w:ascii="Times New Roman" w:hAnsi="Times New Roman" w:cs="Times New Roman"/>
          <w:sz w:val="24"/>
          <w:szCs w:val="24"/>
        </w:rPr>
        <w:t xml:space="preserve"> y muchas veces la calidad de la información no es lo suficientemente buena como para llevar a cabo un estudio confiable.</w:t>
      </w:r>
    </w:p>
    <w:p w14:paraId="010D3287" w14:textId="14BB7F96" w:rsidR="00742D9C" w:rsidRDefault="00434558" w:rsidP="00F572A1">
      <w:pPr>
        <w:spacing w:after="0" w:line="480" w:lineRule="auto"/>
        <w:ind w:firstLine="708"/>
        <w:jc w:val="both"/>
      </w:pPr>
      <w:r>
        <w:rPr>
          <w:rFonts w:ascii="Times New Roman" w:hAnsi="Times New Roman" w:cs="Times New Roman"/>
          <w:sz w:val="24"/>
          <w:szCs w:val="24"/>
        </w:rPr>
        <w:t>La</w:t>
      </w:r>
      <w:r w:rsidR="0096687D">
        <w:rPr>
          <w:rFonts w:ascii="Times New Roman" w:hAnsi="Times New Roman" w:cs="Times New Roman"/>
          <w:sz w:val="24"/>
          <w:szCs w:val="24"/>
        </w:rPr>
        <w:t xml:space="preserve"> </w:t>
      </w:r>
      <w:r w:rsidR="00197AD8">
        <w:rPr>
          <w:rFonts w:ascii="Times New Roman" w:hAnsi="Times New Roman" w:cs="Times New Roman"/>
          <w:sz w:val="24"/>
          <w:szCs w:val="24"/>
        </w:rPr>
        <w:t>tesina se divide en s</w:t>
      </w:r>
      <w:r w:rsidR="008B219C">
        <w:rPr>
          <w:rFonts w:ascii="Times New Roman" w:hAnsi="Times New Roman" w:cs="Times New Roman"/>
          <w:sz w:val="24"/>
          <w:szCs w:val="24"/>
        </w:rPr>
        <w:t>iete</w:t>
      </w:r>
      <w:r w:rsidR="00197AD8">
        <w:rPr>
          <w:rFonts w:ascii="Times New Roman" w:hAnsi="Times New Roman" w:cs="Times New Roman"/>
          <w:sz w:val="24"/>
          <w:szCs w:val="24"/>
        </w:rPr>
        <w:t xml:space="preserve"> partes</w:t>
      </w:r>
      <w:r w:rsidR="00B84D34">
        <w:rPr>
          <w:rFonts w:ascii="Times New Roman" w:hAnsi="Times New Roman" w:cs="Times New Roman"/>
          <w:sz w:val="24"/>
          <w:szCs w:val="24"/>
        </w:rPr>
        <w:t>. En la primera describo</w:t>
      </w:r>
      <w:r>
        <w:rPr>
          <w:rFonts w:ascii="Times New Roman" w:hAnsi="Times New Roman" w:cs="Times New Roman"/>
          <w:sz w:val="24"/>
          <w:szCs w:val="24"/>
        </w:rPr>
        <w:t xml:space="preserve"> el Fondo Regional y por qué considero que es un caso ideal para probar las teorías de distribución de bienes por criterios políticos</w:t>
      </w:r>
      <w:r w:rsidR="00B84D34">
        <w:rPr>
          <w:rFonts w:ascii="Times New Roman" w:hAnsi="Times New Roman" w:cs="Times New Roman"/>
          <w:sz w:val="24"/>
          <w:szCs w:val="24"/>
        </w:rPr>
        <w:t>. En la segunda sección presento</w:t>
      </w:r>
      <w:r>
        <w:rPr>
          <w:rFonts w:ascii="Times New Roman" w:hAnsi="Times New Roman" w:cs="Times New Roman"/>
          <w:sz w:val="24"/>
          <w:szCs w:val="24"/>
        </w:rPr>
        <w:t xml:space="preserve"> la literatura sobre distribución de bienes. </w:t>
      </w:r>
      <w:r w:rsidR="00B84D34">
        <w:rPr>
          <w:rFonts w:ascii="Times New Roman" w:hAnsi="Times New Roman" w:cs="Times New Roman"/>
          <w:sz w:val="24"/>
          <w:szCs w:val="24"/>
        </w:rPr>
        <w:t>En la tercera expongo</w:t>
      </w:r>
      <w:r>
        <w:rPr>
          <w:rFonts w:ascii="Times New Roman" w:hAnsi="Times New Roman" w:cs="Times New Roman"/>
          <w:sz w:val="24"/>
          <w:szCs w:val="24"/>
        </w:rPr>
        <w:t xml:space="preserve"> de manera más detallada mi argumento e hip</w:t>
      </w:r>
      <w:r w:rsidR="00815FC2">
        <w:rPr>
          <w:rFonts w:ascii="Times New Roman" w:hAnsi="Times New Roman" w:cs="Times New Roman"/>
          <w:sz w:val="24"/>
          <w:szCs w:val="24"/>
        </w:rPr>
        <w:t>ótesis. Posteriormente detallo</w:t>
      </w:r>
      <w:r>
        <w:rPr>
          <w:rFonts w:ascii="Times New Roman" w:hAnsi="Times New Roman" w:cs="Times New Roman"/>
          <w:sz w:val="24"/>
          <w:szCs w:val="24"/>
        </w:rPr>
        <w:t xml:space="preserve"> la metodología</w:t>
      </w:r>
      <w:r w:rsidR="00815FC2">
        <w:rPr>
          <w:rFonts w:ascii="Times New Roman" w:hAnsi="Times New Roman" w:cs="Times New Roman"/>
          <w:sz w:val="24"/>
          <w:szCs w:val="24"/>
        </w:rPr>
        <w:t>, misma</w:t>
      </w:r>
      <w:r>
        <w:rPr>
          <w:rFonts w:ascii="Times New Roman" w:hAnsi="Times New Roman" w:cs="Times New Roman"/>
          <w:sz w:val="24"/>
          <w:szCs w:val="24"/>
        </w:rPr>
        <w:t xml:space="preserve"> que se basará en un modelo estadístico </w:t>
      </w:r>
      <w:r w:rsidR="00C80D19">
        <w:rPr>
          <w:rFonts w:ascii="Times New Roman" w:hAnsi="Times New Roman" w:cs="Times New Roman"/>
          <w:sz w:val="24"/>
          <w:szCs w:val="24"/>
        </w:rPr>
        <w:t xml:space="preserve">con el que pondré </w:t>
      </w:r>
      <w:r>
        <w:rPr>
          <w:rFonts w:ascii="Times New Roman" w:hAnsi="Times New Roman" w:cs="Times New Roman"/>
          <w:sz w:val="24"/>
          <w:szCs w:val="24"/>
        </w:rPr>
        <w:t xml:space="preserve">a prueba </w:t>
      </w:r>
      <w:r w:rsidR="00C80D19">
        <w:rPr>
          <w:rFonts w:ascii="Times New Roman" w:hAnsi="Times New Roman" w:cs="Times New Roman"/>
          <w:sz w:val="24"/>
          <w:szCs w:val="24"/>
        </w:rPr>
        <w:t>mis hipótesis en torno a los determinantes de la asignación de recursos</w:t>
      </w:r>
      <w:r w:rsidR="0096687D">
        <w:rPr>
          <w:rFonts w:ascii="Times New Roman" w:hAnsi="Times New Roman" w:cs="Times New Roman"/>
          <w:sz w:val="24"/>
          <w:szCs w:val="24"/>
        </w:rPr>
        <w:t xml:space="preserve"> </w:t>
      </w:r>
      <w:r w:rsidR="00C80D19">
        <w:rPr>
          <w:rFonts w:ascii="Times New Roman" w:hAnsi="Times New Roman" w:cs="Times New Roman"/>
          <w:sz w:val="24"/>
          <w:szCs w:val="24"/>
        </w:rPr>
        <w:t>y proyectos del fondo</w:t>
      </w:r>
      <w:r w:rsidR="00815FC2">
        <w:rPr>
          <w:rFonts w:ascii="Times New Roman" w:hAnsi="Times New Roman" w:cs="Times New Roman"/>
          <w:sz w:val="24"/>
          <w:szCs w:val="24"/>
        </w:rPr>
        <w:t>. En la quinta parte llevo</w:t>
      </w:r>
      <w:r>
        <w:rPr>
          <w:rFonts w:ascii="Times New Roman" w:hAnsi="Times New Roman" w:cs="Times New Roman"/>
          <w:sz w:val="24"/>
          <w:szCs w:val="24"/>
        </w:rPr>
        <w:t xml:space="preserve"> a cabo el análisis cuant</w:t>
      </w:r>
      <w:r w:rsidR="00815FC2">
        <w:rPr>
          <w:rFonts w:ascii="Times New Roman" w:hAnsi="Times New Roman" w:cs="Times New Roman"/>
          <w:sz w:val="24"/>
          <w:szCs w:val="24"/>
        </w:rPr>
        <w:t>itativo</w:t>
      </w:r>
      <w:r w:rsidR="008B219C">
        <w:rPr>
          <w:rFonts w:ascii="Times New Roman" w:hAnsi="Times New Roman" w:cs="Times New Roman"/>
          <w:sz w:val="24"/>
          <w:szCs w:val="24"/>
        </w:rPr>
        <w:t xml:space="preserve">, para, posteriormente, presentar </w:t>
      </w:r>
      <w:r>
        <w:rPr>
          <w:rFonts w:ascii="Times New Roman" w:hAnsi="Times New Roman" w:cs="Times New Roman"/>
          <w:sz w:val="24"/>
          <w:szCs w:val="24"/>
        </w:rPr>
        <w:t>las conclusiones</w:t>
      </w:r>
      <w:r w:rsidR="008B219C">
        <w:rPr>
          <w:rFonts w:ascii="Times New Roman" w:hAnsi="Times New Roman" w:cs="Times New Roman"/>
          <w:sz w:val="24"/>
          <w:szCs w:val="24"/>
        </w:rPr>
        <w:t xml:space="preserve"> del análisis</w:t>
      </w:r>
      <w:r>
        <w:rPr>
          <w:rFonts w:ascii="Times New Roman" w:hAnsi="Times New Roman" w:cs="Times New Roman"/>
          <w:sz w:val="24"/>
          <w:szCs w:val="24"/>
        </w:rPr>
        <w:t>.</w:t>
      </w:r>
      <w:r w:rsidR="00BB4385" w:rsidRPr="0051520D" w:rsidDel="00815FC2">
        <w:rPr>
          <w:rFonts w:ascii="Times New Roman" w:hAnsi="Times New Roman" w:cs="Times New Roman"/>
          <w:sz w:val="24"/>
          <w:szCs w:val="24"/>
        </w:rPr>
        <w:t xml:space="preserve"> </w:t>
      </w:r>
      <w:r w:rsidR="008B219C">
        <w:rPr>
          <w:rFonts w:ascii="Times New Roman" w:hAnsi="Times New Roman" w:cs="Times New Roman"/>
          <w:sz w:val="24"/>
          <w:szCs w:val="24"/>
        </w:rPr>
        <w:t>Por último, en el epílogo, presento una propuesta de asignación de los recursos del Fondo Regional con base en los resultados de la tesina</w:t>
      </w:r>
      <w:r w:rsidR="00DD185F">
        <w:rPr>
          <w:rFonts w:ascii="Times New Roman" w:hAnsi="Times New Roman" w:cs="Times New Roman"/>
          <w:sz w:val="24"/>
          <w:szCs w:val="24"/>
        </w:rPr>
        <w:t>.</w:t>
      </w:r>
    </w:p>
    <w:p w14:paraId="725812F9" w14:textId="065B75B8" w:rsidR="00B62263" w:rsidRDefault="00B62263">
      <w:pPr>
        <w:rPr>
          <w:rFonts w:ascii="Times New Roman" w:hAnsi="Times New Roman" w:cs="Times New Roman"/>
          <w:sz w:val="24"/>
          <w:szCs w:val="24"/>
        </w:rPr>
      </w:pPr>
      <w:r>
        <w:rPr>
          <w:rFonts w:ascii="Times New Roman" w:hAnsi="Times New Roman" w:cs="Times New Roman"/>
          <w:sz w:val="24"/>
          <w:szCs w:val="24"/>
        </w:rPr>
        <w:br w:type="page"/>
      </w:r>
    </w:p>
    <w:p w14:paraId="37DCC18F" w14:textId="3F0F8054" w:rsidR="00044A3D" w:rsidRDefault="00044A3D" w:rsidP="00610F80">
      <w:pPr>
        <w:pStyle w:val="Estilo1"/>
        <w:outlineLvl w:val="0"/>
      </w:pPr>
      <w:bookmarkStart w:id="1" w:name="_Toc382321797"/>
      <w:r>
        <w:lastRenderedPageBreak/>
        <w:t>Fondo R</w:t>
      </w:r>
      <w:r w:rsidRPr="00E156CA">
        <w:t>egional</w:t>
      </w:r>
      <w:bookmarkEnd w:id="1"/>
    </w:p>
    <w:p w14:paraId="2AFA6DEE" w14:textId="77777777" w:rsidR="009F143A" w:rsidRDefault="00471AFA" w:rsidP="00B84F69">
      <w:pPr>
        <w:spacing w:after="0" w:line="480" w:lineRule="auto"/>
        <w:contextualSpacing/>
        <w:jc w:val="both"/>
        <w:rPr>
          <w:rFonts w:ascii="Times New Roman" w:eastAsia="Times New Roman" w:hAnsi="Times New Roman" w:cs="Times New Roman"/>
          <w:sz w:val="24"/>
          <w:szCs w:val="24"/>
        </w:rPr>
      </w:pPr>
      <w:r w:rsidRPr="00471AFA">
        <w:rPr>
          <w:rFonts w:ascii="Times New Roman" w:eastAsia="Times New Roman" w:hAnsi="Times New Roman" w:cs="Times New Roman"/>
          <w:sz w:val="24"/>
          <w:szCs w:val="24"/>
        </w:rPr>
        <w:t>El Fondo Regional es un</w:t>
      </w:r>
      <w:r w:rsidR="003C585A">
        <w:rPr>
          <w:rFonts w:ascii="Times New Roman" w:eastAsia="Times New Roman" w:hAnsi="Times New Roman" w:cs="Times New Roman"/>
          <w:sz w:val="24"/>
          <w:szCs w:val="24"/>
        </w:rPr>
        <w:t xml:space="preserve">a transferencia que realiza el gobierno federal a los gobiernos estatales, con el </w:t>
      </w:r>
      <w:r w:rsidRPr="00471AFA">
        <w:rPr>
          <w:rFonts w:ascii="Times New Roman" w:eastAsia="Times New Roman" w:hAnsi="Times New Roman" w:cs="Times New Roman"/>
          <w:sz w:val="24"/>
          <w:szCs w:val="24"/>
        </w:rPr>
        <w:t>propósito</w:t>
      </w:r>
      <w:r w:rsidR="003C585A">
        <w:rPr>
          <w:rFonts w:ascii="Times New Roman" w:eastAsia="Times New Roman" w:hAnsi="Times New Roman" w:cs="Times New Roman"/>
          <w:sz w:val="24"/>
          <w:szCs w:val="24"/>
        </w:rPr>
        <w:t xml:space="preserve"> de</w:t>
      </w:r>
      <w:r w:rsidRPr="00471AFA">
        <w:rPr>
          <w:rFonts w:ascii="Times New Roman" w:eastAsia="Times New Roman" w:hAnsi="Times New Roman" w:cs="Times New Roman"/>
          <w:sz w:val="24"/>
          <w:szCs w:val="24"/>
        </w:rPr>
        <w:t xml:space="preserve"> mejorar el IDH de las diez entidades federativas que </w:t>
      </w:r>
      <w:r w:rsidR="00F5331D">
        <w:rPr>
          <w:rFonts w:ascii="Times New Roman" w:eastAsia="Times New Roman" w:hAnsi="Times New Roman" w:cs="Times New Roman"/>
          <w:sz w:val="24"/>
          <w:szCs w:val="24"/>
        </w:rPr>
        <w:t>presentan</w:t>
      </w:r>
      <w:r w:rsidR="00F5331D" w:rsidRPr="00471AFA">
        <w:rPr>
          <w:rFonts w:ascii="Times New Roman" w:eastAsia="Times New Roman" w:hAnsi="Times New Roman" w:cs="Times New Roman"/>
          <w:sz w:val="24"/>
          <w:szCs w:val="24"/>
        </w:rPr>
        <w:t xml:space="preserve"> </w:t>
      </w:r>
      <w:r w:rsidRPr="00471AFA">
        <w:rPr>
          <w:rFonts w:ascii="Times New Roman" w:eastAsia="Times New Roman" w:hAnsi="Times New Roman" w:cs="Times New Roman"/>
          <w:sz w:val="24"/>
          <w:szCs w:val="24"/>
        </w:rPr>
        <w:t xml:space="preserve">los menores niveles en dicho indicador. </w:t>
      </w:r>
      <w:r w:rsidR="00FC0B11">
        <w:rPr>
          <w:rFonts w:ascii="Times New Roman" w:eastAsia="Times New Roman" w:hAnsi="Times New Roman" w:cs="Times New Roman"/>
          <w:sz w:val="24"/>
          <w:szCs w:val="24"/>
        </w:rPr>
        <w:t xml:space="preserve">Lo que se busca es la provisión de infraestructura </w:t>
      </w:r>
      <w:r w:rsidR="00266393">
        <w:rPr>
          <w:rFonts w:ascii="Times New Roman" w:eastAsia="Times New Roman" w:hAnsi="Times New Roman" w:cs="Times New Roman"/>
          <w:sz w:val="24"/>
          <w:szCs w:val="24"/>
        </w:rPr>
        <w:t xml:space="preserve">y equipamiento </w:t>
      </w:r>
      <w:r w:rsidR="003C585A">
        <w:rPr>
          <w:rFonts w:ascii="Times New Roman" w:eastAsia="Times New Roman" w:hAnsi="Times New Roman" w:cs="Times New Roman"/>
          <w:sz w:val="24"/>
          <w:szCs w:val="24"/>
        </w:rPr>
        <w:t xml:space="preserve">a las regiones más marginadas del país, a fin de fomentar la productividad necesaria para generar desarrollo en </w:t>
      </w:r>
      <w:r w:rsidR="00997102">
        <w:rPr>
          <w:rFonts w:ascii="Times New Roman" w:eastAsia="Times New Roman" w:hAnsi="Times New Roman" w:cs="Times New Roman"/>
          <w:sz w:val="24"/>
          <w:szCs w:val="24"/>
        </w:rPr>
        <w:t>tales</w:t>
      </w:r>
      <w:r w:rsidR="003C585A">
        <w:rPr>
          <w:rFonts w:ascii="Times New Roman" w:eastAsia="Times New Roman" w:hAnsi="Times New Roman" w:cs="Times New Roman"/>
          <w:sz w:val="24"/>
          <w:szCs w:val="24"/>
        </w:rPr>
        <w:t xml:space="preserve"> zonas. </w:t>
      </w:r>
      <w:r w:rsidR="002B5BA8" w:rsidRPr="00471AFA">
        <w:rPr>
          <w:rFonts w:ascii="Times New Roman" w:eastAsia="Times New Roman" w:hAnsi="Times New Roman" w:cs="Times New Roman"/>
          <w:sz w:val="24"/>
          <w:szCs w:val="24"/>
        </w:rPr>
        <w:t xml:space="preserve">Las entidades federativas que </w:t>
      </w:r>
      <w:r w:rsidR="00997102">
        <w:rPr>
          <w:rFonts w:ascii="Times New Roman" w:eastAsia="Times New Roman" w:hAnsi="Times New Roman" w:cs="Times New Roman"/>
          <w:sz w:val="24"/>
          <w:szCs w:val="24"/>
        </w:rPr>
        <w:t>desde la creación del Fondo han recibido los recursos son</w:t>
      </w:r>
      <w:r w:rsidR="002B5BA8" w:rsidRPr="00471AFA">
        <w:rPr>
          <w:rFonts w:ascii="Times New Roman" w:eastAsia="Times New Roman" w:hAnsi="Times New Roman" w:cs="Times New Roman"/>
          <w:sz w:val="24"/>
          <w:szCs w:val="24"/>
        </w:rPr>
        <w:t xml:space="preserve"> Chiapas, Guerrero, Hidalgo, Michoacán, Nayarit, Oaxaca, Puebla, Tlaxcala, Veracruz y Zacatecas; y son seleccionadas co</w:t>
      </w:r>
      <w:r w:rsidR="002B5BA8">
        <w:rPr>
          <w:rFonts w:ascii="Times New Roman" w:eastAsia="Times New Roman" w:hAnsi="Times New Roman" w:cs="Times New Roman"/>
          <w:sz w:val="24"/>
          <w:szCs w:val="24"/>
        </w:rPr>
        <w:t>n base en su desviación de IDH respecto a la media nacional calculada por el</w:t>
      </w:r>
      <w:r w:rsidR="002B5BA8" w:rsidRPr="00471AFA">
        <w:rPr>
          <w:rFonts w:ascii="Times New Roman" w:eastAsia="Times New Roman" w:hAnsi="Times New Roman" w:cs="Times New Roman"/>
          <w:sz w:val="24"/>
          <w:szCs w:val="24"/>
        </w:rPr>
        <w:t xml:space="preserve"> Programa de las Naciones Unidas para el Desarrollo (PNUD).</w:t>
      </w:r>
    </w:p>
    <w:p w14:paraId="64581B46" w14:textId="77777777" w:rsidR="006C2526" w:rsidRDefault="006C2526" w:rsidP="00B84F69">
      <w:pPr>
        <w:spacing w:after="0"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 infraestructura que se provee por medio del </w:t>
      </w:r>
      <w:proofErr w:type="spellStart"/>
      <w:r>
        <w:rPr>
          <w:rFonts w:ascii="Times New Roman" w:eastAsia="Times New Roman" w:hAnsi="Times New Roman" w:cs="Times New Roman"/>
          <w:sz w:val="24"/>
          <w:szCs w:val="24"/>
        </w:rPr>
        <w:t>Fonregión</w:t>
      </w:r>
      <w:proofErr w:type="spellEnd"/>
      <w:r>
        <w:rPr>
          <w:rFonts w:ascii="Times New Roman" w:eastAsia="Times New Roman" w:hAnsi="Times New Roman" w:cs="Times New Roman"/>
          <w:sz w:val="24"/>
          <w:szCs w:val="24"/>
        </w:rPr>
        <w:t xml:space="preserve"> se organiza a través de programas y proyectos de inversión. De acuerdo con </w:t>
      </w:r>
      <w:r w:rsidR="00D06C7B">
        <w:rPr>
          <w:rFonts w:ascii="Times New Roman" w:eastAsia="Times New Roman" w:hAnsi="Times New Roman" w:cs="Times New Roman"/>
          <w:sz w:val="24"/>
          <w:szCs w:val="24"/>
        </w:rPr>
        <w:t xml:space="preserve">los </w:t>
      </w:r>
      <w:r>
        <w:rPr>
          <w:rFonts w:ascii="Times New Roman" w:eastAsia="Times New Roman" w:hAnsi="Times New Roman" w:cs="Times New Roman"/>
          <w:sz w:val="24"/>
          <w:szCs w:val="24"/>
        </w:rPr>
        <w:t xml:space="preserve">Lineamientos </w:t>
      </w:r>
      <w:r w:rsidRPr="006C2526">
        <w:rPr>
          <w:rFonts w:ascii="Times New Roman" w:eastAsia="Times New Roman" w:hAnsi="Times New Roman" w:cs="Times New Roman"/>
          <w:sz w:val="24"/>
          <w:szCs w:val="24"/>
        </w:rPr>
        <w:t>para la aplicación, rendición de cuentas y transparencia de los programas y proyectos de inversión apoyados con los recursos del Fondo Regional</w:t>
      </w:r>
      <w:r w:rsidR="00742D9C">
        <w:rPr>
          <w:rFonts w:ascii="Times New Roman" w:eastAsia="Times New Roman" w:hAnsi="Times New Roman" w:cs="Times New Roman"/>
          <w:sz w:val="24"/>
          <w:szCs w:val="24"/>
        </w:rPr>
        <w:t xml:space="preserve">, </w:t>
      </w:r>
      <w:r w:rsidR="00CB6148">
        <w:rPr>
          <w:rFonts w:ascii="Times New Roman" w:eastAsia="Times New Roman" w:hAnsi="Times New Roman" w:cs="Times New Roman"/>
          <w:sz w:val="24"/>
          <w:szCs w:val="24"/>
        </w:rPr>
        <w:t>publicados en el Diario Oficial de la Federación (DOF) el 20 de julio de 2007, se establecía que dichos programas y proyectos de inversión debían orientarse a “generar capacidades competitivas territoriales endógenas, es decir, en el ámbito territorial de las propias Entidades Federativas”.</w:t>
      </w:r>
      <w:r w:rsidR="00CB6148">
        <w:rPr>
          <w:rStyle w:val="Refdenotaalpie"/>
          <w:rFonts w:ascii="Times New Roman" w:eastAsia="Times New Roman" w:hAnsi="Times New Roman" w:cs="Times New Roman"/>
          <w:sz w:val="24"/>
          <w:szCs w:val="24"/>
        </w:rPr>
        <w:footnoteReference w:id="18"/>
      </w:r>
      <w:r w:rsidR="00E0511C">
        <w:rPr>
          <w:rFonts w:ascii="Times New Roman" w:eastAsia="Times New Roman" w:hAnsi="Times New Roman" w:cs="Times New Roman"/>
          <w:sz w:val="24"/>
          <w:szCs w:val="24"/>
        </w:rPr>
        <w:t xml:space="preserve"> Por tanto, la aplicación de los recursos no sólo busca disminuir la desigualdad regional entre entidades federativas, sino también al interior de cada una de ellas.</w:t>
      </w:r>
    </w:p>
    <w:p w14:paraId="231B4823" w14:textId="77777777" w:rsidR="00E0511C" w:rsidRDefault="00E0511C" w:rsidP="00B84F69">
      <w:pPr>
        <w:spacing w:after="0"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Los programas y proyectos financiados con recursos del Fondo </w:t>
      </w:r>
      <w:r w:rsidR="004514ED">
        <w:rPr>
          <w:rFonts w:ascii="Times New Roman" w:eastAsia="Times New Roman" w:hAnsi="Times New Roman" w:cs="Times New Roman"/>
          <w:sz w:val="24"/>
          <w:szCs w:val="24"/>
        </w:rPr>
        <w:t>incl</w:t>
      </w:r>
      <w:r w:rsidR="00D06C7B">
        <w:rPr>
          <w:rFonts w:ascii="Times New Roman" w:eastAsia="Times New Roman" w:hAnsi="Times New Roman" w:cs="Times New Roman"/>
          <w:sz w:val="24"/>
          <w:szCs w:val="24"/>
        </w:rPr>
        <w:t>uyen una amplia variedad de modalidades</w:t>
      </w:r>
      <w:r w:rsidR="004514ED">
        <w:rPr>
          <w:rFonts w:ascii="Times New Roman" w:eastAsia="Times New Roman" w:hAnsi="Times New Roman" w:cs="Times New Roman"/>
          <w:sz w:val="24"/>
          <w:szCs w:val="24"/>
        </w:rPr>
        <w:t xml:space="preserve">. Así pues, los programas y proyectos financiados </w:t>
      </w:r>
      <w:r>
        <w:rPr>
          <w:rFonts w:ascii="Times New Roman" w:eastAsia="Times New Roman" w:hAnsi="Times New Roman" w:cs="Times New Roman"/>
          <w:sz w:val="24"/>
          <w:szCs w:val="24"/>
        </w:rPr>
        <w:t xml:space="preserve">pueden incluir estudios de </w:t>
      </w:r>
      <w:proofErr w:type="spellStart"/>
      <w:r>
        <w:rPr>
          <w:rFonts w:ascii="Times New Roman" w:eastAsia="Times New Roman" w:hAnsi="Times New Roman" w:cs="Times New Roman"/>
          <w:sz w:val="24"/>
          <w:szCs w:val="24"/>
        </w:rPr>
        <w:t>preinversión</w:t>
      </w:r>
      <w:proofErr w:type="spellEnd"/>
      <w:r>
        <w:rPr>
          <w:rFonts w:ascii="Times New Roman" w:eastAsia="Times New Roman" w:hAnsi="Times New Roman" w:cs="Times New Roman"/>
          <w:sz w:val="24"/>
          <w:szCs w:val="24"/>
        </w:rPr>
        <w:t xml:space="preserve"> o de diseño</w:t>
      </w:r>
      <w:r w:rsidR="004514ED">
        <w:rPr>
          <w:rFonts w:ascii="Times New Roman" w:eastAsia="Times New Roman" w:hAnsi="Times New Roman" w:cs="Times New Roman"/>
          <w:sz w:val="24"/>
          <w:szCs w:val="24"/>
        </w:rPr>
        <w:t xml:space="preserve">, evaluaciones costo-beneficio o bien la propia </w:t>
      </w:r>
      <w:r w:rsidR="004514ED">
        <w:rPr>
          <w:rFonts w:ascii="Times New Roman" w:eastAsia="Times New Roman" w:hAnsi="Times New Roman" w:cs="Times New Roman"/>
          <w:sz w:val="24"/>
          <w:szCs w:val="24"/>
        </w:rPr>
        <w:lastRenderedPageBreak/>
        <w:t>ejecución de los programas y proyectos de inversión. Asimismo, pueden impulsarse proyectos y acciones prioritarias para el desarrollo regional de las entidades federativas.</w:t>
      </w:r>
    </w:p>
    <w:p w14:paraId="68AB3C48" w14:textId="2A3B09E6" w:rsidR="00E7103E" w:rsidRDefault="004514ED" w:rsidP="00B60F59">
      <w:pPr>
        <w:spacing w:after="0" w:line="48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procedimiento, de acuerdo con los lineamientos de 2007, para obtener recursos para proyecto</w:t>
      </w:r>
      <w:r w:rsidR="00AF748F">
        <w:rPr>
          <w:rFonts w:ascii="Times New Roman" w:eastAsia="Times New Roman" w:hAnsi="Times New Roman" w:cs="Times New Roman"/>
          <w:sz w:val="24"/>
          <w:szCs w:val="24"/>
        </w:rPr>
        <w:t xml:space="preserve">s con recursos del </w:t>
      </w:r>
      <w:proofErr w:type="spellStart"/>
      <w:r w:rsidR="00AF748F">
        <w:rPr>
          <w:rFonts w:ascii="Times New Roman" w:eastAsia="Times New Roman" w:hAnsi="Times New Roman" w:cs="Times New Roman"/>
          <w:sz w:val="24"/>
          <w:szCs w:val="24"/>
        </w:rPr>
        <w:t>Fonregión</w:t>
      </w:r>
      <w:proofErr w:type="spellEnd"/>
      <w:r w:rsidR="00AF748F">
        <w:rPr>
          <w:rFonts w:ascii="Times New Roman" w:eastAsia="Times New Roman" w:hAnsi="Times New Roman" w:cs="Times New Roman"/>
          <w:sz w:val="24"/>
          <w:szCs w:val="24"/>
        </w:rPr>
        <w:t xml:space="preserve"> es</w:t>
      </w:r>
      <w:r>
        <w:rPr>
          <w:rFonts w:ascii="Times New Roman" w:eastAsia="Times New Roman" w:hAnsi="Times New Roman" w:cs="Times New Roman"/>
          <w:sz w:val="24"/>
          <w:szCs w:val="24"/>
        </w:rPr>
        <w:t xml:space="preserve"> el siguiente. En los primeros 6 meses del año, las entidades federativas, a través de sus Secr</w:t>
      </w:r>
      <w:r w:rsidR="00AF748F">
        <w:rPr>
          <w:rFonts w:ascii="Times New Roman" w:eastAsia="Times New Roman" w:hAnsi="Times New Roman" w:cs="Times New Roman"/>
          <w:sz w:val="24"/>
          <w:szCs w:val="24"/>
        </w:rPr>
        <w:t>etarías de Finanzas, presenta</w:t>
      </w:r>
      <w:r>
        <w:rPr>
          <w:rFonts w:ascii="Times New Roman" w:eastAsia="Times New Roman" w:hAnsi="Times New Roman" w:cs="Times New Roman"/>
          <w:sz w:val="24"/>
          <w:szCs w:val="24"/>
        </w:rPr>
        <w:t>n una</w:t>
      </w:r>
      <w:r w:rsidR="00D06C7B">
        <w:rPr>
          <w:rFonts w:ascii="Times New Roman" w:eastAsia="Times New Roman" w:hAnsi="Times New Roman" w:cs="Times New Roman"/>
          <w:sz w:val="24"/>
          <w:szCs w:val="24"/>
        </w:rPr>
        <w:t xml:space="preserve"> cartera de proyectos a la </w:t>
      </w:r>
      <w:r w:rsidR="00D06C7B" w:rsidRPr="00471AFA">
        <w:rPr>
          <w:rFonts w:ascii="Times New Roman" w:eastAsia="Times New Roman" w:hAnsi="Times New Roman" w:cs="Times New Roman"/>
          <w:sz w:val="24"/>
          <w:szCs w:val="24"/>
        </w:rPr>
        <w:t>Unidad de Política y Control Presupuestario (UPCP) de la SHCP, que es la dependencia encargada de aprobar los proyectos y aportar los recursos para las 10 entidades federativas.</w:t>
      </w:r>
      <w:r>
        <w:rPr>
          <w:rFonts w:ascii="Times New Roman" w:eastAsia="Times New Roman" w:hAnsi="Times New Roman" w:cs="Times New Roman"/>
          <w:sz w:val="24"/>
          <w:szCs w:val="24"/>
        </w:rPr>
        <w:t xml:space="preserve"> </w:t>
      </w:r>
      <w:r w:rsidR="00D06C7B">
        <w:rPr>
          <w:rFonts w:ascii="Times New Roman" w:eastAsia="Times New Roman" w:hAnsi="Times New Roman" w:cs="Times New Roman"/>
          <w:sz w:val="24"/>
          <w:szCs w:val="24"/>
        </w:rPr>
        <w:t>En dicha cartera se especifican</w:t>
      </w:r>
      <w:r>
        <w:rPr>
          <w:rFonts w:ascii="Times New Roman" w:eastAsia="Times New Roman" w:hAnsi="Times New Roman" w:cs="Times New Roman"/>
          <w:sz w:val="24"/>
          <w:szCs w:val="24"/>
        </w:rPr>
        <w:t xml:space="preserve"> los proyectos solicitados, </w:t>
      </w:r>
      <w:r w:rsidR="00165295">
        <w:rPr>
          <w:rFonts w:ascii="Times New Roman" w:eastAsia="Times New Roman" w:hAnsi="Times New Roman" w:cs="Times New Roman"/>
          <w:sz w:val="24"/>
          <w:szCs w:val="24"/>
        </w:rPr>
        <w:t xml:space="preserve">los cuales deben estar vinculados y alineados con la estrategia de desarrollo regional </w:t>
      </w:r>
      <w:proofErr w:type="gramStart"/>
      <w:r w:rsidR="00165295">
        <w:rPr>
          <w:rFonts w:ascii="Times New Roman" w:eastAsia="Times New Roman" w:hAnsi="Times New Roman" w:cs="Times New Roman"/>
          <w:sz w:val="24"/>
          <w:szCs w:val="24"/>
        </w:rPr>
        <w:t>definida</w:t>
      </w:r>
      <w:proofErr w:type="gramEnd"/>
      <w:r w:rsidR="00165295">
        <w:rPr>
          <w:rFonts w:ascii="Times New Roman" w:eastAsia="Times New Roman" w:hAnsi="Times New Roman" w:cs="Times New Roman"/>
          <w:sz w:val="24"/>
          <w:szCs w:val="24"/>
        </w:rPr>
        <w:t xml:space="preserve"> en el Plan Estatal de Desarrollo y sus programas derivados</w:t>
      </w:r>
      <w:r w:rsidR="00F720EA">
        <w:rPr>
          <w:rFonts w:ascii="Times New Roman" w:eastAsia="Times New Roman" w:hAnsi="Times New Roman" w:cs="Times New Roman"/>
          <w:sz w:val="24"/>
          <w:szCs w:val="24"/>
        </w:rPr>
        <w:t>.</w:t>
      </w:r>
    </w:p>
    <w:p w14:paraId="0C3480A2" w14:textId="77777777" w:rsidR="00E7103E" w:rsidRDefault="000941F9" w:rsidP="00B60F59">
      <w:pPr>
        <w:spacing w:after="0" w:line="48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su parte, la cartera de proyectos debe ir acompañada por una nota técnica con la que</w:t>
      </w:r>
      <w:r w:rsidR="002972F6">
        <w:rPr>
          <w:rFonts w:ascii="Times New Roman" w:eastAsia="Times New Roman" w:hAnsi="Times New Roman" w:cs="Times New Roman"/>
          <w:sz w:val="24"/>
          <w:szCs w:val="24"/>
        </w:rPr>
        <w:t xml:space="preserve"> se solicitan los recursos, en </w:t>
      </w:r>
      <w:r>
        <w:rPr>
          <w:rFonts w:ascii="Times New Roman" w:eastAsia="Times New Roman" w:hAnsi="Times New Roman" w:cs="Times New Roman"/>
          <w:sz w:val="24"/>
          <w:szCs w:val="24"/>
        </w:rPr>
        <w:t>l</w:t>
      </w:r>
      <w:r w:rsidR="002972F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que se especifique el impacto que deberá tener el proyecto en cuestión en el desarrollo de la región. Algunas de las especificaciones que deberá contener dicha nota son la población </w:t>
      </w:r>
      <w:proofErr w:type="gramStart"/>
      <w:r>
        <w:rPr>
          <w:rFonts w:ascii="Times New Roman" w:eastAsia="Times New Roman" w:hAnsi="Times New Roman" w:cs="Times New Roman"/>
          <w:sz w:val="24"/>
          <w:szCs w:val="24"/>
        </w:rPr>
        <w:t>objetivo</w:t>
      </w:r>
      <w:proofErr w:type="gramEnd"/>
      <w:r>
        <w:rPr>
          <w:rFonts w:ascii="Times New Roman" w:eastAsia="Times New Roman" w:hAnsi="Times New Roman" w:cs="Times New Roman"/>
          <w:sz w:val="24"/>
          <w:szCs w:val="24"/>
        </w:rPr>
        <w:t xml:space="preserve"> del programa o proyecto, monto del apoyo financiero solicitado, calendario de ministraciones, indicación de otras fuentes de financiamiento, así como una explicación de las etapas y componentes del proyecto.</w:t>
      </w:r>
      <w:r w:rsidR="00D0766F">
        <w:rPr>
          <w:rFonts w:ascii="Times New Roman" w:eastAsia="Times New Roman" w:hAnsi="Times New Roman" w:cs="Times New Roman"/>
          <w:sz w:val="24"/>
          <w:szCs w:val="24"/>
        </w:rPr>
        <w:t xml:space="preserve"> Por último, dicha nota técnica debe estar fundamentada y acompañada con documentos de análisis costo-beneficio.</w:t>
      </w:r>
    </w:p>
    <w:p w14:paraId="55377E99" w14:textId="5D2FE026" w:rsidR="00F720EA" w:rsidRDefault="00F720EA" w:rsidP="00D0766F">
      <w:pPr>
        <w:spacing w:after="0" w:line="480" w:lineRule="auto"/>
        <w:ind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Ahora bien, e</w:t>
      </w:r>
      <w:r w:rsidR="003C6E49">
        <w:rPr>
          <w:rFonts w:ascii="Times New Roman" w:eastAsia="Times New Roman" w:hAnsi="Times New Roman" w:cs="Times New Roman"/>
          <w:color w:val="000000"/>
          <w:sz w:val="24"/>
          <w:szCs w:val="24"/>
        </w:rPr>
        <w:t>n relación con la distribución de recursos del Fondo, en la Gráfica</w:t>
      </w:r>
      <w:r w:rsidR="001F2FD0">
        <w:rPr>
          <w:rFonts w:ascii="Times New Roman" w:eastAsia="Times New Roman" w:hAnsi="Times New Roman" w:cs="Times New Roman"/>
          <w:color w:val="000000"/>
          <w:sz w:val="24"/>
          <w:szCs w:val="24"/>
        </w:rPr>
        <w:t xml:space="preserve"> </w:t>
      </w:r>
      <w:r w:rsidR="003C6E49">
        <w:rPr>
          <w:rFonts w:ascii="Times New Roman" w:eastAsia="Times New Roman" w:hAnsi="Times New Roman" w:cs="Times New Roman"/>
          <w:color w:val="000000"/>
          <w:sz w:val="24"/>
          <w:szCs w:val="24"/>
        </w:rPr>
        <w:t>1 se observa</w:t>
      </w:r>
      <w:r w:rsidR="00D0766F" w:rsidRPr="003C4B6A">
        <w:rPr>
          <w:rFonts w:ascii="Times New Roman" w:eastAsia="Times New Roman" w:hAnsi="Times New Roman" w:cs="Times New Roman"/>
          <w:color w:val="000000"/>
          <w:sz w:val="24"/>
          <w:szCs w:val="24"/>
        </w:rPr>
        <w:t xml:space="preserve"> la evolución en el tiempo de la distribución de los recursos</w:t>
      </w:r>
      <w:r w:rsidR="001F2FD0">
        <w:rPr>
          <w:rFonts w:ascii="Times New Roman" w:eastAsia="Times New Roman" w:hAnsi="Times New Roman" w:cs="Times New Roman"/>
          <w:color w:val="000000"/>
          <w:sz w:val="24"/>
          <w:szCs w:val="24"/>
        </w:rPr>
        <w:t>, la cual</w:t>
      </w:r>
      <w:r w:rsidR="00D0766F" w:rsidRPr="003C4B6A">
        <w:rPr>
          <w:rFonts w:ascii="Times New Roman" w:eastAsia="Times New Roman" w:hAnsi="Times New Roman" w:cs="Times New Roman"/>
          <w:color w:val="000000"/>
          <w:sz w:val="24"/>
          <w:szCs w:val="24"/>
        </w:rPr>
        <w:t xml:space="preserve"> ha tendido a otorgarle un mayor porcentaje a Guerrero, Oaxaca y Chiapa</w:t>
      </w:r>
      <w:r w:rsidR="00D0766F">
        <w:rPr>
          <w:rFonts w:ascii="Times New Roman" w:eastAsia="Times New Roman" w:hAnsi="Times New Roman" w:cs="Times New Roman"/>
          <w:color w:val="000000"/>
          <w:sz w:val="24"/>
          <w:szCs w:val="24"/>
        </w:rPr>
        <w:t>s, a partir de 2011. Esto no es ninguna sorpresa si consideramos que los recursos se entregan con base en la desviación respecto a la media de índice de desarrollo humano. No obstante, lo que sí llama la atención es que mientras que</w:t>
      </w:r>
      <w:r w:rsidR="00D0766F" w:rsidRPr="003C4B6A">
        <w:rPr>
          <w:rFonts w:ascii="Times New Roman" w:eastAsia="Times New Roman" w:hAnsi="Times New Roman" w:cs="Times New Roman"/>
          <w:color w:val="000000"/>
          <w:sz w:val="24"/>
          <w:szCs w:val="24"/>
        </w:rPr>
        <w:t xml:space="preserve"> en 2010, se otorgaba lo mismo a estas tres entidades que a las 7 </w:t>
      </w:r>
      <w:r w:rsidR="00D0766F" w:rsidRPr="003C4B6A">
        <w:rPr>
          <w:rFonts w:ascii="Times New Roman" w:eastAsia="Times New Roman" w:hAnsi="Times New Roman" w:cs="Times New Roman"/>
          <w:color w:val="000000"/>
          <w:sz w:val="24"/>
          <w:szCs w:val="24"/>
        </w:rPr>
        <w:lastRenderedPageBreak/>
        <w:t xml:space="preserve">restantes, en 2011 se dio un giro y las entidades que se estudiarán en esta tesina, superaron a las otras en cerca de 20% de los recursos. </w:t>
      </w:r>
    </w:p>
    <w:p w14:paraId="4D0092D1" w14:textId="77777777" w:rsidR="00D0766F" w:rsidRDefault="00D0766F" w:rsidP="00D0766F">
      <w:pPr>
        <w:spacing w:after="0" w:line="480" w:lineRule="auto"/>
        <w:ind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w:t>
      </w:r>
      <w:r w:rsidRPr="002647D2">
        <w:rPr>
          <w:rFonts w:ascii="Times New Roman" w:eastAsia="Times New Roman" w:hAnsi="Times New Roman" w:cs="Times New Roman"/>
          <w:sz w:val="24"/>
          <w:szCs w:val="24"/>
        </w:rPr>
        <w:t xml:space="preserve">n esta tesina me enfocaré en los tres estados que han acaparado los recursos del </w:t>
      </w:r>
      <w:proofErr w:type="spellStart"/>
      <w:r w:rsidRPr="002647D2">
        <w:rPr>
          <w:rFonts w:ascii="Times New Roman" w:eastAsia="Times New Roman" w:hAnsi="Times New Roman" w:cs="Times New Roman"/>
          <w:sz w:val="24"/>
          <w:szCs w:val="24"/>
        </w:rPr>
        <w:t>Fonregión</w:t>
      </w:r>
      <w:proofErr w:type="spellEnd"/>
      <w:r w:rsidRPr="002647D2">
        <w:rPr>
          <w:rFonts w:ascii="Times New Roman" w:eastAsia="Times New Roman" w:hAnsi="Times New Roman" w:cs="Times New Roman"/>
          <w:sz w:val="24"/>
          <w:szCs w:val="24"/>
        </w:rPr>
        <w:t xml:space="preserve">, dado que los recursos que reciben las otras siete entidades federativas son muy pocos y no permitirían un análisis detallado sobre la </w:t>
      </w:r>
      <w:r>
        <w:rPr>
          <w:rFonts w:ascii="Times New Roman" w:eastAsia="Times New Roman" w:hAnsi="Times New Roman" w:cs="Times New Roman"/>
          <w:sz w:val="24"/>
          <w:szCs w:val="24"/>
        </w:rPr>
        <w:t>l</w:t>
      </w:r>
      <w:r w:rsidRPr="002647D2">
        <w:rPr>
          <w:rFonts w:ascii="Times New Roman" w:eastAsia="Times New Roman" w:hAnsi="Times New Roman" w:cs="Times New Roman"/>
          <w:sz w:val="24"/>
          <w:szCs w:val="24"/>
        </w:rPr>
        <w:t>ógica de</w:t>
      </w:r>
      <w:r w:rsidRPr="00160C65">
        <w:rPr>
          <w:rFonts w:ascii="Times New Roman" w:eastAsia="Times New Roman" w:hAnsi="Times New Roman" w:cs="Times New Roman"/>
          <w:sz w:val="24"/>
          <w:szCs w:val="24"/>
        </w:rPr>
        <w:t xml:space="preserve"> asignación.</w:t>
      </w:r>
      <w:r w:rsidR="005C7A55">
        <w:rPr>
          <w:rFonts w:ascii="Times New Roman" w:eastAsia="Times New Roman" w:hAnsi="Times New Roman" w:cs="Times New Roman"/>
          <w:sz w:val="24"/>
          <w:szCs w:val="24"/>
        </w:rPr>
        <w:t xml:space="preserve"> </w:t>
      </w:r>
      <w:r w:rsidRPr="00160C65">
        <w:rPr>
          <w:rFonts w:ascii="Times New Roman" w:eastAsia="Times New Roman" w:hAnsi="Times New Roman" w:cs="Times New Roman"/>
          <w:sz w:val="24"/>
          <w:szCs w:val="24"/>
        </w:rPr>
        <w:t xml:space="preserve">El peso de estos estados se corrobora con la Matriz de Indicadores para Resultados del Fondo, </w:t>
      </w:r>
      <w:r w:rsidRPr="00160C65">
        <w:rPr>
          <w:rFonts w:ascii="Times New Roman" w:hAnsi="Times New Roman" w:cs="Times New Roman"/>
          <w:color w:val="222222"/>
          <w:sz w:val="24"/>
          <w:szCs w:val="24"/>
          <w:shd w:val="clear" w:color="auto" w:fill="FFFFFF"/>
        </w:rPr>
        <w:t>la cual supuestamente es una</w:t>
      </w:r>
      <w:r w:rsidRPr="00160C65">
        <w:rPr>
          <w:rFonts w:ascii="Times New Roman" w:eastAsia="Times New Roman" w:hAnsi="Times New Roman" w:cs="Times New Roman"/>
          <w:sz w:val="24"/>
          <w:szCs w:val="24"/>
        </w:rPr>
        <w:t xml:space="preserve"> herramienta de p</w:t>
      </w:r>
      <w:r w:rsidRPr="00160C65">
        <w:rPr>
          <w:rFonts w:ascii="Times New Roman" w:hAnsi="Times New Roman" w:cs="Times New Roman"/>
          <w:color w:val="222222"/>
          <w:sz w:val="24"/>
          <w:szCs w:val="24"/>
          <w:shd w:val="clear" w:color="auto" w:fill="FFFFFF"/>
        </w:rPr>
        <w:t xml:space="preserve">laneación estratégica que sirve para medir </w:t>
      </w:r>
      <w:r>
        <w:rPr>
          <w:rFonts w:ascii="Times New Roman" w:hAnsi="Times New Roman" w:cs="Times New Roman"/>
          <w:color w:val="222222"/>
          <w:sz w:val="24"/>
          <w:szCs w:val="24"/>
          <w:shd w:val="clear" w:color="auto" w:fill="FFFFFF"/>
        </w:rPr>
        <w:t xml:space="preserve">en su totalidad </w:t>
      </w:r>
      <w:r w:rsidRPr="00160C65">
        <w:rPr>
          <w:rFonts w:ascii="Times New Roman" w:hAnsi="Times New Roman" w:cs="Times New Roman"/>
          <w:color w:val="222222"/>
          <w:sz w:val="24"/>
          <w:szCs w:val="24"/>
          <w:shd w:val="clear" w:color="auto" w:fill="FFFFFF"/>
        </w:rPr>
        <w:t>el logro de objetivos del Fondo, pero que sólo toma en cuenta los recursos y proyectos que se llevan a cabo en estas tres entidades federativas.</w:t>
      </w:r>
      <w:r w:rsidRPr="002647D2">
        <w:rPr>
          <w:rStyle w:val="Refdenotaalpie"/>
          <w:rFonts w:ascii="Times New Roman" w:eastAsia="Times New Roman" w:hAnsi="Times New Roman" w:cs="Times New Roman"/>
          <w:sz w:val="24"/>
          <w:szCs w:val="24"/>
        </w:rPr>
        <w:footnoteReference w:id="19"/>
      </w:r>
      <w:r>
        <w:rPr>
          <w:rFonts w:ascii="Times New Roman" w:hAnsi="Times New Roman" w:cs="Times New Roman"/>
          <w:color w:val="222222"/>
          <w:sz w:val="24"/>
          <w:szCs w:val="24"/>
          <w:shd w:val="clear" w:color="auto" w:fill="FFFFFF"/>
        </w:rPr>
        <w:t xml:space="preserve"> </w:t>
      </w:r>
    </w:p>
    <w:p w14:paraId="570E1ACC" w14:textId="76BDB3F9" w:rsidR="00F720EA" w:rsidRDefault="00D0766F" w:rsidP="00FB3876">
      <w:pPr>
        <w:spacing w:after="0" w:line="240" w:lineRule="auto"/>
        <w:jc w:val="center"/>
        <w:rPr>
          <w:rFonts w:ascii="Times New Roman" w:eastAsia="Times New Roman" w:hAnsi="Times New Roman" w:cs="Times New Roman"/>
          <w:b/>
          <w:sz w:val="24"/>
          <w:szCs w:val="24"/>
        </w:rPr>
      </w:pPr>
      <w:r w:rsidRPr="00E04D4F">
        <w:rPr>
          <w:rFonts w:ascii="Times New Roman" w:eastAsia="Times New Roman" w:hAnsi="Times New Roman" w:cs="Times New Roman"/>
          <w:b/>
          <w:sz w:val="24"/>
          <w:szCs w:val="24"/>
        </w:rPr>
        <w:t>Gráfica 1. Porcentaje de recursos del Fondo Regional</w:t>
      </w:r>
      <w:r>
        <w:rPr>
          <w:rFonts w:ascii="Times New Roman" w:eastAsia="Times New Roman" w:hAnsi="Times New Roman" w:cs="Times New Roman"/>
          <w:b/>
          <w:sz w:val="24"/>
          <w:szCs w:val="24"/>
        </w:rPr>
        <w:t xml:space="preserve"> para Guerrero Oaxaca y Chiapas y el resto de los beneficiarios</w:t>
      </w:r>
    </w:p>
    <w:p w14:paraId="5326ED4F" w14:textId="0736005B" w:rsidR="00E7103E" w:rsidRDefault="00975362" w:rsidP="00FB3876">
      <w:pPr>
        <w:spacing w:after="0" w:line="480" w:lineRule="auto"/>
        <w:jc w:val="center"/>
        <w:rPr>
          <w:rFonts w:ascii="Times New Roman" w:eastAsia="Times New Roman" w:hAnsi="Times New Roman" w:cs="Times New Roman"/>
          <w:sz w:val="24"/>
          <w:szCs w:val="24"/>
        </w:rPr>
      </w:pPr>
      <w:r>
        <w:rPr>
          <w:noProof/>
        </w:rPr>
        <w:drawing>
          <wp:inline distT="0" distB="0" distL="0" distR="0" wp14:anchorId="3DB84B98" wp14:editId="5251CFB3">
            <wp:extent cx="4572000" cy="2743200"/>
            <wp:effectExtent l="0" t="0" r="19050" b="1905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76ACA71" w14:textId="3AB158BD" w:rsidR="00D0766F" w:rsidRPr="00D47C46" w:rsidRDefault="00D0766F" w:rsidP="00CF0F05">
      <w:pPr>
        <w:pStyle w:val="Sinespaciado"/>
        <w:ind w:left="708" w:right="758"/>
        <w:jc w:val="center"/>
        <w:rPr>
          <w:rFonts w:ascii="Times New Roman" w:hAnsi="Times New Roman" w:cs="Times New Roman"/>
          <w:sz w:val="20"/>
          <w:szCs w:val="24"/>
        </w:rPr>
      </w:pPr>
      <w:r w:rsidRPr="00D47C46">
        <w:rPr>
          <w:rFonts w:ascii="Times New Roman" w:hAnsi="Times New Roman" w:cs="Times New Roman"/>
          <w:sz w:val="20"/>
          <w:szCs w:val="24"/>
        </w:rPr>
        <w:t>Fuente: Elaboración propia con base en los Decretos de Presupuesto de Egresos para la Federación.</w:t>
      </w:r>
      <w:r w:rsidR="0096687D">
        <w:rPr>
          <w:rFonts w:ascii="Times New Roman" w:hAnsi="Times New Roman" w:cs="Times New Roman"/>
          <w:sz w:val="20"/>
          <w:szCs w:val="24"/>
        </w:rPr>
        <w:t xml:space="preserve"> </w:t>
      </w:r>
      <w:r w:rsidRPr="00D47C46">
        <w:rPr>
          <w:rFonts w:ascii="Times New Roman" w:hAnsi="Times New Roman" w:cs="Times New Roman"/>
          <w:sz w:val="20"/>
          <w:szCs w:val="24"/>
        </w:rPr>
        <w:t xml:space="preserve">Nota: los datos </w:t>
      </w:r>
      <w:r>
        <w:rPr>
          <w:rFonts w:ascii="Times New Roman" w:hAnsi="Times New Roman" w:cs="Times New Roman"/>
          <w:sz w:val="20"/>
          <w:szCs w:val="24"/>
        </w:rPr>
        <w:t xml:space="preserve">en el PEF </w:t>
      </w:r>
      <w:r w:rsidRPr="00D47C46">
        <w:rPr>
          <w:rFonts w:ascii="Times New Roman" w:hAnsi="Times New Roman" w:cs="Times New Roman"/>
          <w:sz w:val="20"/>
          <w:szCs w:val="24"/>
        </w:rPr>
        <w:t>no están desglosados para años previos a 2009.</w:t>
      </w:r>
    </w:p>
    <w:p w14:paraId="5AEF1F1B" w14:textId="77777777" w:rsidR="00481210" w:rsidRPr="00481210" w:rsidRDefault="00481210" w:rsidP="00B60F59">
      <w:pPr>
        <w:spacing w:after="0" w:line="480" w:lineRule="auto"/>
        <w:contextualSpacing/>
        <w:jc w:val="both"/>
        <w:rPr>
          <w:rFonts w:ascii="Times New Roman" w:eastAsia="Times New Roman" w:hAnsi="Times New Roman" w:cs="Times New Roman"/>
          <w:sz w:val="12"/>
          <w:szCs w:val="24"/>
        </w:rPr>
      </w:pPr>
    </w:p>
    <w:p w14:paraId="50176E88" w14:textId="2D5E33EE" w:rsidR="00E7103E" w:rsidRDefault="009F143A" w:rsidP="00B60F59">
      <w:pPr>
        <w:spacing w:after="0" w:line="480" w:lineRule="auto"/>
        <w:contextualSpacing/>
        <w:jc w:val="both"/>
        <w:rPr>
          <w:rFonts w:ascii="Times New Roman" w:eastAsia="Times New Roman" w:hAnsi="Times New Roman" w:cs="Times New Roman"/>
          <w:sz w:val="24"/>
          <w:szCs w:val="24"/>
        </w:rPr>
      </w:pPr>
      <w:r w:rsidRPr="00601009">
        <w:rPr>
          <w:rFonts w:ascii="Times New Roman" w:eastAsia="Times New Roman" w:hAnsi="Times New Roman" w:cs="Times New Roman"/>
          <w:sz w:val="24"/>
          <w:szCs w:val="24"/>
        </w:rPr>
        <w:t xml:space="preserve">Es importante mencionar que el Fondo ha crecido en importancia a través del tiempo, desde su creación en 2007. Esto se refleja claramente en los recursos que la Cámara de Diputados ha aprobado para la operación del </w:t>
      </w:r>
      <w:proofErr w:type="spellStart"/>
      <w:r w:rsidRPr="00601009">
        <w:rPr>
          <w:rFonts w:ascii="Times New Roman" w:eastAsia="Times New Roman" w:hAnsi="Times New Roman" w:cs="Times New Roman"/>
          <w:sz w:val="24"/>
          <w:szCs w:val="24"/>
        </w:rPr>
        <w:t>Fonregión</w:t>
      </w:r>
      <w:proofErr w:type="spellEnd"/>
      <w:r w:rsidR="007E213B">
        <w:rPr>
          <w:rFonts w:ascii="Times New Roman" w:eastAsia="Times New Roman" w:hAnsi="Times New Roman" w:cs="Times New Roman"/>
          <w:sz w:val="24"/>
          <w:szCs w:val="24"/>
        </w:rPr>
        <w:t xml:space="preserve">, mismos que pueden observarse en la Gráfica </w:t>
      </w:r>
      <w:r w:rsidR="007E213B">
        <w:rPr>
          <w:rFonts w:ascii="Times New Roman" w:eastAsia="Times New Roman" w:hAnsi="Times New Roman" w:cs="Times New Roman"/>
          <w:sz w:val="24"/>
          <w:szCs w:val="24"/>
        </w:rPr>
        <w:lastRenderedPageBreak/>
        <w:t>2</w:t>
      </w:r>
      <w:r w:rsidRPr="00601009">
        <w:rPr>
          <w:rFonts w:ascii="Times New Roman" w:eastAsia="Times New Roman" w:hAnsi="Times New Roman" w:cs="Times New Roman"/>
          <w:sz w:val="24"/>
          <w:szCs w:val="24"/>
        </w:rPr>
        <w:t>. Cada año se han incrementado los recursos del Fondo hasta llegar a la cifra</w:t>
      </w:r>
      <w:r>
        <w:rPr>
          <w:rFonts w:ascii="Times New Roman" w:eastAsia="Times New Roman" w:hAnsi="Times New Roman" w:cs="Times New Roman"/>
          <w:sz w:val="24"/>
          <w:szCs w:val="24"/>
        </w:rPr>
        <w:t>,</w:t>
      </w:r>
      <w:r w:rsidRPr="00601009">
        <w:rPr>
          <w:rFonts w:ascii="Times New Roman" w:eastAsia="Times New Roman" w:hAnsi="Times New Roman" w:cs="Times New Roman"/>
          <w:sz w:val="24"/>
          <w:szCs w:val="24"/>
        </w:rPr>
        <w:t xml:space="preserve"> en 201</w:t>
      </w:r>
      <w:r w:rsidR="00481210">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601009">
        <w:rPr>
          <w:rFonts w:ascii="Times New Roman" w:eastAsia="Times New Roman" w:hAnsi="Times New Roman" w:cs="Times New Roman"/>
          <w:sz w:val="24"/>
          <w:szCs w:val="24"/>
        </w:rPr>
        <w:t xml:space="preserve"> de 6</w:t>
      </w:r>
      <w:r w:rsidR="00481210">
        <w:rPr>
          <w:rFonts w:ascii="Times New Roman" w:eastAsia="Times New Roman" w:hAnsi="Times New Roman" w:cs="Times New Roman"/>
          <w:sz w:val="24"/>
          <w:szCs w:val="24"/>
        </w:rPr>
        <w:t>747</w:t>
      </w:r>
      <w:r w:rsidRPr="00601009">
        <w:rPr>
          <w:rFonts w:ascii="Times New Roman" w:eastAsia="Times New Roman" w:hAnsi="Times New Roman" w:cs="Times New Roman"/>
          <w:sz w:val="24"/>
          <w:szCs w:val="24"/>
        </w:rPr>
        <w:t xml:space="preserve"> millones de pesos.</w:t>
      </w:r>
      <w:r w:rsidR="007E213B">
        <w:rPr>
          <w:rFonts w:ascii="Times New Roman" w:eastAsia="Times New Roman" w:hAnsi="Times New Roman" w:cs="Times New Roman"/>
          <w:sz w:val="24"/>
          <w:szCs w:val="24"/>
        </w:rPr>
        <w:t xml:space="preserve"> L</w:t>
      </w:r>
      <w:r w:rsidRPr="00601009">
        <w:rPr>
          <w:rFonts w:ascii="Times New Roman" w:eastAsia="Times New Roman" w:hAnsi="Times New Roman" w:cs="Times New Roman"/>
          <w:sz w:val="24"/>
          <w:szCs w:val="24"/>
        </w:rPr>
        <w:t>a proporción de esos recursos respecto al Presupue</w:t>
      </w:r>
      <w:r w:rsidR="00667EE3">
        <w:rPr>
          <w:rFonts w:ascii="Times New Roman" w:eastAsia="Times New Roman" w:hAnsi="Times New Roman" w:cs="Times New Roman"/>
          <w:sz w:val="24"/>
          <w:szCs w:val="24"/>
        </w:rPr>
        <w:t>sto total apenas representa el</w:t>
      </w:r>
      <w:r>
        <w:rPr>
          <w:rFonts w:ascii="Times New Roman" w:eastAsia="Times New Roman" w:hAnsi="Times New Roman" w:cs="Times New Roman"/>
          <w:sz w:val="24"/>
          <w:szCs w:val="24"/>
        </w:rPr>
        <w:t xml:space="preserve"> 0.</w:t>
      </w:r>
      <w:r w:rsidR="00667EE3">
        <w:rPr>
          <w:rFonts w:ascii="Times New Roman" w:eastAsia="Times New Roman" w:hAnsi="Times New Roman" w:cs="Times New Roman"/>
          <w:sz w:val="24"/>
          <w:szCs w:val="24"/>
        </w:rPr>
        <w:t>15</w:t>
      </w:r>
      <w:r>
        <w:rPr>
          <w:rFonts w:ascii="Times New Roman" w:eastAsia="Times New Roman" w:hAnsi="Times New Roman" w:cs="Times New Roman"/>
          <w:sz w:val="24"/>
          <w:szCs w:val="24"/>
        </w:rPr>
        <w:t>%</w:t>
      </w:r>
      <w:r w:rsidR="00457C5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en relación con el Ramo 23, </w:t>
      </w:r>
      <w:r w:rsidR="00667EE3">
        <w:rPr>
          <w:rFonts w:ascii="Times New Roman" w:eastAsia="Times New Roman" w:hAnsi="Times New Roman" w:cs="Times New Roman"/>
          <w:sz w:val="24"/>
          <w:szCs w:val="24"/>
        </w:rPr>
        <w:t xml:space="preserve">solamente </w:t>
      </w:r>
      <w:r>
        <w:rPr>
          <w:rFonts w:ascii="Times New Roman" w:eastAsia="Times New Roman" w:hAnsi="Times New Roman" w:cs="Times New Roman"/>
          <w:sz w:val="24"/>
          <w:szCs w:val="24"/>
        </w:rPr>
        <w:t xml:space="preserve">el </w:t>
      </w:r>
      <w:r w:rsidR="00667EE3">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00667EE3">
        <w:rPr>
          <w:rFonts w:ascii="Times New Roman" w:eastAsia="Times New Roman" w:hAnsi="Times New Roman" w:cs="Times New Roman"/>
          <w:sz w:val="24"/>
          <w:szCs w:val="24"/>
        </w:rPr>
        <w:t>49</w:t>
      </w:r>
      <w:r w:rsidR="00D0766F">
        <w:rPr>
          <w:rFonts w:ascii="Times New Roman" w:eastAsia="Times New Roman" w:hAnsi="Times New Roman" w:cs="Times New Roman"/>
          <w:sz w:val="24"/>
          <w:szCs w:val="24"/>
        </w:rPr>
        <w:t>%</w:t>
      </w:r>
      <w:r w:rsidR="00457C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y re</w:t>
      </w:r>
      <w:r w:rsidR="007E213B">
        <w:rPr>
          <w:rFonts w:ascii="Times New Roman" w:eastAsia="Times New Roman" w:hAnsi="Times New Roman" w:cs="Times New Roman"/>
          <w:sz w:val="24"/>
          <w:szCs w:val="24"/>
        </w:rPr>
        <w:t xml:space="preserve">specto al </w:t>
      </w:r>
      <w:r w:rsidR="00B65893">
        <w:rPr>
          <w:rFonts w:ascii="Times New Roman" w:eastAsia="Times New Roman" w:hAnsi="Times New Roman" w:cs="Times New Roman"/>
          <w:sz w:val="24"/>
          <w:szCs w:val="24"/>
        </w:rPr>
        <w:t>R</w:t>
      </w:r>
      <w:r w:rsidR="00A466AB">
        <w:rPr>
          <w:rFonts w:ascii="Times New Roman" w:eastAsia="Times New Roman" w:hAnsi="Times New Roman" w:cs="Times New Roman"/>
          <w:sz w:val="24"/>
          <w:szCs w:val="24"/>
        </w:rPr>
        <w:t>amo 33 sólo es 1.24</w:t>
      </w:r>
      <w:r w:rsidR="007E213B">
        <w:rPr>
          <w:rFonts w:ascii="Times New Roman" w:eastAsia="Times New Roman" w:hAnsi="Times New Roman" w:cs="Times New Roman"/>
          <w:sz w:val="24"/>
          <w:szCs w:val="24"/>
        </w:rPr>
        <w:t xml:space="preserve">%. </w:t>
      </w:r>
      <w:r w:rsidR="008715FF">
        <w:rPr>
          <w:rFonts w:ascii="Times New Roman" w:eastAsia="Times New Roman" w:hAnsi="Times New Roman" w:cs="Times New Roman"/>
          <w:sz w:val="24"/>
          <w:szCs w:val="24"/>
        </w:rPr>
        <w:t>Incluso en relación con los recursos que destina cada entidad federativa en materia de inversi</w:t>
      </w:r>
      <w:r w:rsidR="00FC1E44">
        <w:rPr>
          <w:rFonts w:ascii="Times New Roman" w:eastAsia="Times New Roman" w:hAnsi="Times New Roman" w:cs="Times New Roman"/>
          <w:sz w:val="24"/>
          <w:szCs w:val="24"/>
        </w:rPr>
        <w:t>ón, como se observa en la Gráfica 3, la proporción de recursos</w:t>
      </w:r>
      <w:r w:rsidR="00736778">
        <w:rPr>
          <w:rFonts w:ascii="Times New Roman" w:eastAsia="Times New Roman" w:hAnsi="Times New Roman" w:cs="Times New Roman"/>
          <w:sz w:val="24"/>
          <w:szCs w:val="24"/>
        </w:rPr>
        <w:t xml:space="preserve"> del </w:t>
      </w:r>
      <w:proofErr w:type="spellStart"/>
      <w:r w:rsidR="00736778">
        <w:rPr>
          <w:rFonts w:ascii="Times New Roman" w:eastAsia="Times New Roman" w:hAnsi="Times New Roman" w:cs="Times New Roman"/>
          <w:sz w:val="24"/>
          <w:szCs w:val="24"/>
        </w:rPr>
        <w:t>Fonregión</w:t>
      </w:r>
      <w:proofErr w:type="spellEnd"/>
      <w:r w:rsidR="00FC1E44">
        <w:rPr>
          <w:rFonts w:ascii="Times New Roman" w:eastAsia="Times New Roman" w:hAnsi="Times New Roman" w:cs="Times New Roman"/>
          <w:sz w:val="24"/>
          <w:szCs w:val="24"/>
        </w:rPr>
        <w:t xml:space="preserve"> no es muy significativa. Para el caso de </w:t>
      </w:r>
      <w:r w:rsidR="00736778">
        <w:rPr>
          <w:rFonts w:ascii="Times New Roman" w:eastAsia="Times New Roman" w:hAnsi="Times New Roman" w:cs="Times New Roman"/>
          <w:sz w:val="24"/>
          <w:szCs w:val="24"/>
        </w:rPr>
        <w:t>Chiapas se observa la menor proporción de recursos del Fondo</w:t>
      </w:r>
      <w:r w:rsidR="00B65893">
        <w:rPr>
          <w:rFonts w:ascii="Times New Roman" w:eastAsia="Times New Roman" w:hAnsi="Times New Roman" w:cs="Times New Roman"/>
          <w:sz w:val="24"/>
          <w:szCs w:val="24"/>
        </w:rPr>
        <w:t xml:space="preserve"> respecto a la inversión</w:t>
      </w:r>
      <w:r w:rsidR="00736778">
        <w:rPr>
          <w:rFonts w:ascii="Times New Roman" w:eastAsia="Times New Roman" w:hAnsi="Times New Roman" w:cs="Times New Roman"/>
          <w:sz w:val="24"/>
          <w:szCs w:val="24"/>
        </w:rPr>
        <w:t>, al constituir únicame</w:t>
      </w:r>
      <w:r w:rsidR="00B65893">
        <w:rPr>
          <w:rFonts w:ascii="Times New Roman" w:eastAsia="Times New Roman" w:hAnsi="Times New Roman" w:cs="Times New Roman"/>
          <w:sz w:val="24"/>
          <w:szCs w:val="24"/>
        </w:rPr>
        <w:t>nte 6.47% del total</w:t>
      </w:r>
      <w:r w:rsidR="00736778">
        <w:rPr>
          <w:rFonts w:ascii="Times New Roman" w:eastAsia="Times New Roman" w:hAnsi="Times New Roman" w:cs="Times New Roman"/>
          <w:sz w:val="24"/>
          <w:szCs w:val="24"/>
        </w:rPr>
        <w:t>. Por su parte, a pesar de que Guerrero es donde más pe</w:t>
      </w:r>
      <w:r w:rsidR="00B65893">
        <w:rPr>
          <w:rFonts w:ascii="Times New Roman" w:eastAsia="Times New Roman" w:hAnsi="Times New Roman" w:cs="Times New Roman"/>
          <w:sz w:val="24"/>
          <w:szCs w:val="24"/>
        </w:rPr>
        <w:t xml:space="preserve">so tiene el </w:t>
      </w:r>
      <w:proofErr w:type="spellStart"/>
      <w:r w:rsidR="00B65893">
        <w:rPr>
          <w:rFonts w:ascii="Times New Roman" w:eastAsia="Times New Roman" w:hAnsi="Times New Roman" w:cs="Times New Roman"/>
          <w:sz w:val="24"/>
          <w:szCs w:val="24"/>
        </w:rPr>
        <w:t>Fonregión</w:t>
      </w:r>
      <w:proofErr w:type="spellEnd"/>
      <w:r w:rsidR="00B65893">
        <w:rPr>
          <w:rFonts w:ascii="Times New Roman" w:eastAsia="Times New Roman" w:hAnsi="Times New Roman" w:cs="Times New Roman"/>
          <w:sz w:val="24"/>
          <w:szCs w:val="24"/>
        </w:rPr>
        <w:t xml:space="preserve"> respecto al gasto</w:t>
      </w:r>
      <w:r w:rsidR="00736778">
        <w:rPr>
          <w:rFonts w:ascii="Times New Roman" w:eastAsia="Times New Roman" w:hAnsi="Times New Roman" w:cs="Times New Roman"/>
          <w:sz w:val="24"/>
          <w:szCs w:val="24"/>
        </w:rPr>
        <w:t xml:space="preserve"> de inversión, en realidad dicho porcentaje no llega ni al 25%. A</w:t>
      </w:r>
      <w:r w:rsidR="00B65893">
        <w:rPr>
          <w:rFonts w:ascii="Times New Roman" w:eastAsia="Times New Roman" w:hAnsi="Times New Roman" w:cs="Times New Roman"/>
          <w:sz w:val="24"/>
          <w:szCs w:val="24"/>
        </w:rPr>
        <w:t>sí pues, a</w:t>
      </w:r>
      <w:r w:rsidR="00736778">
        <w:rPr>
          <w:rFonts w:ascii="Times New Roman" w:eastAsia="Times New Roman" w:hAnsi="Times New Roman" w:cs="Times New Roman"/>
          <w:sz w:val="24"/>
          <w:szCs w:val="24"/>
        </w:rPr>
        <w:t xml:space="preserve"> pes</w:t>
      </w:r>
      <w:r w:rsidR="00B65893">
        <w:rPr>
          <w:rFonts w:ascii="Times New Roman" w:eastAsia="Times New Roman" w:hAnsi="Times New Roman" w:cs="Times New Roman"/>
          <w:sz w:val="24"/>
          <w:szCs w:val="24"/>
        </w:rPr>
        <w:t>ar de que en términos relativos</w:t>
      </w:r>
      <w:r w:rsidR="00736778">
        <w:rPr>
          <w:rFonts w:ascii="Times New Roman" w:eastAsia="Times New Roman" w:hAnsi="Times New Roman" w:cs="Times New Roman"/>
          <w:sz w:val="24"/>
          <w:szCs w:val="24"/>
        </w:rPr>
        <w:t xml:space="preserve"> los recursos del </w:t>
      </w:r>
      <w:proofErr w:type="spellStart"/>
      <w:r w:rsidR="00736778">
        <w:rPr>
          <w:rFonts w:ascii="Times New Roman" w:eastAsia="Times New Roman" w:hAnsi="Times New Roman" w:cs="Times New Roman"/>
          <w:sz w:val="24"/>
          <w:szCs w:val="24"/>
        </w:rPr>
        <w:t>Fonregión</w:t>
      </w:r>
      <w:proofErr w:type="spellEnd"/>
      <w:r w:rsidR="00736778">
        <w:rPr>
          <w:rFonts w:ascii="Times New Roman" w:eastAsia="Times New Roman" w:hAnsi="Times New Roman" w:cs="Times New Roman"/>
          <w:sz w:val="24"/>
          <w:szCs w:val="24"/>
        </w:rPr>
        <w:t xml:space="preserve"> no tienen gran peso en materia presupuestaria,</w:t>
      </w:r>
      <w:r>
        <w:rPr>
          <w:rFonts w:ascii="Times New Roman" w:eastAsia="Times New Roman" w:hAnsi="Times New Roman" w:cs="Times New Roman"/>
          <w:sz w:val="24"/>
          <w:szCs w:val="24"/>
        </w:rPr>
        <w:t xml:space="preserve"> la cantidad de recursos absoluta que recibe el Fondo es muy importante si tomamos en cuenta que son recursos discrecionales que los gobiernos estatales podían ejercer casi sin restricción alguna.</w:t>
      </w:r>
    </w:p>
    <w:p w14:paraId="2DF828DB" w14:textId="588F4AA9" w:rsidR="009F143A" w:rsidRPr="00481210" w:rsidRDefault="00AF748F" w:rsidP="00481210">
      <w:pPr>
        <w:spacing w:after="0"/>
        <w:jc w:val="center"/>
        <w:rPr>
          <w:rFonts w:ascii="Times New Roman" w:eastAsia="Times New Roman" w:hAnsi="Times New Roman" w:cs="Times New Roman"/>
          <w:b/>
          <w:sz w:val="24"/>
        </w:rPr>
      </w:pPr>
      <w:r w:rsidRPr="00481210">
        <w:rPr>
          <w:rFonts w:ascii="Times New Roman" w:eastAsia="Times New Roman" w:hAnsi="Times New Roman" w:cs="Times New Roman"/>
          <w:b/>
          <w:sz w:val="24"/>
        </w:rPr>
        <w:t>Gráfica 2</w:t>
      </w:r>
      <w:r w:rsidR="009F143A" w:rsidRPr="00481210">
        <w:rPr>
          <w:rFonts w:ascii="Times New Roman" w:eastAsia="Times New Roman" w:hAnsi="Times New Roman" w:cs="Times New Roman"/>
          <w:b/>
          <w:sz w:val="24"/>
        </w:rPr>
        <w:t>. Recursos asignados para el Fondo Regional</w:t>
      </w:r>
    </w:p>
    <w:p w14:paraId="24441E0C" w14:textId="4EF5D68F" w:rsidR="009F143A" w:rsidRPr="00481210" w:rsidRDefault="009F143A" w:rsidP="00481210">
      <w:pPr>
        <w:spacing w:after="0"/>
        <w:jc w:val="center"/>
        <w:rPr>
          <w:rFonts w:ascii="Times New Roman" w:eastAsia="Times New Roman" w:hAnsi="Times New Roman" w:cs="Times New Roman"/>
          <w:b/>
          <w:sz w:val="24"/>
        </w:rPr>
      </w:pPr>
      <w:r w:rsidRPr="00481210">
        <w:rPr>
          <w:rFonts w:ascii="Times New Roman" w:eastAsia="Times New Roman" w:hAnsi="Times New Roman" w:cs="Times New Roman"/>
          <w:b/>
          <w:sz w:val="24"/>
        </w:rPr>
        <w:t>(</w:t>
      </w:r>
      <w:proofErr w:type="gramStart"/>
      <w:r w:rsidRPr="00481210">
        <w:rPr>
          <w:rFonts w:ascii="Times New Roman" w:eastAsia="Times New Roman" w:hAnsi="Times New Roman" w:cs="Times New Roman"/>
          <w:b/>
          <w:sz w:val="24"/>
        </w:rPr>
        <w:t>mi</w:t>
      </w:r>
      <w:r w:rsidR="00481210">
        <w:rPr>
          <w:rFonts w:ascii="Times New Roman" w:eastAsia="Times New Roman" w:hAnsi="Times New Roman" w:cs="Times New Roman"/>
          <w:b/>
          <w:sz w:val="24"/>
        </w:rPr>
        <w:t>llones</w:t>
      </w:r>
      <w:proofErr w:type="gramEnd"/>
      <w:r w:rsidR="00481210">
        <w:rPr>
          <w:rFonts w:ascii="Times New Roman" w:eastAsia="Times New Roman" w:hAnsi="Times New Roman" w:cs="Times New Roman"/>
          <w:b/>
          <w:sz w:val="24"/>
        </w:rPr>
        <w:t xml:space="preserve"> de pesos, precios de febrero 2014, base diciembre 2010=100</w:t>
      </w:r>
      <w:r w:rsidRPr="00481210">
        <w:rPr>
          <w:rFonts w:ascii="Times New Roman" w:eastAsia="Times New Roman" w:hAnsi="Times New Roman" w:cs="Times New Roman"/>
          <w:b/>
          <w:sz w:val="24"/>
        </w:rPr>
        <w:t>)</w:t>
      </w:r>
    </w:p>
    <w:p w14:paraId="22846619" w14:textId="15CBB7AE" w:rsidR="00481210" w:rsidRPr="00BD0C7C" w:rsidRDefault="00481210" w:rsidP="00667EE3">
      <w:pPr>
        <w:pStyle w:val="Sinespaciado"/>
        <w:contextualSpacing/>
        <w:jc w:val="center"/>
        <w:rPr>
          <w:rFonts w:ascii="Times New Roman" w:eastAsia="Times New Roman" w:hAnsi="Times New Roman" w:cs="Times New Roman"/>
          <w:b/>
        </w:rPr>
      </w:pPr>
      <w:r>
        <w:rPr>
          <w:noProof/>
        </w:rPr>
        <w:drawing>
          <wp:inline distT="0" distB="0" distL="0" distR="0" wp14:anchorId="43525ADD" wp14:editId="7BA23455">
            <wp:extent cx="5553076" cy="2743200"/>
            <wp:effectExtent l="0" t="0" r="9525" b="1905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C09531F" w14:textId="2D943E39" w:rsidR="009F143A" w:rsidRDefault="009F143A" w:rsidP="00667EE3">
      <w:pPr>
        <w:pStyle w:val="Sinespaciado"/>
        <w:contextualSpacing/>
        <w:jc w:val="center"/>
        <w:rPr>
          <w:rFonts w:ascii="Times New Roman" w:hAnsi="Times New Roman" w:cs="Times New Roman"/>
          <w:sz w:val="20"/>
          <w:szCs w:val="20"/>
        </w:rPr>
      </w:pPr>
      <w:r w:rsidRPr="00A426E7">
        <w:rPr>
          <w:rFonts w:ascii="Times New Roman" w:hAnsi="Times New Roman" w:cs="Times New Roman"/>
          <w:sz w:val="20"/>
          <w:szCs w:val="20"/>
        </w:rPr>
        <w:t>Fu</w:t>
      </w:r>
      <w:r w:rsidRPr="000257C8">
        <w:rPr>
          <w:rFonts w:ascii="Times New Roman" w:hAnsi="Times New Roman" w:cs="Times New Roman"/>
          <w:sz w:val="20"/>
          <w:szCs w:val="20"/>
        </w:rPr>
        <w:t>ente: Elaboración propia con base en los Decretos de Presupuesto de Egresos para la Federación.</w:t>
      </w:r>
    </w:p>
    <w:p w14:paraId="37E5DA88" w14:textId="77777777" w:rsidR="00481210" w:rsidRDefault="00481210" w:rsidP="00AF748F">
      <w:pPr>
        <w:pStyle w:val="Sinespaciado"/>
        <w:jc w:val="center"/>
        <w:rPr>
          <w:rFonts w:ascii="Times New Roman" w:eastAsia="Times New Roman" w:hAnsi="Times New Roman" w:cs="Times New Roman"/>
          <w:b/>
        </w:rPr>
      </w:pPr>
    </w:p>
    <w:p w14:paraId="2AD2C1A7" w14:textId="1081F6E4" w:rsidR="00AF748F" w:rsidRPr="00BD0C7C" w:rsidRDefault="00AF748F" w:rsidP="00AF748F">
      <w:pPr>
        <w:pStyle w:val="Sinespaciado"/>
        <w:jc w:val="center"/>
        <w:rPr>
          <w:rFonts w:ascii="Times New Roman" w:eastAsia="Times New Roman" w:hAnsi="Times New Roman" w:cs="Times New Roman"/>
          <w:b/>
        </w:rPr>
      </w:pPr>
      <w:r w:rsidRPr="000257C8">
        <w:rPr>
          <w:rFonts w:ascii="Times New Roman" w:eastAsia="Times New Roman" w:hAnsi="Times New Roman" w:cs="Times New Roman"/>
          <w:b/>
        </w:rPr>
        <w:lastRenderedPageBreak/>
        <w:t>Gráfica 3.</w:t>
      </w:r>
      <w:r w:rsidRPr="00BD0C7C">
        <w:rPr>
          <w:rFonts w:ascii="Times New Roman" w:eastAsia="Times New Roman" w:hAnsi="Times New Roman" w:cs="Times New Roman"/>
          <w:b/>
        </w:rPr>
        <w:t xml:space="preserve"> Porcentaje de recursos del Fondo Regional del total de recursos de inversión para Guerrero, Oaxaca y Chiapas</w:t>
      </w:r>
      <w:r w:rsidR="007E213B" w:rsidRPr="00BD0C7C">
        <w:rPr>
          <w:rFonts w:ascii="Times New Roman" w:eastAsia="Times New Roman" w:hAnsi="Times New Roman" w:cs="Times New Roman"/>
          <w:b/>
        </w:rPr>
        <w:t xml:space="preserve"> para 2012</w:t>
      </w:r>
    </w:p>
    <w:p w14:paraId="725BF0D7" w14:textId="77777777" w:rsidR="00AF748F" w:rsidRPr="00BD0C7C" w:rsidRDefault="00AF748F" w:rsidP="00AF748F">
      <w:pPr>
        <w:pStyle w:val="Sinespaciado"/>
        <w:jc w:val="center"/>
        <w:rPr>
          <w:rFonts w:ascii="Times New Roman" w:eastAsia="Times New Roman" w:hAnsi="Times New Roman" w:cs="Times New Roman"/>
          <w:b/>
        </w:rPr>
      </w:pPr>
      <w:r w:rsidRPr="00BD0C7C">
        <w:rPr>
          <w:rFonts w:ascii="Times New Roman" w:eastAsia="Times New Roman" w:hAnsi="Times New Roman" w:cs="Times New Roman"/>
          <w:b/>
        </w:rPr>
        <w:t>(</w:t>
      </w:r>
      <w:proofErr w:type="gramStart"/>
      <w:r w:rsidRPr="00BD0C7C">
        <w:rPr>
          <w:rFonts w:ascii="Times New Roman" w:eastAsia="Times New Roman" w:hAnsi="Times New Roman" w:cs="Times New Roman"/>
          <w:b/>
        </w:rPr>
        <w:t>millones</w:t>
      </w:r>
      <w:proofErr w:type="gramEnd"/>
      <w:r w:rsidRPr="00BD0C7C">
        <w:rPr>
          <w:rFonts w:ascii="Times New Roman" w:eastAsia="Times New Roman" w:hAnsi="Times New Roman" w:cs="Times New Roman"/>
          <w:b/>
        </w:rPr>
        <w:t xml:space="preserve"> de pesos)</w:t>
      </w:r>
    </w:p>
    <w:p w14:paraId="4C336BC1" w14:textId="77777777" w:rsidR="00AF748F" w:rsidRDefault="00AF748F" w:rsidP="000257C8">
      <w:pPr>
        <w:spacing w:after="0" w:line="240" w:lineRule="auto"/>
        <w:ind w:firstLine="708"/>
        <w:jc w:val="center"/>
        <w:rPr>
          <w:rFonts w:ascii="Times New Roman" w:eastAsia="Times New Roman" w:hAnsi="Times New Roman" w:cs="Times New Roman"/>
          <w:sz w:val="24"/>
          <w:szCs w:val="24"/>
        </w:rPr>
      </w:pPr>
      <w:r w:rsidRPr="00384F09">
        <w:rPr>
          <w:rFonts w:ascii="Times New Roman" w:eastAsia="Times New Roman" w:hAnsi="Times New Roman" w:cs="Times New Roman"/>
          <w:noProof/>
          <w:sz w:val="24"/>
          <w:szCs w:val="24"/>
        </w:rPr>
        <w:drawing>
          <wp:inline distT="0" distB="0" distL="0" distR="0" wp14:anchorId="6BB9AA7F" wp14:editId="4CCEACBE">
            <wp:extent cx="4572000" cy="2743200"/>
            <wp:effectExtent l="1905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180F20D" w14:textId="0BCD3822" w:rsidR="00AF748F" w:rsidRDefault="00AF748F" w:rsidP="000257C8">
      <w:pPr>
        <w:spacing w:after="0" w:line="240" w:lineRule="auto"/>
        <w:jc w:val="center"/>
        <w:rPr>
          <w:rFonts w:ascii="Times New Roman" w:hAnsi="Times New Roman" w:cs="Times New Roman"/>
          <w:sz w:val="20"/>
          <w:szCs w:val="20"/>
        </w:rPr>
      </w:pPr>
      <w:r w:rsidRPr="00A426E7">
        <w:rPr>
          <w:rFonts w:ascii="Times New Roman" w:hAnsi="Times New Roman" w:cs="Times New Roman"/>
          <w:sz w:val="20"/>
          <w:szCs w:val="20"/>
        </w:rPr>
        <w:t>Fuente: Elaboración propia con b</w:t>
      </w:r>
      <w:r w:rsidR="00736778">
        <w:rPr>
          <w:rFonts w:ascii="Times New Roman" w:hAnsi="Times New Roman" w:cs="Times New Roman"/>
          <w:sz w:val="20"/>
          <w:szCs w:val="20"/>
        </w:rPr>
        <w:t xml:space="preserve">ase en los </w:t>
      </w:r>
      <w:r w:rsidR="009B2F03">
        <w:rPr>
          <w:rFonts w:ascii="Times New Roman" w:hAnsi="Times New Roman" w:cs="Times New Roman"/>
          <w:sz w:val="20"/>
          <w:szCs w:val="20"/>
        </w:rPr>
        <w:t>Decretos de Presupuesto de Egresos de cada entidad federativa para 2012</w:t>
      </w:r>
      <w:r w:rsidRPr="00A426E7">
        <w:rPr>
          <w:rFonts w:ascii="Times New Roman" w:hAnsi="Times New Roman" w:cs="Times New Roman"/>
          <w:sz w:val="20"/>
          <w:szCs w:val="20"/>
        </w:rPr>
        <w:t>.</w:t>
      </w:r>
      <w:r w:rsidR="00481210">
        <w:rPr>
          <w:rFonts w:ascii="Times New Roman" w:hAnsi="Times New Roman" w:cs="Times New Roman"/>
          <w:sz w:val="20"/>
          <w:szCs w:val="20"/>
        </w:rPr>
        <w:t xml:space="preserve"> Se toman los datos de 2012 por ser comparables y estar desglosados los montos designados a inversión para las tres entidades federativas.</w:t>
      </w:r>
    </w:p>
    <w:p w14:paraId="1388F478" w14:textId="77777777" w:rsidR="000257C8" w:rsidRDefault="000257C8" w:rsidP="000257C8">
      <w:pPr>
        <w:spacing w:after="0" w:line="240" w:lineRule="auto"/>
        <w:jc w:val="center"/>
        <w:rPr>
          <w:rFonts w:ascii="Times New Roman" w:hAnsi="Times New Roman" w:cs="Times New Roman"/>
          <w:sz w:val="20"/>
          <w:szCs w:val="20"/>
        </w:rPr>
      </w:pPr>
    </w:p>
    <w:p w14:paraId="081764C2" w14:textId="77777777" w:rsidR="000257C8" w:rsidRDefault="000257C8" w:rsidP="000257C8">
      <w:pPr>
        <w:spacing w:after="0" w:line="240" w:lineRule="auto"/>
        <w:jc w:val="center"/>
        <w:rPr>
          <w:rFonts w:ascii="Times New Roman" w:eastAsia="Times New Roman" w:hAnsi="Times New Roman" w:cs="Times New Roman"/>
          <w:sz w:val="24"/>
          <w:szCs w:val="24"/>
        </w:rPr>
      </w:pPr>
    </w:p>
    <w:p w14:paraId="4CC6A2CE" w14:textId="42D9DBD8" w:rsidR="00E7103E" w:rsidRDefault="00F720EA" w:rsidP="00B60F59">
      <w:pPr>
        <w:spacing w:after="0" w:line="480" w:lineRule="auto"/>
        <w:jc w:val="both"/>
        <w:rPr>
          <w:rFonts w:ascii="Times New Roman" w:hAnsi="Times New Roman"/>
          <w:sz w:val="24"/>
          <w:szCs w:val="24"/>
        </w:rPr>
      </w:pPr>
      <w:r>
        <w:rPr>
          <w:rFonts w:ascii="Times New Roman" w:eastAsia="Times New Roman" w:hAnsi="Times New Roman" w:cs="Times New Roman"/>
          <w:sz w:val="24"/>
          <w:szCs w:val="24"/>
        </w:rPr>
        <w:t xml:space="preserve">A pesar de la gran cantidad de requerimientos que aparentemente se </w:t>
      </w:r>
      <w:r w:rsidR="00A1293A">
        <w:rPr>
          <w:rFonts w:ascii="Times New Roman" w:eastAsia="Times New Roman" w:hAnsi="Times New Roman" w:cs="Times New Roman"/>
          <w:sz w:val="24"/>
          <w:szCs w:val="24"/>
        </w:rPr>
        <w:t>necesitan</w:t>
      </w:r>
      <w:r>
        <w:rPr>
          <w:rFonts w:ascii="Times New Roman" w:eastAsia="Times New Roman" w:hAnsi="Times New Roman" w:cs="Times New Roman"/>
          <w:sz w:val="24"/>
          <w:szCs w:val="24"/>
        </w:rPr>
        <w:t xml:space="preserve"> para obtener recursos del Fondo Regional, sostengo que es un fondo puramente discrecional por</w:t>
      </w:r>
      <w:r w:rsidR="00A1293A">
        <w:rPr>
          <w:rFonts w:ascii="Times New Roman" w:eastAsia="Times New Roman" w:hAnsi="Times New Roman" w:cs="Times New Roman"/>
          <w:sz w:val="24"/>
          <w:szCs w:val="24"/>
        </w:rPr>
        <w:t xml:space="preserve"> siete</w:t>
      </w:r>
      <w:r>
        <w:rPr>
          <w:rFonts w:ascii="Times New Roman" w:eastAsia="Times New Roman" w:hAnsi="Times New Roman" w:cs="Times New Roman"/>
          <w:sz w:val="24"/>
          <w:szCs w:val="24"/>
        </w:rPr>
        <w:t xml:space="preserve"> </w:t>
      </w:r>
      <w:r w:rsidR="00632005" w:rsidRPr="00B60F59">
        <w:rPr>
          <w:rFonts w:ascii="Times New Roman" w:eastAsia="Times New Roman" w:hAnsi="Times New Roman" w:cs="Times New Roman"/>
          <w:sz w:val="24"/>
          <w:szCs w:val="24"/>
        </w:rPr>
        <w:t>razones principales</w:t>
      </w:r>
      <w:r w:rsidR="00A1293A">
        <w:rPr>
          <w:rFonts w:ascii="Times New Roman" w:eastAsia="Times New Roman" w:hAnsi="Times New Roman" w:cs="Times New Roman"/>
          <w:sz w:val="24"/>
          <w:szCs w:val="24"/>
        </w:rPr>
        <w:t xml:space="preserve">. La primera se refiere a que </w:t>
      </w:r>
      <w:r w:rsidR="005E3562">
        <w:rPr>
          <w:rFonts w:ascii="Times New Roman" w:eastAsia="Times New Roman" w:hAnsi="Times New Roman" w:cs="Times New Roman"/>
          <w:sz w:val="24"/>
          <w:szCs w:val="24"/>
        </w:rPr>
        <w:t xml:space="preserve">los </w:t>
      </w:r>
      <w:r w:rsidR="005E3562" w:rsidRPr="00471AFA">
        <w:rPr>
          <w:rFonts w:ascii="Times New Roman" w:eastAsia="Times New Roman" w:hAnsi="Times New Roman" w:cs="Times New Roman"/>
          <w:sz w:val="24"/>
          <w:szCs w:val="24"/>
        </w:rPr>
        <w:t xml:space="preserve">objetivos </w:t>
      </w:r>
      <w:r w:rsidR="00B65893">
        <w:rPr>
          <w:rFonts w:ascii="Times New Roman" w:eastAsia="Times New Roman" w:hAnsi="Times New Roman" w:cs="Times New Roman"/>
          <w:sz w:val="24"/>
          <w:szCs w:val="24"/>
        </w:rPr>
        <w:t>del Fondo</w:t>
      </w:r>
      <w:r w:rsidR="005E3562">
        <w:rPr>
          <w:rFonts w:ascii="Times New Roman" w:eastAsia="Times New Roman" w:hAnsi="Times New Roman" w:cs="Times New Roman"/>
          <w:sz w:val="24"/>
          <w:szCs w:val="24"/>
        </w:rPr>
        <w:t xml:space="preserve"> en realidad no están bien estipulados en </w:t>
      </w:r>
      <w:r w:rsidR="005E3562" w:rsidRPr="00471AFA">
        <w:rPr>
          <w:rFonts w:ascii="Times New Roman" w:eastAsia="Times New Roman" w:hAnsi="Times New Roman" w:cs="Times New Roman"/>
          <w:sz w:val="24"/>
          <w:szCs w:val="24"/>
        </w:rPr>
        <w:t xml:space="preserve">ningún lugar. Como afirma el Dr. </w:t>
      </w:r>
      <w:proofErr w:type="spellStart"/>
      <w:r w:rsidR="005E3562" w:rsidRPr="00471AFA">
        <w:rPr>
          <w:rFonts w:ascii="Times New Roman" w:eastAsia="Times New Roman" w:hAnsi="Times New Roman" w:cs="Times New Roman"/>
          <w:sz w:val="24"/>
          <w:szCs w:val="24"/>
        </w:rPr>
        <w:t>Iracheta</w:t>
      </w:r>
      <w:proofErr w:type="spellEnd"/>
      <w:r w:rsidR="005E3562" w:rsidRPr="00471AFA">
        <w:rPr>
          <w:rFonts w:ascii="Times New Roman" w:eastAsia="Times New Roman" w:hAnsi="Times New Roman" w:cs="Times New Roman"/>
          <w:sz w:val="24"/>
          <w:szCs w:val="24"/>
        </w:rPr>
        <w:t>, al evaluar el Fondo en 2010 “</w:t>
      </w:r>
      <w:r w:rsidR="005E3562" w:rsidRPr="00471AFA">
        <w:rPr>
          <w:rFonts w:ascii="Times New Roman" w:hAnsi="Times New Roman" w:cs="Times New Roman"/>
          <w:sz w:val="24"/>
          <w:szCs w:val="24"/>
        </w:rPr>
        <w:t>existe un salto cualitativo importante entre sus objetivos implícitos (ya que los lineamientos no hacen explícitos los objetivos del Fondo), los mecanismos de asignación de los recursos y las características de los proyectos que pueden ser apoyados”.</w:t>
      </w:r>
      <w:r w:rsidR="005E3562" w:rsidRPr="007E3F41">
        <w:rPr>
          <w:rStyle w:val="Refdenotaalpie"/>
          <w:rFonts w:ascii="Times New Roman" w:hAnsi="Times New Roman" w:cs="Times New Roman"/>
          <w:sz w:val="24"/>
          <w:szCs w:val="24"/>
        </w:rPr>
        <w:footnoteReference w:id="20"/>
      </w:r>
      <w:r w:rsidR="005E3562" w:rsidRPr="00471AFA">
        <w:rPr>
          <w:rFonts w:ascii="Times New Roman" w:hAnsi="Times New Roman" w:cs="Times New Roman"/>
          <w:sz w:val="24"/>
          <w:szCs w:val="24"/>
        </w:rPr>
        <w:t xml:space="preserve"> </w:t>
      </w:r>
    </w:p>
    <w:p w14:paraId="7B608ACE" w14:textId="3AD3BE2B" w:rsidR="00E7103E" w:rsidRDefault="005E3562" w:rsidP="00B60F59">
      <w:pPr>
        <w:spacing w:after="0" w:line="480" w:lineRule="auto"/>
        <w:ind w:firstLine="708"/>
        <w:jc w:val="both"/>
        <w:rPr>
          <w:rFonts w:ascii="Times New Roman" w:eastAsia="Times New Roman" w:hAnsi="Times New Roman" w:cs="Times New Roman"/>
          <w:sz w:val="24"/>
          <w:szCs w:val="24"/>
        </w:rPr>
      </w:pPr>
      <w:r w:rsidRPr="005E3562">
        <w:rPr>
          <w:rFonts w:ascii="Times New Roman" w:hAnsi="Times New Roman" w:cs="Times New Roman"/>
          <w:sz w:val="24"/>
          <w:szCs w:val="24"/>
        </w:rPr>
        <w:t xml:space="preserve">La segunda razón se refiere a que, si bien se mencionan algunos de los tipos de proyectos que pueden aprobarse, en realidad no existen limitantes </w:t>
      </w:r>
      <w:r w:rsidR="00632005" w:rsidRPr="00B60F59">
        <w:rPr>
          <w:rFonts w:ascii="Times New Roman" w:hAnsi="Times New Roman" w:cs="Times New Roman"/>
          <w:sz w:val="24"/>
          <w:szCs w:val="24"/>
        </w:rPr>
        <w:t xml:space="preserve">claras. Cuando en los lineamientos de 2007 se hace referencia a lo que pueden incluir los programas y proyectos </w:t>
      </w:r>
      <w:r w:rsidR="00632005" w:rsidRPr="00B60F59">
        <w:rPr>
          <w:rFonts w:ascii="Times New Roman" w:hAnsi="Times New Roman" w:cs="Times New Roman"/>
          <w:sz w:val="24"/>
          <w:szCs w:val="24"/>
        </w:rPr>
        <w:lastRenderedPageBreak/>
        <w:t xml:space="preserve">de inversión financiados con recursos del </w:t>
      </w:r>
      <w:proofErr w:type="spellStart"/>
      <w:r w:rsidR="00632005" w:rsidRPr="00B60F59">
        <w:rPr>
          <w:rFonts w:ascii="Times New Roman" w:hAnsi="Times New Roman" w:cs="Times New Roman"/>
          <w:sz w:val="24"/>
          <w:szCs w:val="24"/>
        </w:rPr>
        <w:t>Fonregión</w:t>
      </w:r>
      <w:proofErr w:type="spellEnd"/>
      <w:r w:rsidR="00632005" w:rsidRPr="00B60F59">
        <w:rPr>
          <w:rFonts w:ascii="Times New Roman" w:hAnsi="Times New Roman" w:cs="Times New Roman"/>
          <w:sz w:val="24"/>
          <w:szCs w:val="24"/>
        </w:rPr>
        <w:t>, se hace patente que “</w:t>
      </w:r>
      <w:r w:rsidR="00632005" w:rsidRPr="00B60F59">
        <w:rPr>
          <w:rFonts w:ascii="Times New Roman" w:hAnsi="Times New Roman"/>
          <w:sz w:val="24"/>
          <w:szCs w:val="24"/>
        </w:rPr>
        <w:t xml:space="preserve">podrán incluir, enunciativa y </w:t>
      </w:r>
      <w:r w:rsidR="00632005" w:rsidRPr="00B60F59">
        <w:rPr>
          <w:rFonts w:ascii="Times New Roman" w:hAnsi="Times New Roman"/>
          <w:i/>
          <w:sz w:val="24"/>
          <w:szCs w:val="24"/>
        </w:rPr>
        <w:t>no limitativamente</w:t>
      </w:r>
      <w:r w:rsidR="00632005" w:rsidRPr="00B60F59">
        <w:rPr>
          <w:rFonts w:ascii="Times New Roman" w:hAnsi="Times New Roman"/>
          <w:sz w:val="24"/>
          <w:szCs w:val="24"/>
        </w:rPr>
        <w:t xml:space="preserve">” estudios, evaluaciones costo-beneficio, ejecución de los programas y proyectos o acciones de impulso al desarrollo regional de las entidades federativas. Sin embargo, no se hacen explícitas posteriores restricciones más claras que sí limiten lo que puede llevarse a cabo con recursos del </w:t>
      </w:r>
      <w:proofErr w:type="spellStart"/>
      <w:r w:rsidR="00632005" w:rsidRPr="00B60F59">
        <w:rPr>
          <w:rFonts w:ascii="Times New Roman" w:hAnsi="Times New Roman"/>
          <w:sz w:val="24"/>
          <w:szCs w:val="24"/>
        </w:rPr>
        <w:t>Fonregión</w:t>
      </w:r>
      <w:proofErr w:type="spellEnd"/>
      <w:r w:rsidR="00632005" w:rsidRPr="00B60F59">
        <w:rPr>
          <w:rFonts w:ascii="Times New Roman" w:hAnsi="Times New Roman"/>
          <w:sz w:val="24"/>
          <w:szCs w:val="24"/>
        </w:rPr>
        <w:t>.</w:t>
      </w:r>
      <w:r w:rsidR="00811F01">
        <w:rPr>
          <w:rFonts w:ascii="Times New Roman" w:hAnsi="Times New Roman"/>
          <w:sz w:val="24"/>
          <w:szCs w:val="24"/>
        </w:rPr>
        <w:t xml:space="preserve"> La tercera razón está relacionada con la segunda y afirma que en realidad no existen criterios para </w:t>
      </w:r>
      <w:r w:rsidR="00632005" w:rsidRPr="00B60F59">
        <w:rPr>
          <w:rFonts w:ascii="Times New Roman" w:eastAsia="Times New Roman" w:hAnsi="Times New Roman" w:cs="Times New Roman"/>
          <w:sz w:val="24"/>
          <w:szCs w:val="24"/>
        </w:rPr>
        <w:t>verificar que un proyecto efectivamente impacte en el desarrollo humano</w:t>
      </w:r>
      <w:r w:rsidR="00811F01">
        <w:rPr>
          <w:rFonts w:ascii="Times New Roman" w:eastAsia="Times New Roman" w:hAnsi="Times New Roman" w:cs="Times New Roman"/>
          <w:sz w:val="24"/>
          <w:szCs w:val="24"/>
        </w:rPr>
        <w:t xml:space="preserve">. Es decir, </w:t>
      </w:r>
      <w:r w:rsidR="00F94195">
        <w:rPr>
          <w:rFonts w:ascii="Times New Roman" w:eastAsia="Times New Roman" w:hAnsi="Times New Roman" w:cs="Times New Roman"/>
          <w:sz w:val="24"/>
          <w:szCs w:val="24"/>
        </w:rPr>
        <w:t>incluso con los lineamientos de 2013,</w:t>
      </w:r>
      <w:r w:rsidR="00F94195" w:rsidRPr="00471AFA">
        <w:rPr>
          <w:rFonts w:ascii="Times New Roman" w:eastAsia="Times New Roman" w:hAnsi="Times New Roman" w:cs="Times New Roman"/>
          <w:sz w:val="24"/>
          <w:szCs w:val="24"/>
        </w:rPr>
        <w:t xml:space="preserve"> </w:t>
      </w:r>
      <w:r w:rsidR="00F94195">
        <w:rPr>
          <w:rFonts w:ascii="Times New Roman" w:eastAsia="Times New Roman" w:hAnsi="Times New Roman" w:cs="Times New Roman"/>
          <w:sz w:val="24"/>
          <w:szCs w:val="24"/>
        </w:rPr>
        <w:t xml:space="preserve">no se cuenta </w:t>
      </w:r>
      <w:r w:rsidR="00F94195" w:rsidRPr="00471AFA">
        <w:rPr>
          <w:rFonts w:ascii="Times New Roman" w:eastAsia="Times New Roman" w:hAnsi="Times New Roman" w:cs="Times New Roman"/>
          <w:sz w:val="24"/>
          <w:szCs w:val="24"/>
        </w:rPr>
        <w:t>con criterios claros ni una metodología específica para saber qué proye</w:t>
      </w:r>
      <w:r w:rsidR="00197AD8">
        <w:rPr>
          <w:rFonts w:ascii="Times New Roman" w:eastAsia="Times New Roman" w:hAnsi="Times New Roman" w:cs="Times New Roman"/>
          <w:sz w:val="24"/>
          <w:szCs w:val="24"/>
        </w:rPr>
        <w:t>ctos aceptar y cuáles rechazar, por lo que en realidad la federación no tiene medios para verificar que los proyectos financiados</w:t>
      </w:r>
      <w:r w:rsidR="00811F01">
        <w:rPr>
          <w:rFonts w:ascii="Times New Roman" w:eastAsia="Times New Roman" w:hAnsi="Times New Roman" w:cs="Times New Roman"/>
          <w:sz w:val="24"/>
          <w:szCs w:val="24"/>
        </w:rPr>
        <w:t xml:space="preserve"> puedan impactar verdaderamente en el problema que buscan atender.</w:t>
      </w:r>
    </w:p>
    <w:p w14:paraId="41B9F619" w14:textId="1B31A45F" w:rsidR="00F94195" w:rsidRDefault="00F94195" w:rsidP="00F94195">
      <w:pPr>
        <w:spacing w:after="0"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Otra de las razones por las que el </w:t>
      </w:r>
      <w:proofErr w:type="spellStart"/>
      <w:r>
        <w:rPr>
          <w:rFonts w:ascii="Times New Roman" w:eastAsia="Times New Roman" w:hAnsi="Times New Roman" w:cs="Times New Roman"/>
          <w:sz w:val="24"/>
          <w:szCs w:val="24"/>
        </w:rPr>
        <w:t>Fonregión</w:t>
      </w:r>
      <w:proofErr w:type="spellEnd"/>
      <w:r>
        <w:rPr>
          <w:rFonts w:ascii="Times New Roman" w:eastAsia="Times New Roman" w:hAnsi="Times New Roman" w:cs="Times New Roman"/>
          <w:sz w:val="24"/>
          <w:szCs w:val="24"/>
        </w:rPr>
        <w:t xml:space="preserve"> cuenta con características discrecionales es que existe muy poca capacidad, en términos de recursos humanos, para administrar el Fondo. </w:t>
      </w:r>
      <w:r w:rsidRPr="00471AFA">
        <w:rPr>
          <w:rFonts w:ascii="Times New Roman" w:eastAsia="Times New Roman" w:hAnsi="Times New Roman" w:cs="Times New Roman"/>
          <w:sz w:val="24"/>
          <w:szCs w:val="24"/>
        </w:rPr>
        <w:t>Aunque en el papel la UPCP debería ejercer control directo sobre los proyectos que pueden aprobarse, e</w:t>
      </w:r>
      <w:r w:rsidR="002972F6">
        <w:rPr>
          <w:rFonts w:ascii="Times New Roman" w:eastAsia="Times New Roman" w:hAnsi="Times New Roman" w:cs="Times New Roman"/>
          <w:sz w:val="24"/>
          <w:szCs w:val="24"/>
        </w:rPr>
        <w:t xml:space="preserve">n realidad </w:t>
      </w:r>
      <w:r w:rsidR="003F5D4A">
        <w:rPr>
          <w:rFonts w:ascii="Times New Roman" w:eastAsia="Times New Roman" w:hAnsi="Times New Roman" w:cs="Times New Roman"/>
          <w:sz w:val="24"/>
          <w:szCs w:val="24"/>
        </w:rPr>
        <w:t>la cantidad de información que debe revisarse sobrepasa la capacidad organizacional de la institución</w:t>
      </w:r>
      <w:r w:rsidR="00B65893">
        <w:rPr>
          <w:rFonts w:ascii="Times New Roman" w:eastAsia="Times New Roman" w:hAnsi="Times New Roman" w:cs="Times New Roman"/>
          <w:sz w:val="24"/>
          <w:szCs w:val="24"/>
        </w:rPr>
        <w:t>, por lo que de nada sirve contar con tanta información para evaluar los proyectos si no es considerada al momento de aceptarlos o rechazarlos.</w:t>
      </w:r>
      <w:r>
        <w:rPr>
          <w:rFonts w:ascii="Times New Roman" w:eastAsia="Times New Roman" w:hAnsi="Times New Roman" w:cs="Times New Roman"/>
          <w:sz w:val="24"/>
          <w:szCs w:val="24"/>
        </w:rPr>
        <w:t xml:space="preserve"> </w:t>
      </w:r>
      <w:r w:rsidR="00910C59">
        <w:rPr>
          <w:rFonts w:ascii="Times New Roman" w:eastAsia="Times New Roman" w:hAnsi="Times New Roman" w:cs="Times New Roman"/>
          <w:sz w:val="24"/>
          <w:szCs w:val="24"/>
        </w:rPr>
        <w:t>Esto se debe</w:t>
      </w:r>
      <w:r w:rsidR="00197AD8">
        <w:rPr>
          <w:rFonts w:ascii="Times New Roman" w:eastAsia="Times New Roman" w:hAnsi="Times New Roman" w:cs="Times New Roman"/>
          <w:sz w:val="24"/>
          <w:szCs w:val="24"/>
        </w:rPr>
        <w:t xml:space="preserve"> a que la Unidad </w:t>
      </w:r>
      <w:r w:rsidR="003F5D4A">
        <w:rPr>
          <w:rFonts w:ascii="Times New Roman" w:eastAsia="Times New Roman" w:hAnsi="Times New Roman" w:cs="Times New Roman"/>
          <w:sz w:val="24"/>
          <w:szCs w:val="24"/>
        </w:rPr>
        <w:t xml:space="preserve">carece de la estructura necesaria </w:t>
      </w:r>
      <w:r w:rsidR="00197AD8">
        <w:rPr>
          <w:rFonts w:ascii="Times New Roman" w:eastAsia="Times New Roman" w:hAnsi="Times New Roman" w:cs="Times New Roman"/>
          <w:sz w:val="24"/>
          <w:szCs w:val="24"/>
        </w:rPr>
        <w:t xml:space="preserve">para revisar todas las carteras de proyectos, notas técnicas y análisis </w:t>
      </w:r>
      <w:r w:rsidR="00910C59">
        <w:rPr>
          <w:rFonts w:ascii="Times New Roman" w:eastAsia="Times New Roman" w:hAnsi="Times New Roman" w:cs="Times New Roman"/>
          <w:sz w:val="24"/>
          <w:szCs w:val="24"/>
        </w:rPr>
        <w:t>costo-beneficio que les entreg</w:t>
      </w:r>
      <w:r w:rsidR="00197AD8">
        <w:rPr>
          <w:rFonts w:ascii="Times New Roman" w:eastAsia="Times New Roman" w:hAnsi="Times New Roman" w:cs="Times New Roman"/>
          <w:sz w:val="24"/>
          <w:szCs w:val="24"/>
        </w:rPr>
        <w:t xml:space="preserve">an por cada </w:t>
      </w:r>
      <w:r w:rsidR="00910C59">
        <w:rPr>
          <w:rFonts w:ascii="Times New Roman" w:eastAsia="Times New Roman" w:hAnsi="Times New Roman" w:cs="Times New Roman"/>
          <w:sz w:val="24"/>
          <w:szCs w:val="24"/>
        </w:rPr>
        <w:t>uno de los proyectos que busca</w:t>
      </w:r>
      <w:r w:rsidR="00197AD8">
        <w:rPr>
          <w:rFonts w:ascii="Times New Roman" w:eastAsia="Times New Roman" w:hAnsi="Times New Roman" w:cs="Times New Roman"/>
          <w:sz w:val="24"/>
          <w:szCs w:val="24"/>
        </w:rPr>
        <w:t>n financiamiento.</w:t>
      </w:r>
      <w:r w:rsidR="003F5D4A">
        <w:rPr>
          <w:rStyle w:val="Refdenotaalpie"/>
          <w:rFonts w:ascii="Times New Roman" w:eastAsia="Times New Roman" w:hAnsi="Times New Roman" w:cs="Times New Roman"/>
          <w:sz w:val="24"/>
          <w:szCs w:val="24"/>
        </w:rPr>
        <w:footnoteReference w:id="21"/>
      </w:r>
      <w:r w:rsidR="00AD1855">
        <w:rPr>
          <w:rFonts w:ascii="Times New Roman" w:eastAsia="Times New Roman" w:hAnsi="Times New Roman" w:cs="Times New Roman"/>
          <w:sz w:val="24"/>
          <w:szCs w:val="24"/>
        </w:rPr>
        <w:t xml:space="preserve"> A pesar de la información </w:t>
      </w:r>
      <w:r w:rsidR="00AD1855">
        <w:rPr>
          <w:rFonts w:ascii="Times New Roman" w:eastAsia="Times New Roman" w:hAnsi="Times New Roman" w:cs="Times New Roman"/>
          <w:sz w:val="24"/>
          <w:szCs w:val="24"/>
        </w:rPr>
        <w:lastRenderedPageBreak/>
        <w:t xml:space="preserve">valiosa que deberían contener las fichas técnicas </w:t>
      </w:r>
      <w:r>
        <w:rPr>
          <w:rFonts w:ascii="Times New Roman" w:eastAsia="Times New Roman" w:hAnsi="Times New Roman" w:cs="Times New Roman"/>
          <w:sz w:val="24"/>
          <w:szCs w:val="24"/>
        </w:rPr>
        <w:t xml:space="preserve">requeridas para la presentación de la cartera de proyectos, la Unidad de Inversiones de la propia SHCP –que es el organismo encargado de validar y revisar los proyectos de inversión—estaba imposibilitada </w:t>
      </w:r>
      <w:r w:rsidR="00197AD8">
        <w:rPr>
          <w:rFonts w:ascii="Times New Roman" w:eastAsia="Times New Roman" w:hAnsi="Times New Roman" w:cs="Times New Roman"/>
          <w:sz w:val="24"/>
          <w:szCs w:val="24"/>
        </w:rPr>
        <w:t>normativamente par</w:t>
      </w:r>
      <w:r>
        <w:rPr>
          <w:rFonts w:ascii="Times New Roman" w:eastAsia="Times New Roman" w:hAnsi="Times New Roman" w:cs="Times New Roman"/>
          <w:sz w:val="24"/>
          <w:szCs w:val="24"/>
        </w:rPr>
        <w:t>a revisar dichas carteras, por lo que en realidad su uso era muy limitado para decidir sob</w:t>
      </w:r>
      <w:r w:rsidR="00197AD8">
        <w:rPr>
          <w:rFonts w:ascii="Times New Roman" w:eastAsia="Times New Roman" w:hAnsi="Times New Roman" w:cs="Times New Roman"/>
          <w:sz w:val="24"/>
          <w:szCs w:val="24"/>
        </w:rPr>
        <w:t>re la aprobación de proyectos.</w:t>
      </w:r>
    </w:p>
    <w:p w14:paraId="16230144" w14:textId="3DB99E8D" w:rsidR="00224223" w:rsidRDefault="00197AD8">
      <w:pPr>
        <w:spacing w:after="0"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 aspecto importante a re</w:t>
      </w:r>
      <w:r w:rsidR="009B2F03">
        <w:rPr>
          <w:rFonts w:ascii="Times New Roman" w:eastAsia="Times New Roman" w:hAnsi="Times New Roman" w:cs="Times New Roman"/>
          <w:sz w:val="24"/>
          <w:szCs w:val="24"/>
        </w:rPr>
        <w:t xml:space="preserve">saltar son las ministraciones. Al revisar los lineamientos de 2007, </w:t>
      </w:r>
      <w:r>
        <w:rPr>
          <w:rFonts w:ascii="Times New Roman" w:eastAsia="Times New Roman" w:hAnsi="Times New Roman" w:cs="Times New Roman"/>
          <w:sz w:val="24"/>
          <w:szCs w:val="24"/>
        </w:rPr>
        <w:t>no existía una restricción a la cantidad de ministraciones que podían solicitar las entidades federativas</w:t>
      </w:r>
      <w:r w:rsidR="00AD1855">
        <w:rPr>
          <w:rFonts w:ascii="Times New Roman" w:eastAsia="Times New Roman" w:hAnsi="Times New Roman" w:cs="Times New Roman"/>
          <w:sz w:val="24"/>
          <w:szCs w:val="24"/>
        </w:rPr>
        <w:t xml:space="preserve"> hasta antes de 2013</w:t>
      </w:r>
      <w:r>
        <w:rPr>
          <w:rFonts w:ascii="Times New Roman" w:eastAsia="Times New Roman" w:hAnsi="Times New Roman" w:cs="Times New Roman"/>
          <w:sz w:val="24"/>
          <w:szCs w:val="24"/>
        </w:rPr>
        <w:t xml:space="preserve">. Esto generaba que, en cualquier época del año, las Secretarías de Finanzas u homólogas de las entidades federativas pudieran solicitar recursos, en caso de no haberlos agotado en la cartera de proyectos que se presentaba en junio. Por tanto, el Fondo servía como un fondo de emergencia del cual obtener recursos cada vez que se necesitaba. </w:t>
      </w:r>
    </w:p>
    <w:p w14:paraId="57F43B8F" w14:textId="7D9362FB" w:rsidR="00FF55A7" w:rsidRDefault="00031593" w:rsidP="00FF55A7">
      <w:pPr>
        <w:spacing w:after="0"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También</w:t>
      </w:r>
      <w:r w:rsidR="00FF55A7">
        <w:rPr>
          <w:rFonts w:ascii="Times New Roman" w:eastAsia="Times New Roman" w:hAnsi="Times New Roman" w:cs="Times New Roman"/>
          <w:sz w:val="24"/>
          <w:szCs w:val="24"/>
        </w:rPr>
        <w:t xml:space="preserve"> hay que mencionar que el papel de las entidades federativas tiene un gran peso en el </w:t>
      </w:r>
      <w:proofErr w:type="spellStart"/>
      <w:r w:rsidR="00FF55A7">
        <w:rPr>
          <w:rFonts w:ascii="Times New Roman" w:eastAsia="Times New Roman" w:hAnsi="Times New Roman" w:cs="Times New Roman"/>
          <w:sz w:val="24"/>
          <w:szCs w:val="24"/>
        </w:rPr>
        <w:t>Fonregión</w:t>
      </w:r>
      <w:proofErr w:type="spellEnd"/>
      <w:r w:rsidR="00FF55A7">
        <w:rPr>
          <w:rFonts w:ascii="Times New Roman" w:eastAsia="Times New Roman" w:hAnsi="Times New Roman" w:cs="Times New Roman"/>
          <w:sz w:val="24"/>
          <w:szCs w:val="24"/>
        </w:rPr>
        <w:t>, pues no existen mecanismos de participación activa de los municipios. A diferencia de incluso otros fondos del mismo ramo 23, como el Fondo Metropolitano, en el que los municipios tienen gran participación sobre la decisión de los proyectos que se aprueban y l</w:t>
      </w:r>
      <w:r w:rsidR="00AD1855">
        <w:rPr>
          <w:rFonts w:ascii="Times New Roman" w:eastAsia="Times New Roman" w:hAnsi="Times New Roman" w:cs="Times New Roman"/>
          <w:sz w:val="24"/>
          <w:szCs w:val="24"/>
        </w:rPr>
        <w:t>os montos, en el Fondo Regional</w:t>
      </w:r>
      <w:r w:rsidR="00FF55A7">
        <w:rPr>
          <w:rFonts w:ascii="Times New Roman" w:eastAsia="Times New Roman" w:hAnsi="Times New Roman" w:cs="Times New Roman"/>
          <w:sz w:val="24"/>
          <w:szCs w:val="24"/>
        </w:rPr>
        <w:t xml:space="preserve"> el poder recae casi totalmente en la entidad federativa. En entrevista telefónica con la </w:t>
      </w:r>
      <w:r w:rsidR="00FF55A7" w:rsidRPr="00BC7C48">
        <w:rPr>
          <w:rFonts w:ascii="Times New Roman" w:eastAsia="Times New Roman" w:hAnsi="Times New Roman" w:cs="Times New Roman"/>
          <w:sz w:val="24"/>
          <w:szCs w:val="24"/>
        </w:rPr>
        <w:t xml:space="preserve">Licenciada </w:t>
      </w:r>
      <w:proofErr w:type="spellStart"/>
      <w:r w:rsidR="00FF55A7" w:rsidRPr="00BC7C48">
        <w:rPr>
          <w:rFonts w:ascii="Times New Roman" w:eastAsia="Times New Roman" w:hAnsi="Times New Roman" w:cs="Times New Roman"/>
          <w:sz w:val="24"/>
          <w:szCs w:val="24"/>
        </w:rPr>
        <w:t>Yaneli</w:t>
      </w:r>
      <w:proofErr w:type="spellEnd"/>
      <w:r w:rsidR="00FF55A7" w:rsidRPr="00BC7C48">
        <w:rPr>
          <w:rFonts w:ascii="Times New Roman" w:eastAsia="Times New Roman" w:hAnsi="Times New Roman" w:cs="Times New Roman"/>
          <w:sz w:val="24"/>
          <w:szCs w:val="24"/>
        </w:rPr>
        <w:t xml:space="preserve"> </w:t>
      </w:r>
      <w:proofErr w:type="spellStart"/>
      <w:r w:rsidR="00FF55A7" w:rsidRPr="00BC7C48">
        <w:rPr>
          <w:rFonts w:ascii="Times New Roman" w:eastAsia="Times New Roman" w:hAnsi="Times New Roman" w:cs="Times New Roman"/>
          <w:sz w:val="24"/>
          <w:szCs w:val="24"/>
        </w:rPr>
        <w:t>Jarquín</w:t>
      </w:r>
      <w:proofErr w:type="spellEnd"/>
      <w:r w:rsidR="00FF55A7" w:rsidRPr="00BC7C48">
        <w:rPr>
          <w:rFonts w:ascii="Times New Roman" w:eastAsia="Times New Roman" w:hAnsi="Times New Roman" w:cs="Times New Roman"/>
          <w:sz w:val="24"/>
          <w:szCs w:val="24"/>
        </w:rPr>
        <w:t xml:space="preserve"> Rodríguez, quien es Directora de Inversión Pública de la Subsecretaría </w:t>
      </w:r>
      <w:r w:rsidR="00FF55A7">
        <w:rPr>
          <w:rFonts w:ascii="Times New Roman" w:eastAsia="Times New Roman" w:hAnsi="Times New Roman" w:cs="Times New Roman"/>
          <w:sz w:val="24"/>
          <w:szCs w:val="24"/>
        </w:rPr>
        <w:t>de Planeación y Presupuesto de l</w:t>
      </w:r>
      <w:r w:rsidR="00FF55A7" w:rsidRPr="00BC7C48">
        <w:rPr>
          <w:rFonts w:ascii="Times New Roman" w:eastAsia="Times New Roman" w:hAnsi="Times New Roman" w:cs="Times New Roman"/>
          <w:sz w:val="24"/>
          <w:szCs w:val="24"/>
        </w:rPr>
        <w:t xml:space="preserve">a Secretaría de Finanzas de Oaxaca, me comentó que para la integración de las carteras de proyectos, los municipios presentan los proyectos que solicitan a la Subsecretaría de Planeación y Presupuesto de la Secretaría </w:t>
      </w:r>
      <w:r w:rsidR="00FF55A7">
        <w:rPr>
          <w:rFonts w:ascii="Times New Roman" w:eastAsia="Times New Roman" w:hAnsi="Times New Roman" w:cs="Times New Roman"/>
          <w:sz w:val="24"/>
          <w:szCs w:val="24"/>
        </w:rPr>
        <w:t xml:space="preserve">de Finanzas del </w:t>
      </w:r>
      <w:r w:rsidR="00FF55A7">
        <w:rPr>
          <w:rFonts w:ascii="Times New Roman" w:eastAsia="Times New Roman" w:hAnsi="Times New Roman" w:cs="Times New Roman"/>
          <w:sz w:val="24"/>
          <w:szCs w:val="24"/>
        </w:rPr>
        <w:lastRenderedPageBreak/>
        <w:t>Estado, pero</w:t>
      </w:r>
      <w:r w:rsidR="00FF55A7" w:rsidRPr="00BC7C48">
        <w:rPr>
          <w:rFonts w:ascii="Times New Roman" w:eastAsia="Times New Roman" w:hAnsi="Times New Roman" w:cs="Times New Roman"/>
          <w:sz w:val="24"/>
          <w:szCs w:val="24"/>
        </w:rPr>
        <w:t xml:space="preserve"> son ellos, en la Secretaría, quienes deciden qué proyectos cumplen con los requerimientos e integran la cartera que envían a la UPCP federal. Asimismo, en materia de inversiones</w:t>
      </w:r>
      <w:r w:rsidR="00AD1855">
        <w:rPr>
          <w:rFonts w:ascii="Times New Roman" w:eastAsia="Times New Roman" w:hAnsi="Times New Roman" w:cs="Times New Roman"/>
          <w:sz w:val="24"/>
          <w:szCs w:val="24"/>
        </w:rPr>
        <w:t>,</w:t>
      </w:r>
      <w:r w:rsidR="00FF55A7" w:rsidRPr="00BC7C48">
        <w:rPr>
          <w:rFonts w:ascii="Times New Roman" w:eastAsia="Times New Roman" w:hAnsi="Times New Roman" w:cs="Times New Roman"/>
          <w:sz w:val="24"/>
          <w:szCs w:val="24"/>
        </w:rPr>
        <w:t xml:space="preserve"> la propia Secretaría estatal es quien reporta los proyectos con recursos del Ramo 23 en el </w:t>
      </w:r>
      <w:r w:rsidR="00EE739F">
        <w:rPr>
          <w:rFonts w:ascii="Times New Roman" w:eastAsia="Times New Roman" w:hAnsi="Times New Roman" w:cs="Times New Roman"/>
          <w:sz w:val="24"/>
          <w:szCs w:val="24"/>
        </w:rPr>
        <w:t>SFU</w:t>
      </w:r>
      <w:r w:rsidR="00FF55A7" w:rsidRPr="00BC7C48">
        <w:rPr>
          <w:rFonts w:ascii="Times New Roman" w:eastAsia="Times New Roman" w:hAnsi="Times New Roman" w:cs="Times New Roman"/>
          <w:sz w:val="24"/>
          <w:szCs w:val="24"/>
        </w:rPr>
        <w:t>, por lo que la participación de los mu</w:t>
      </w:r>
      <w:r w:rsidR="00AD1855">
        <w:rPr>
          <w:rFonts w:ascii="Times New Roman" w:eastAsia="Times New Roman" w:hAnsi="Times New Roman" w:cs="Times New Roman"/>
          <w:sz w:val="24"/>
          <w:szCs w:val="24"/>
        </w:rPr>
        <w:t>nicipios es muy limitada</w:t>
      </w:r>
      <w:r w:rsidR="00FF55A7" w:rsidRPr="00BC7C48">
        <w:rPr>
          <w:rFonts w:ascii="Times New Roman" w:eastAsia="Times New Roman" w:hAnsi="Times New Roman" w:cs="Times New Roman"/>
          <w:sz w:val="24"/>
          <w:szCs w:val="24"/>
        </w:rPr>
        <w:t>, al no poder tomar decisiones de ningún tipo.</w:t>
      </w:r>
      <w:r w:rsidR="00FF55A7">
        <w:rPr>
          <w:rFonts w:ascii="Times New Roman" w:eastAsia="Times New Roman" w:hAnsi="Times New Roman" w:cs="Times New Roman"/>
          <w:sz w:val="24"/>
          <w:szCs w:val="24"/>
        </w:rPr>
        <w:t xml:space="preserve"> </w:t>
      </w:r>
    </w:p>
    <w:p w14:paraId="4F9DBD15" w14:textId="6B078857" w:rsidR="00E7103E" w:rsidRDefault="00632005" w:rsidP="00B60F59">
      <w:pPr>
        <w:spacing w:after="0" w:line="480" w:lineRule="auto"/>
        <w:ind w:firstLine="708"/>
        <w:jc w:val="both"/>
        <w:rPr>
          <w:rFonts w:ascii="Times New Roman" w:eastAsia="Times New Roman" w:hAnsi="Times New Roman" w:cs="Times New Roman"/>
          <w:sz w:val="24"/>
          <w:szCs w:val="24"/>
        </w:rPr>
      </w:pPr>
      <w:r w:rsidRPr="00B60F59">
        <w:rPr>
          <w:rFonts w:ascii="Times New Roman" w:eastAsia="Times New Roman" w:hAnsi="Times New Roman" w:cs="Times New Roman"/>
          <w:sz w:val="24"/>
          <w:szCs w:val="24"/>
        </w:rPr>
        <w:t xml:space="preserve">Por último, la séptima razón se refiere a que el Fondo Regional se inserta en los subsidios orientados al desarrollo regional a través del Ramo presupuestario 23. Dicho Ramo se refiere a Provisiones Salariales y Económicas y no cuenta con criterios claros para asignar los recursos, por lo que se introduce la posibilidad de discrecionalidad </w:t>
      </w:r>
      <w:r w:rsidR="00AD1855">
        <w:rPr>
          <w:rFonts w:ascii="Times New Roman" w:eastAsia="Times New Roman" w:hAnsi="Times New Roman" w:cs="Times New Roman"/>
          <w:sz w:val="24"/>
          <w:szCs w:val="24"/>
        </w:rPr>
        <w:t>en la asignación de los mismos</w:t>
      </w:r>
      <w:r w:rsidRPr="00B60F59">
        <w:rPr>
          <w:rFonts w:ascii="Times New Roman" w:eastAsia="Times New Roman" w:hAnsi="Times New Roman" w:cs="Times New Roman"/>
          <w:sz w:val="24"/>
          <w:szCs w:val="24"/>
        </w:rPr>
        <w:t xml:space="preserve"> por parte de los gobiernos estatales. En general</w:t>
      </w:r>
      <w:r w:rsidR="00504A43">
        <w:rPr>
          <w:rFonts w:ascii="Times New Roman" w:eastAsia="Times New Roman" w:hAnsi="Times New Roman" w:cs="Times New Roman"/>
          <w:sz w:val="24"/>
          <w:szCs w:val="24"/>
        </w:rPr>
        <w:t>,</w:t>
      </w:r>
      <w:r w:rsidRPr="00B60F59">
        <w:rPr>
          <w:rFonts w:ascii="Times New Roman" w:eastAsia="Times New Roman" w:hAnsi="Times New Roman" w:cs="Times New Roman"/>
          <w:sz w:val="24"/>
          <w:szCs w:val="24"/>
        </w:rPr>
        <w:t xml:space="preserve"> el Ramo 23 se utiliza para “realizar adecuaciones presupuestarias de ampliaciones, reducciones, diferimientos o cancelaciones de programas y conceptos de gasto de las dependencias y entidades”.</w:t>
      </w:r>
      <w:r w:rsidR="00962D34">
        <w:rPr>
          <w:rStyle w:val="Refdenotaalpie"/>
          <w:rFonts w:ascii="Times New Roman" w:eastAsia="Times New Roman" w:hAnsi="Times New Roman" w:cs="Times New Roman"/>
          <w:sz w:val="24"/>
          <w:szCs w:val="24"/>
        </w:rPr>
        <w:footnoteReference w:id="22"/>
      </w:r>
      <w:r w:rsidRPr="00B60F59">
        <w:rPr>
          <w:rFonts w:ascii="Times New Roman" w:eastAsia="Times New Roman" w:hAnsi="Times New Roman" w:cs="Times New Roman"/>
          <w:sz w:val="24"/>
          <w:szCs w:val="24"/>
        </w:rPr>
        <w:t xml:space="preserve"> Es decir, es un Ramo del que se pueden bajar los recursos muy fácilmente para poder así cumplir con los ajustes necesarios al presupuesto en cualquier época del año. </w:t>
      </w:r>
    </w:p>
    <w:p w14:paraId="716BAA30" w14:textId="77777777" w:rsidR="00E7103E" w:rsidRPr="00B60F59" w:rsidRDefault="00224223" w:rsidP="00B60F59">
      <w:pPr>
        <w:spacing w:after="0" w:line="48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632005" w:rsidRPr="00B60F59">
        <w:rPr>
          <w:rFonts w:ascii="Times New Roman" w:eastAsia="Times New Roman" w:hAnsi="Times New Roman" w:cs="Times New Roman"/>
          <w:sz w:val="24"/>
          <w:szCs w:val="24"/>
        </w:rPr>
        <w:t xml:space="preserve">omo muestra de la discrecionalidad con la que se utilizan los recursos y lo fácil que es destinarlos a objetivos distintos a los del Fondo, es posible resaltar los resultados de una auditoría practicada en 2011 a la Secretaría de Hacienda. Una de las principales y más alarmantes observaciones realizadas por la Auditoría Superior de la Federación fue que “no obstante que en el Presupuesto de Egresos de la Federación de 2011 se estableció una partida específica para el Fondo Regional, se observó que la SHCP transfirió recursos al Gobierno del Estado de Veracruz por 326,466.4 miles de pesos al FONDEN; fondo distinto </w:t>
      </w:r>
      <w:r w:rsidR="00632005" w:rsidRPr="00B60F59">
        <w:rPr>
          <w:rFonts w:ascii="Times New Roman" w:eastAsia="Times New Roman" w:hAnsi="Times New Roman" w:cs="Times New Roman"/>
          <w:sz w:val="24"/>
          <w:szCs w:val="24"/>
        </w:rPr>
        <w:lastRenderedPageBreak/>
        <w:t>del FONREGIÓN en esa entidad federativa”.</w:t>
      </w:r>
      <w:r w:rsidR="00632005" w:rsidRPr="00962D34">
        <w:rPr>
          <w:rStyle w:val="Refdenotaalpie"/>
        </w:rPr>
        <w:footnoteReference w:id="23"/>
      </w:r>
      <w:r w:rsidR="00632005" w:rsidRPr="00B60F59">
        <w:rPr>
          <w:rFonts w:ascii="Times New Roman" w:eastAsia="Times New Roman" w:hAnsi="Times New Roman" w:cs="Times New Roman"/>
          <w:sz w:val="24"/>
          <w:szCs w:val="24"/>
          <w:vertAlign w:val="superscript"/>
        </w:rPr>
        <w:t xml:space="preserve"> </w:t>
      </w:r>
      <w:r w:rsidR="00632005" w:rsidRPr="00B60F59">
        <w:rPr>
          <w:rFonts w:ascii="Times New Roman" w:eastAsia="Times New Roman" w:hAnsi="Times New Roman" w:cs="Times New Roman"/>
          <w:sz w:val="24"/>
          <w:szCs w:val="24"/>
        </w:rPr>
        <w:t>Asimismo se emitió la recomendación para que la UPCP diera a conocer los indicadores estratégicos y de gestión para evaluar los resultados de la aplicación de los recursos del Fondo, pues hasta agosto de 2012 esto no se había hecho y por tanto, no se podía tener seguimiento sobre los resultados del ejercicio de tales recursos.</w:t>
      </w:r>
    </w:p>
    <w:p w14:paraId="4A6CF24A" w14:textId="3BB3F3D8" w:rsidR="00E7103E" w:rsidRDefault="00031593" w:rsidP="00B60F59">
      <w:pPr>
        <w:spacing w:after="0" w:line="48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Así pues, aunque el Fondo Regional busca generar infraestructura para las regiones más marginadas del país y</w:t>
      </w:r>
      <w:r w:rsidR="009B2F0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por tanto</w:t>
      </w:r>
      <w:r w:rsidR="009B2F0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quedaría mejor</w:t>
      </w:r>
      <w:r w:rsidR="009B2F03">
        <w:rPr>
          <w:rFonts w:ascii="Times New Roman" w:eastAsia="Times New Roman" w:hAnsi="Times New Roman" w:cs="Times New Roman"/>
          <w:sz w:val="24"/>
          <w:szCs w:val="24"/>
        </w:rPr>
        <w:t xml:space="preserve"> ubicado</w:t>
      </w:r>
      <w:r w:rsidR="00842C16">
        <w:rPr>
          <w:rFonts w:ascii="Times New Roman" w:eastAsia="Times New Roman" w:hAnsi="Times New Roman" w:cs="Times New Roman"/>
          <w:sz w:val="24"/>
          <w:szCs w:val="24"/>
        </w:rPr>
        <w:t xml:space="preserve"> en un Ramo como</w:t>
      </w:r>
      <w:r>
        <w:rPr>
          <w:rFonts w:ascii="Times New Roman" w:eastAsia="Times New Roman" w:hAnsi="Times New Roman" w:cs="Times New Roman"/>
          <w:sz w:val="24"/>
          <w:szCs w:val="24"/>
        </w:rPr>
        <w:t xml:space="preserve"> 33 o 20</w:t>
      </w:r>
      <w:r w:rsidR="00842C16">
        <w:rPr>
          <w:rFonts w:ascii="Times New Roman" w:eastAsia="Times New Roman" w:hAnsi="Times New Roman" w:cs="Times New Roman"/>
          <w:sz w:val="24"/>
          <w:szCs w:val="24"/>
        </w:rPr>
        <w:t>, al contar con mecanismos de control y rubros más claros en los que se pueden ejercer los recursos</w:t>
      </w:r>
      <w:r>
        <w:rPr>
          <w:rFonts w:ascii="Times New Roman" w:eastAsia="Times New Roman" w:hAnsi="Times New Roman" w:cs="Times New Roman"/>
          <w:sz w:val="24"/>
          <w:szCs w:val="24"/>
        </w:rPr>
        <w:t>; se colocó en un rubro de provisiones salariales y económicas para facilitar la liberación de recursos a las entidades federativas.</w:t>
      </w:r>
      <w:r w:rsidR="00842C16">
        <w:rPr>
          <w:rStyle w:val="Refdenotaalpie"/>
          <w:rFonts w:ascii="Times New Roman" w:eastAsia="Times New Roman" w:hAnsi="Times New Roman" w:cs="Times New Roman"/>
          <w:sz w:val="24"/>
          <w:szCs w:val="24"/>
        </w:rPr>
        <w:footnoteReference w:id="24"/>
      </w:r>
      <w:r>
        <w:rPr>
          <w:rFonts w:ascii="Times New Roman" w:eastAsia="Times New Roman" w:hAnsi="Times New Roman" w:cs="Times New Roman"/>
          <w:sz w:val="24"/>
          <w:szCs w:val="24"/>
        </w:rPr>
        <w:t xml:space="preserve"> De acuerdo con el Dr. Guillermo Cejudo, esto fue así porque el Fondo surgió en realidad como respuesta a las presiones presupuestarias de los gobiernos estatales ante la creación del Fondo Metropolitano.</w:t>
      </w:r>
      <w:r w:rsidR="00C60F2D">
        <w:rPr>
          <w:rStyle w:val="Refdenotaalpie"/>
          <w:rFonts w:ascii="Times New Roman" w:eastAsia="Times New Roman" w:hAnsi="Times New Roman" w:cs="Times New Roman"/>
          <w:sz w:val="24"/>
          <w:szCs w:val="24"/>
        </w:rPr>
        <w:footnoteReference w:id="25"/>
      </w:r>
      <w:r w:rsidR="009B2F03">
        <w:rPr>
          <w:rFonts w:ascii="Times New Roman" w:eastAsia="Times New Roman" w:hAnsi="Times New Roman" w:cs="Times New Roman"/>
          <w:sz w:val="24"/>
          <w:szCs w:val="24"/>
        </w:rPr>
        <w:t xml:space="preserve"> Es decir, el </w:t>
      </w:r>
      <w:proofErr w:type="spellStart"/>
      <w:r w:rsidR="009B2F03">
        <w:rPr>
          <w:rFonts w:ascii="Times New Roman" w:eastAsia="Times New Roman" w:hAnsi="Times New Roman" w:cs="Times New Roman"/>
          <w:sz w:val="24"/>
          <w:szCs w:val="24"/>
        </w:rPr>
        <w:t>Fonregión</w:t>
      </w:r>
      <w:proofErr w:type="spellEnd"/>
      <w:r w:rsidR="009B2F03">
        <w:rPr>
          <w:rFonts w:ascii="Times New Roman" w:eastAsia="Times New Roman" w:hAnsi="Times New Roman" w:cs="Times New Roman"/>
          <w:sz w:val="24"/>
          <w:szCs w:val="24"/>
        </w:rPr>
        <w:t xml:space="preserve"> </w:t>
      </w:r>
      <w:r w:rsidR="00AD1855">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unca fue concebido realmente como un Fondo para mitigar los problemas de desigualdad, sino, más bien fue un pago político durante el sexenio pasado. </w:t>
      </w:r>
    </w:p>
    <w:p w14:paraId="5097EEA7" w14:textId="77777777" w:rsidR="00E7103E" w:rsidRDefault="00E7103E" w:rsidP="00B60F59">
      <w:pPr>
        <w:spacing w:after="0" w:line="480" w:lineRule="auto"/>
        <w:jc w:val="both"/>
        <w:rPr>
          <w:rFonts w:ascii="Times New Roman" w:eastAsia="Times New Roman" w:hAnsi="Times New Roman" w:cs="Times New Roman"/>
          <w:sz w:val="24"/>
          <w:szCs w:val="24"/>
        </w:rPr>
      </w:pPr>
    </w:p>
    <w:p w14:paraId="6FAB5A7A" w14:textId="77777777" w:rsidR="00D935F7" w:rsidRPr="00E156CA" w:rsidRDefault="00D935F7" w:rsidP="00610F80">
      <w:pPr>
        <w:pStyle w:val="Prrafodelista"/>
        <w:numPr>
          <w:ilvl w:val="0"/>
          <w:numId w:val="1"/>
        </w:numPr>
        <w:spacing w:after="0" w:line="480" w:lineRule="auto"/>
        <w:jc w:val="both"/>
        <w:outlineLvl w:val="0"/>
        <w:rPr>
          <w:rFonts w:ascii="Times New Roman" w:eastAsia="Times New Roman" w:hAnsi="Times New Roman" w:cs="Times New Roman"/>
          <w:color w:val="000000"/>
          <w:sz w:val="24"/>
          <w:szCs w:val="24"/>
        </w:rPr>
      </w:pPr>
      <w:bookmarkStart w:id="2" w:name="_Toc382321798"/>
      <w:r w:rsidRPr="00E156CA">
        <w:rPr>
          <w:rFonts w:ascii="Times New Roman" w:eastAsia="Times New Roman" w:hAnsi="Times New Roman" w:cs="Times New Roman"/>
          <w:i/>
          <w:iCs/>
          <w:color w:val="000000"/>
          <w:sz w:val="24"/>
          <w:szCs w:val="24"/>
          <w:u w:val="single"/>
        </w:rPr>
        <w:t>Distribución de los recursos de gasto social en la literatura</w:t>
      </w:r>
      <w:bookmarkEnd w:id="2"/>
    </w:p>
    <w:p w14:paraId="1BBAE40C" w14:textId="77777777" w:rsidR="00FC4BBC" w:rsidRDefault="00D935F7" w:rsidP="00072B7C">
      <w:pPr>
        <w:spacing w:line="480" w:lineRule="auto"/>
        <w:jc w:val="both"/>
        <w:rPr>
          <w:rFonts w:ascii="Times New Roman" w:hAnsi="Times New Roman" w:cs="Times New Roman"/>
          <w:sz w:val="24"/>
          <w:szCs w:val="24"/>
        </w:rPr>
      </w:pPr>
      <w:r w:rsidRPr="001718FE">
        <w:rPr>
          <w:rFonts w:ascii="Times New Roman" w:hAnsi="Times New Roman" w:cs="Times New Roman"/>
          <w:sz w:val="24"/>
          <w:szCs w:val="24"/>
        </w:rPr>
        <w:t xml:space="preserve">El problema </w:t>
      </w:r>
      <w:r w:rsidR="001718FE" w:rsidRPr="001718FE">
        <w:rPr>
          <w:rFonts w:ascii="Times New Roman" w:hAnsi="Times New Roman" w:cs="Times New Roman"/>
          <w:sz w:val="24"/>
          <w:szCs w:val="24"/>
        </w:rPr>
        <w:t>a ana</w:t>
      </w:r>
      <w:r w:rsidR="001718FE" w:rsidRPr="001718FE">
        <w:rPr>
          <w:rFonts w:ascii="Times New Roman" w:hAnsi="Times New Roman" w:cs="Times New Roman"/>
          <w:color w:val="222222"/>
          <w:sz w:val="24"/>
          <w:szCs w:val="24"/>
          <w:shd w:val="clear" w:color="auto" w:fill="FFFFFF"/>
        </w:rPr>
        <w:t xml:space="preserve">lizar es un caso puro de distribución de bienes públicos, por lo que las teorías distributivas son el marco ideal para estudiar el </w:t>
      </w:r>
      <w:proofErr w:type="spellStart"/>
      <w:r w:rsidR="001718FE" w:rsidRPr="001718FE">
        <w:rPr>
          <w:rFonts w:ascii="Times New Roman" w:hAnsi="Times New Roman" w:cs="Times New Roman"/>
          <w:color w:val="222222"/>
          <w:sz w:val="24"/>
          <w:szCs w:val="24"/>
          <w:shd w:val="clear" w:color="auto" w:fill="FFFFFF"/>
        </w:rPr>
        <w:t>Fonregión</w:t>
      </w:r>
      <w:proofErr w:type="spellEnd"/>
      <w:r>
        <w:rPr>
          <w:rFonts w:ascii="Times New Roman" w:hAnsi="Times New Roman" w:cs="Times New Roman"/>
          <w:sz w:val="24"/>
          <w:szCs w:val="24"/>
        </w:rPr>
        <w:t>. La principal expresión de dichas teorías se refiere a la distinción entre votantes duros e indecisos (</w:t>
      </w:r>
      <w:proofErr w:type="spellStart"/>
      <w:r w:rsidRPr="00D935F7">
        <w:rPr>
          <w:rFonts w:ascii="Times New Roman" w:hAnsi="Times New Roman" w:cs="Times New Roman"/>
          <w:i/>
          <w:sz w:val="24"/>
          <w:szCs w:val="24"/>
        </w:rPr>
        <w:t>core</w:t>
      </w:r>
      <w:proofErr w:type="spellEnd"/>
      <w:r w:rsidRPr="00D935F7">
        <w:rPr>
          <w:rFonts w:ascii="Times New Roman" w:hAnsi="Times New Roman" w:cs="Times New Roman"/>
          <w:i/>
          <w:sz w:val="24"/>
          <w:szCs w:val="24"/>
        </w:rPr>
        <w:t xml:space="preserve">/swing </w:t>
      </w:r>
      <w:proofErr w:type="spellStart"/>
      <w:r w:rsidRPr="00D935F7">
        <w:rPr>
          <w:rFonts w:ascii="Times New Roman" w:hAnsi="Times New Roman" w:cs="Times New Roman"/>
          <w:i/>
          <w:sz w:val="24"/>
          <w:szCs w:val="24"/>
        </w:rPr>
        <w:t>voters</w:t>
      </w:r>
      <w:proofErr w:type="spellEnd"/>
      <w:r>
        <w:rPr>
          <w:rFonts w:ascii="Times New Roman" w:hAnsi="Times New Roman" w:cs="Times New Roman"/>
          <w:sz w:val="24"/>
          <w:szCs w:val="24"/>
        </w:rPr>
        <w:t>)</w:t>
      </w:r>
      <w:r w:rsidR="001962B7">
        <w:rPr>
          <w:rFonts w:ascii="Times New Roman" w:hAnsi="Times New Roman" w:cs="Times New Roman"/>
          <w:sz w:val="24"/>
          <w:szCs w:val="24"/>
        </w:rPr>
        <w:t xml:space="preserve"> para la provisión de bienes –públicos o privados—por parte del Estado.</w:t>
      </w:r>
      <w:r>
        <w:rPr>
          <w:rFonts w:ascii="Times New Roman" w:hAnsi="Times New Roman" w:cs="Times New Roman"/>
          <w:sz w:val="24"/>
          <w:szCs w:val="24"/>
        </w:rPr>
        <w:t xml:space="preserve"> </w:t>
      </w:r>
      <w:r w:rsidR="001962B7">
        <w:rPr>
          <w:rFonts w:ascii="Times New Roman" w:hAnsi="Times New Roman" w:cs="Times New Roman"/>
          <w:sz w:val="24"/>
          <w:szCs w:val="24"/>
        </w:rPr>
        <w:t xml:space="preserve">Así pues, </w:t>
      </w:r>
      <w:r w:rsidR="001962B7">
        <w:rPr>
          <w:rFonts w:ascii="Times New Roman" w:hAnsi="Times New Roman" w:cs="Times New Roman"/>
          <w:sz w:val="24"/>
          <w:szCs w:val="24"/>
        </w:rPr>
        <w:lastRenderedPageBreak/>
        <w:t xml:space="preserve">los partidos que controlan recursos económicos por estar en el poder deben decidir sobre la mejor distribución de dichos recursos para lograr </w:t>
      </w:r>
      <w:r w:rsidR="00072B7C">
        <w:rPr>
          <w:rFonts w:ascii="Times New Roman" w:hAnsi="Times New Roman" w:cs="Times New Roman"/>
          <w:sz w:val="24"/>
          <w:szCs w:val="24"/>
        </w:rPr>
        <w:t>maximizar su impacto electoral. Para ello, los gobernantes tienen dos estrategias principales: distribuir bienes</w:t>
      </w:r>
      <w:r>
        <w:rPr>
          <w:rFonts w:ascii="Times New Roman" w:hAnsi="Times New Roman" w:cs="Times New Roman"/>
          <w:sz w:val="24"/>
          <w:szCs w:val="24"/>
        </w:rPr>
        <w:t xml:space="preserve"> a sus grupos de apoyo </w:t>
      </w:r>
      <w:r w:rsidR="00072B7C">
        <w:rPr>
          <w:rFonts w:ascii="Times New Roman" w:hAnsi="Times New Roman" w:cs="Times New Roman"/>
          <w:sz w:val="24"/>
          <w:szCs w:val="24"/>
        </w:rPr>
        <w:t>(</w:t>
      </w:r>
      <w:proofErr w:type="spellStart"/>
      <w:r w:rsidR="00072B7C">
        <w:rPr>
          <w:rFonts w:ascii="Times New Roman" w:hAnsi="Times New Roman" w:cs="Times New Roman"/>
          <w:i/>
          <w:sz w:val="24"/>
          <w:szCs w:val="24"/>
        </w:rPr>
        <w:t>core</w:t>
      </w:r>
      <w:proofErr w:type="spellEnd"/>
      <w:r w:rsidR="00072B7C">
        <w:rPr>
          <w:rFonts w:ascii="Times New Roman" w:hAnsi="Times New Roman" w:cs="Times New Roman"/>
          <w:sz w:val="24"/>
          <w:szCs w:val="24"/>
        </w:rPr>
        <w:t>)</w:t>
      </w:r>
      <w:r>
        <w:rPr>
          <w:rFonts w:ascii="Times New Roman" w:hAnsi="Times New Roman" w:cs="Times New Roman"/>
          <w:sz w:val="24"/>
          <w:szCs w:val="24"/>
        </w:rPr>
        <w:t xml:space="preserve">, o bien, a los votantes </w:t>
      </w:r>
      <w:r w:rsidR="00072B7C">
        <w:rPr>
          <w:rFonts w:ascii="Times New Roman" w:hAnsi="Times New Roman" w:cs="Times New Roman"/>
          <w:sz w:val="24"/>
          <w:szCs w:val="24"/>
        </w:rPr>
        <w:t>con menores ataduras ideológicas o programáticas, por lo que pueden determinar</w:t>
      </w:r>
      <w:r>
        <w:rPr>
          <w:rFonts w:ascii="Times New Roman" w:hAnsi="Times New Roman" w:cs="Times New Roman"/>
          <w:sz w:val="24"/>
          <w:szCs w:val="24"/>
        </w:rPr>
        <w:t xml:space="preserve"> al ganador en una elección</w:t>
      </w:r>
      <w:r w:rsidR="00072B7C">
        <w:rPr>
          <w:rFonts w:ascii="Times New Roman" w:hAnsi="Times New Roman" w:cs="Times New Roman"/>
          <w:sz w:val="24"/>
          <w:szCs w:val="24"/>
        </w:rPr>
        <w:t xml:space="preserve"> cerrada (</w:t>
      </w:r>
      <w:r w:rsidR="00072B7C">
        <w:rPr>
          <w:rFonts w:ascii="Times New Roman" w:hAnsi="Times New Roman" w:cs="Times New Roman"/>
          <w:i/>
          <w:sz w:val="24"/>
          <w:szCs w:val="24"/>
        </w:rPr>
        <w:t>swing</w:t>
      </w:r>
      <w:r w:rsidR="00072B7C">
        <w:rPr>
          <w:rFonts w:ascii="Times New Roman" w:hAnsi="Times New Roman" w:cs="Times New Roman"/>
          <w:sz w:val="24"/>
          <w:szCs w:val="24"/>
        </w:rPr>
        <w:t>)</w:t>
      </w:r>
      <w:r>
        <w:rPr>
          <w:rFonts w:ascii="Times New Roman" w:hAnsi="Times New Roman" w:cs="Times New Roman"/>
          <w:sz w:val="24"/>
          <w:szCs w:val="24"/>
        </w:rPr>
        <w:t>. Por otro lado, otra expresión de las teorías distributivas podemos encontrarla en la afirmación de que el poder de negociación</w:t>
      </w:r>
      <w:r w:rsidR="00803FAD">
        <w:rPr>
          <w:rFonts w:ascii="Times New Roman" w:hAnsi="Times New Roman" w:cs="Times New Roman"/>
          <w:sz w:val="24"/>
          <w:szCs w:val="24"/>
        </w:rPr>
        <w:t xml:space="preserve"> es lo que determina la asignación de </w:t>
      </w:r>
      <w:r w:rsidR="00D273B3">
        <w:rPr>
          <w:rFonts w:ascii="Times New Roman" w:hAnsi="Times New Roman" w:cs="Times New Roman"/>
          <w:sz w:val="24"/>
          <w:szCs w:val="24"/>
        </w:rPr>
        <w:t>proyectos, programas o recursos a determinados muni</w:t>
      </w:r>
      <w:r w:rsidR="007C71AB">
        <w:rPr>
          <w:rFonts w:ascii="Times New Roman" w:hAnsi="Times New Roman" w:cs="Times New Roman"/>
          <w:sz w:val="24"/>
          <w:szCs w:val="24"/>
        </w:rPr>
        <w:t>cipios, en vez de a otros.</w:t>
      </w:r>
      <w:r w:rsidR="00072B7C">
        <w:rPr>
          <w:rFonts w:ascii="Times New Roman" w:hAnsi="Times New Roman" w:cs="Times New Roman"/>
          <w:sz w:val="24"/>
          <w:szCs w:val="24"/>
        </w:rPr>
        <w:t xml:space="preserve"> A continuación analizaré estas teorías a fin de poder extraer herramientas para analizar la distribución de recursos del Fondo Regional.</w:t>
      </w:r>
    </w:p>
    <w:p w14:paraId="6BCB5F39" w14:textId="77777777" w:rsidR="00072B7C" w:rsidRDefault="00072B7C" w:rsidP="00610F80">
      <w:pPr>
        <w:pStyle w:val="Prrafodelista"/>
        <w:numPr>
          <w:ilvl w:val="0"/>
          <w:numId w:val="3"/>
        </w:numPr>
        <w:spacing w:line="480" w:lineRule="auto"/>
        <w:jc w:val="both"/>
        <w:outlineLvl w:val="1"/>
        <w:rPr>
          <w:rFonts w:ascii="Times New Roman" w:hAnsi="Times New Roman" w:cs="Times New Roman"/>
          <w:i/>
          <w:sz w:val="24"/>
          <w:szCs w:val="24"/>
        </w:rPr>
      </w:pPr>
      <w:bookmarkStart w:id="3" w:name="_Toc382321799"/>
      <w:proofErr w:type="spellStart"/>
      <w:r w:rsidRPr="00072B7C">
        <w:rPr>
          <w:rFonts w:ascii="Times New Roman" w:hAnsi="Times New Roman" w:cs="Times New Roman"/>
          <w:i/>
          <w:sz w:val="24"/>
          <w:szCs w:val="24"/>
        </w:rPr>
        <w:t>Core</w:t>
      </w:r>
      <w:proofErr w:type="spellEnd"/>
      <w:r w:rsidRPr="00072B7C">
        <w:rPr>
          <w:rFonts w:ascii="Times New Roman" w:hAnsi="Times New Roman" w:cs="Times New Roman"/>
          <w:i/>
          <w:sz w:val="24"/>
          <w:szCs w:val="24"/>
        </w:rPr>
        <w:t xml:space="preserve">/Swing </w:t>
      </w:r>
      <w:proofErr w:type="spellStart"/>
      <w:r w:rsidRPr="00072B7C">
        <w:rPr>
          <w:rFonts w:ascii="Times New Roman" w:hAnsi="Times New Roman" w:cs="Times New Roman"/>
          <w:i/>
          <w:sz w:val="24"/>
          <w:szCs w:val="24"/>
        </w:rPr>
        <w:t>voter</w:t>
      </w:r>
      <w:r>
        <w:rPr>
          <w:rFonts w:ascii="Times New Roman" w:hAnsi="Times New Roman" w:cs="Times New Roman"/>
          <w:i/>
          <w:sz w:val="24"/>
          <w:szCs w:val="24"/>
        </w:rPr>
        <w:t>s</w:t>
      </w:r>
      <w:bookmarkEnd w:id="3"/>
      <w:proofErr w:type="spellEnd"/>
    </w:p>
    <w:p w14:paraId="7410F6C1" w14:textId="77777777" w:rsidR="00072B7C" w:rsidRDefault="00170A4F" w:rsidP="00072B7C">
      <w:pPr>
        <w:spacing w:line="480" w:lineRule="auto"/>
        <w:jc w:val="both"/>
        <w:rPr>
          <w:rFonts w:ascii="Times New Roman" w:hAnsi="Times New Roman" w:cs="Times New Roman"/>
          <w:sz w:val="24"/>
          <w:szCs w:val="24"/>
        </w:rPr>
      </w:pPr>
      <w:r>
        <w:rPr>
          <w:rFonts w:ascii="Times New Roman" w:hAnsi="Times New Roman" w:cs="Times New Roman"/>
          <w:sz w:val="24"/>
          <w:szCs w:val="24"/>
        </w:rPr>
        <w:t>Las teorías que pretenden explicar la distribución de recursos con base en el apoyo partidista pueden dividirse en aquellas que afirman que los políticos entregarán los bienes de algún programa discreci</w:t>
      </w:r>
      <w:r w:rsidR="006E4E46">
        <w:rPr>
          <w:rFonts w:ascii="Times New Roman" w:hAnsi="Times New Roman" w:cs="Times New Roman"/>
          <w:sz w:val="24"/>
          <w:szCs w:val="24"/>
        </w:rPr>
        <w:t>onal</w:t>
      </w:r>
      <w:r>
        <w:rPr>
          <w:rFonts w:ascii="Times New Roman" w:hAnsi="Times New Roman" w:cs="Times New Roman"/>
          <w:sz w:val="24"/>
          <w:szCs w:val="24"/>
        </w:rPr>
        <w:t xml:space="preserve"> a sus votantes más leales</w:t>
      </w:r>
      <w:r w:rsidR="00A41DA3">
        <w:rPr>
          <w:rFonts w:ascii="Times New Roman" w:hAnsi="Times New Roman" w:cs="Times New Roman"/>
          <w:sz w:val="24"/>
          <w:szCs w:val="24"/>
        </w:rPr>
        <w:t>,</w:t>
      </w:r>
      <w:r>
        <w:rPr>
          <w:rFonts w:ascii="Times New Roman" w:hAnsi="Times New Roman" w:cs="Times New Roman"/>
          <w:sz w:val="24"/>
          <w:szCs w:val="24"/>
        </w:rPr>
        <w:t xml:space="preserve"> y aquellas que se enfocan más en los votantes indecisos</w:t>
      </w:r>
      <w:r w:rsidR="006E4E46">
        <w:rPr>
          <w:rFonts w:ascii="Times New Roman" w:hAnsi="Times New Roman" w:cs="Times New Roman"/>
          <w:sz w:val="24"/>
          <w:szCs w:val="24"/>
        </w:rPr>
        <w:t>,</w:t>
      </w:r>
      <w:r>
        <w:rPr>
          <w:rFonts w:ascii="Times New Roman" w:hAnsi="Times New Roman" w:cs="Times New Roman"/>
          <w:sz w:val="24"/>
          <w:szCs w:val="24"/>
        </w:rPr>
        <w:t xml:space="preserve"> qu</w:t>
      </w:r>
      <w:r w:rsidR="006E4E46">
        <w:rPr>
          <w:rFonts w:ascii="Times New Roman" w:hAnsi="Times New Roman" w:cs="Times New Roman"/>
          <w:sz w:val="24"/>
          <w:szCs w:val="24"/>
        </w:rPr>
        <w:t xml:space="preserve">ienes </w:t>
      </w:r>
      <w:r>
        <w:rPr>
          <w:rFonts w:ascii="Times New Roman" w:hAnsi="Times New Roman" w:cs="Times New Roman"/>
          <w:sz w:val="24"/>
          <w:szCs w:val="24"/>
        </w:rPr>
        <w:t xml:space="preserve">pueden determinar el resultado de una elección cerrada. Cox y </w:t>
      </w:r>
      <w:proofErr w:type="spellStart"/>
      <w:r>
        <w:rPr>
          <w:rFonts w:ascii="Times New Roman" w:hAnsi="Times New Roman" w:cs="Times New Roman"/>
          <w:sz w:val="24"/>
          <w:szCs w:val="24"/>
        </w:rPr>
        <w:t>McCubbins</w:t>
      </w:r>
      <w:proofErr w:type="spellEnd"/>
      <w:r w:rsidR="00C44333">
        <w:rPr>
          <w:rStyle w:val="Refdenotaalpie"/>
          <w:rFonts w:ascii="Times New Roman" w:hAnsi="Times New Roman" w:cs="Times New Roman"/>
          <w:sz w:val="24"/>
          <w:szCs w:val="24"/>
        </w:rPr>
        <w:footnoteReference w:id="26"/>
      </w:r>
      <w:r>
        <w:rPr>
          <w:rFonts w:ascii="Times New Roman" w:hAnsi="Times New Roman" w:cs="Times New Roman"/>
          <w:sz w:val="24"/>
          <w:szCs w:val="24"/>
        </w:rPr>
        <w:t xml:space="preserve"> son l</w:t>
      </w:r>
      <w:r w:rsidR="001718FE">
        <w:rPr>
          <w:rFonts w:ascii="Times New Roman" w:hAnsi="Times New Roman" w:cs="Times New Roman"/>
          <w:sz w:val="24"/>
          <w:szCs w:val="24"/>
        </w:rPr>
        <w:t>os principales exponentes d</w:t>
      </w:r>
      <w:r>
        <w:rPr>
          <w:rFonts w:ascii="Times New Roman" w:hAnsi="Times New Roman" w:cs="Times New Roman"/>
          <w:sz w:val="24"/>
          <w:szCs w:val="24"/>
        </w:rPr>
        <w:t xml:space="preserve">el primer tipo de teoría </w:t>
      </w:r>
      <w:r w:rsidR="00A41DA3">
        <w:rPr>
          <w:rFonts w:ascii="Times New Roman" w:hAnsi="Times New Roman" w:cs="Times New Roman"/>
          <w:sz w:val="24"/>
          <w:szCs w:val="24"/>
        </w:rPr>
        <w:t xml:space="preserve">–el modelo del votante duro—mientras </w:t>
      </w:r>
      <w:r>
        <w:rPr>
          <w:rFonts w:ascii="Times New Roman" w:hAnsi="Times New Roman" w:cs="Times New Roman"/>
          <w:sz w:val="24"/>
          <w:szCs w:val="24"/>
        </w:rPr>
        <w:t xml:space="preserve">que </w:t>
      </w:r>
      <w:proofErr w:type="spellStart"/>
      <w:r>
        <w:rPr>
          <w:rFonts w:ascii="Times New Roman" w:hAnsi="Times New Roman" w:cs="Times New Roman"/>
          <w:sz w:val="24"/>
          <w:szCs w:val="24"/>
        </w:rPr>
        <w:t>Lindbeck</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Weibull</w:t>
      </w:r>
      <w:proofErr w:type="spellEnd"/>
      <w:r w:rsidR="00C44333">
        <w:rPr>
          <w:rStyle w:val="Refdenotaalpie"/>
          <w:rFonts w:ascii="Times New Roman" w:hAnsi="Times New Roman" w:cs="Times New Roman"/>
          <w:sz w:val="24"/>
          <w:szCs w:val="24"/>
        </w:rPr>
        <w:footnoteReference w:id="27"/>
      </w:r>
      <w:r w:rsidR="001718FE">
        <w:rPr>
          <w:rFonts w:ascii="Times New Roman" w:hAnsi="Times New Roman" w:cs="Times New Roman"/>
          <w:sz w:val="24"/>
          <w:szCs w:val="24"/>
        </w:rPr>
        <w:t xml:space="preserve"> sostien</w:t>
      </w:r>
      <w:r>
        <w:rPr>
          <w:rFonts w:ascii="Times New Roman" w:hAnsi="Times New Roman" w:cs="Times New Roman"/>
          <w:sz w:val="24"/>
          <w:szCs w:val="24"/>
        </w:rPr>
        <w:t xml:space="preserve">en que la distribución </w:t>
      </w:r>
      <w:r w:rsidR="00A41DA3">
        <w:rPr>
          <w:rFonts w:ascii="Times New Roman" w:hAnsi="Times New Roman" w:cs="Times New Roman"/>
          <w:sz w:val="24"/>
          <w:szCs w:val="24"/>
        </w:rPr>
        <w:t>de los recursos se dirigirá primordialmente</w:t>
      </w:r>
      <w:r>
        <w:rPr>
          <w:rFonts w:ascii="Times New Roman" w:hAnsi="Times New Roman" w:cs="Times New Roman"/>
          <w:sz w:val="24"/>
          <w:szCs w:val="24"/>
        </w:rPr>
        <w:t xml:space="preserve"> hacia los votantes indecisos.</w:t>
      </w:r>
    </w:p>
    <w:p w14:paraId="49D73D6D" w14:textId="11D9EB6C" w:rsidR="00A2267F" w:rsidRDefault="001A3FC5" w:rsidP="00072B7C">
      <w:pPr>
        <w:spacing w:line="480" w:lineRule="auto"/>
        <w:jc w:val="both"/>
        <w:rPr>
          <w:rFonts w:ascii="Times New Roman" w:hAnsi="Times New Roman" w:cs="Times New Roman"/>
          <w:sz w:val="24"/>
          <w:szCs w:val="24"/>
        </w:rPr>
      </w:pPr>
      <w:r>
        <w:rPr>
          <w:rFonts w:ascii="Times New Roman" w:hAnsi="Times New Roman" w:cs="Times New Roman"/>
          <w:sz w:val="24"/>
          <w:szCs w:val="24"/>
        </w:rPr>
        <w:tab/>
        <w:t>A</w:t>
      </w:r>
      <w:r w:rsidR="00D757A3">
        <w:rPr>
          <w:rFonts w:ascii="Times New Roman" w:hAnsi="Times New Roman" w:cs="Times New Roman"/>
          <w:sz w:val="24"/>
          <w:szCs w:val="24"/>
        </w:rPr>
        <w:t xml:space="preserve">mbos son modelos distributivos, ya sea de bienes privados que se entregan directamente a individuos, o bienes públicos que se </w:t>
      </w:r>
      <w:r w:rsidR="00391F56">
        <w:rPr>
          <w:rFonts w:ascii="Times New Roman" w:hAnsi="Times New Roman" w:cs="Times New Roman"/>
          <w:sz w:val="24"/>
          <w:szCs w:val="24"/>
        </w:rPr>
        <w:t>aprueban par</w:t>
      </w:r>
      <w:r w:rsidR="00D757A3">
        <w:rPr>
          <w:rFonts w:ascii="Times New Roman" w:hAnsi="Times New Roman" w:cs="Times New Roman"/>
          <w:sz w:val="24"/>
          <w:szCs w:val="24"/>
        </w:rPr>
        <w:t xml:space="preserve">a determinadas áreas. Es </w:t>
      </w:r>
      <w:r w:rsidR="00D757A3">
        <w:rPr>
          <w:rFonts w:ascii="Times New Roman" w:hAnsi="Times New Roman" w:cs="Times New Roman"/>
          <w:sz w:val="24"/>
          <w:szCs w:val="24"/>
        </w:rPr>
        <w:lastRenderedPageBreak/>
        <w:t>decir, pueden aplicar tanto a modelos clientelares</w:t>
      </w:r>
      <w:r w:rsidR="006E4E46">
        <w:rPr>
          <w:rFonts w:ascii="Times New Roman" w:hAnsi="Times New Roman" w:cs="Times New Roman"/>
          <w:sz w:val="24"/>
          <w:szCs w:val="24"/>
        </w:rPr>
        <w:t>,</w:t>
      </w:r>
      <w:r w:rsidR="00D757A3">
        <w:rPr>
          <w:rFonts w:ascii="Times New Roman" w:hAnsi="Times New Roman" w:cs="Times New Roman"/>
          <w:sz w:val="24"/>
          <w:szCs w:val="24"/>
        </w:rPr>
        <w:t xml:space="preserve"> como de </w:t>
      </w:r>
      <w:proofErr w:type="spellStart"/>
      <w:r w:rsidR="00D757A3">
        <w:rPr>
          <w:rFonts w:ascii="Times New Roman" w:hAnsi="Times New Roman" w:cs="Times New Roman"/>
          <w:i/>
          <w:sz w:val="24"/>
          <w:szCs w:val="24"/>
        </w:rPr>
        <w:t>pork</w:t>
      </w:r>
      <w:proofErr w:type="spellEnd"/>
      <w:r w:rsidR="00D757A3">
        <w:rPr>
          <w:rFonts w:ascii="Times New Roman" w:hAnsi="Times New Roman" w:cs="Times New Roman"/>
          <w:i/>
          <w:sz w:val="24"/>
          <w:szCs w:val="24"/>
        </w:rPr>
        <w:t xml:space="preserve"> </w:t>
      </w:r>
      <w:proofErr w:type="spellStart"/>
      <w:r w:rsidR="00B10345">
        <w:rPr>
          <w:rFonts w:ascii="Times New Roman" w:hAnsi="Times New Roman" w:cs="Times New Roman"/>
          <w:i/>
          <w:sz w:val="24"/>
          <w:szCs w:val="24"/>
        </w:rPr>
        <w:t>barre</w:t>
      </w:r>
      <w:r w:rsidR="00D757A3">
        <w:rPr>
          <w:rFonts w:ascii="Times New Roman" w:hAnsi="Times New Roman" w:cs="Times New Roman"/>
          <w:i/>
          <w:sz w:val="24"/>
          <w:szCs w:val="24"/>
        </w:rPr>
        <w:t>ling</w:t>
      </w:r>
      <w:proofErr w:type="spellEnd"/>
      <w:r w:rsidR="00D757A3">
        <w:rPr>
          <w:rFonts w:ascii="Times New Roman" w:hAnsi="Times New Roman" w:cs="Times New Roman"/>
          <w:sz w:val="24"/>
          <w:szCs w:val="24"/>
        </w:rPr>
        <w:t>, como ya referí en la introducción de esta tesina.</w:t>
      </w:r>
      <w:r w:rsidR="008E1518">
        <w:rPr>
          <w:rFonts w:ascii="Times New Roman" w:hAnsi="Times New Roman" w:cs="Times New Roman"/>
          <w:sz w:val="24"/>
          <w:szCs w:val="24"/>
        </w:rPr>
        <w:t xml:space="preserve"> Además</w:t>
      </w:r>
      <w:r w:rsidR="00203543">
        <w:rPr>
          <w:rFonts w:ascii="Times New Roman" w:hAnsi="Times New Roman" w:cs="Times New Roman"/>
          <w:sz w:val="24"/>
          <w:szCs w:val="24"/>
        </w:rPr>
        <w:t>,</w:t>
      </w:r>
      <w:r w:rsidR="008E1518">
        <w:rPr>
          <w:rFonts w:ascii="Times New Roman" w:hAnsi="Times New Roman" w:cs="Times New Roman"/>
          <w:sz w:val="24"/>
          <w:szCs w:val="24"/>
        </w:rPr>
        <w:t xml:space="preserve"> ambos modelos </w:t>
      </w:r>
      <w:r>
        <w:rPr>
          <w:rFonts w:ascii="Times New Roman" w:hAnsi="Times New Roman" w:cs="Times New Roman"/>
          <w:sz w:val="24"/>
          <w:szCs w:val="24"/>
        </w:rPr>
        <w:t>comparten algunos supuestos, si bien tienen premisas distintas. Los principales supuestos que comparten se refieren a</w:t>
      </w:r>
      <w:r w:rsidR="00E92759">
        <w:rPr>
          <w:rFonts w:ascii="Times New Roman" w:hAnsi="Times New Roman" w:cs="Times New Roman"/>
          <w:sz w:val="24"/>
          <w:szCs w:val="24"/>
        </w:rPr>
        <w:t xml:space="preserve"> tener</w:t>
      </w:r>
      <w:r w:rsidR="008E1518">
        <w:rPr>
          <w:rFonts w:ascii="Times New Roman" w:hAnsi="Times New Roman" w:cs="Times New Roman"/>
          <w:sz w:val="24"/>
          <w:szCs w:val="24"/>
        </w:rPr>
        <w:t xml:space="preserve"> un sistema con </w:t>
      </w:r>
      <w:r w:rsidR="00E92759">
        <w:rPr>
          <w:rFonts w:ascii="Times New Roman" w:hAnsi="Times New Roman" w:cs="Times New Roman"/>
          <w:sz w:val="24"/>
          <w:szCs w:val="24"/>
        </w:rPr>
        <w:t xml:space="preserve">únicamente </w:t>
      </w:r>
      <w:r w:rsidR="008E1518">
        <w:rPr>
          <w:rFonts w:ascii="Times New Roman" w:hAnsi="Times New Roman" w:cs="Times New Roman"/>
          <w:sz w:val="24"/>
          <w:szCs w:val="24"/>
        </w:rPr>
        <w:t>dos partidos que compiten para ganar una elección y que prometen ciertos bienes (que a final de cuentas entregan) a cambio del voto de las personas.</w:t>
      </w:r>
      <w:r w:rsidR="009B2F03">
        <w:rPr>
          <w:rFonts w:ascii="Times New Roman" w:hAnsi="Times New Roman" w:cs="Times New Roman"/>
          <w:sz w:val="24"/>
          <w:szCs w:val="24"/>
        </w:rPr>
        <w:t xml:space="preserve"> Si bien esto podría representar una dificultad</w:t>
      </w:r>
      <w:r w:rsidR="00690433">
        <w:rPr>
          <w:rFonts w:ascii="Times New Roman" w:hAnsi="Times New Roman" w:cs="Times New Roman"/>
          <w:sz w:val="24"/>
          <w:szCs w:val="24"/>
        </w:rPr>
        <w:t xml:space="preserve"> para el argumento de la tesina</w:t>
      </w:r>
      <w:r w:rsidR="009B2F03">
        <w:rPr>
          <w:rFonts w:ascii="Times New Roman" w:hAnsi="Times New Roman" w:cs="Times New Roman"/>
          <w:sz w:val="24"/>
          <w:szCs w:val="24"/>
        </w:rPr>
        <w:t xml:space="preserve"> al contar en México con un sistema de partidos al menos con tres competidores importantes, en realidad a nivel municipal la competencia suele darse únicamente entre dos contendientes</w:t>
      </w:r>
      <w:r w:rsidR="00690433">
        <w:rPr>
          <w:rFonts w:ascii="Times New Roman" w:hAnsi="Times New Roman" w:cs="Times New Roman"/>
          <w:sz w:val="24"/>
          <w:szCs w:val="24"/>
        </w:rPr>
        <w:t>, por lo que puede utilizarse el modelo sin necesidad de hacer mayores ajustes</w:t>
      </w:r>
      <w:r w:rsidR="009B2F03">
        <w:rPr>
          <w:rFonts w:ascii="Times New Roman" w:hAnsi="Times New Roman" w:cs="Times New Roman"/>
          <w:sz w:val="24"/>
          <w:szCs w:val="24"/>
        </w:rPr>
        <w:t>.</w:t>
      </w:r>
    </w:p>
    <w:p w14:paraId="3D347E33" w14:textId="433701DA" w:rsidR="00C45CBC" w:rsidRDefault="00E92759" w:rsidP="00C45CBC">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C45CBC">
        <w:rPr>
          <w:rFonts w:ascii="Times New Roman" w:hAnsi="Times New Roman" w:cs="Times New Roman"/>
          <w:sz w:val="24"/>
          <w:szCs w:val="24"/>
        </w:rPr>
        <w:t xml:space="preserve">El modelo de </w:t>
      </w:r>
      <w:proofErr w:type="spellStart"/>
      <w:r w:rsidR="00C45CBC">
        <w:rPr>
          <w:rFonts w:ascii="Times New Roman" w:hAnsi="Times New Roman" w:cs="Times New Roman"/>
          <w:sz w:val="24"/>
          <w:szCs w:val="24"/>
        </w:rPr>
        <w:t>Lindbeck</w:t>
      </w:r>
      <w:proofErr w:type="spellEnd"/>
      <w:r w:rsidR="00C45CBC">
        <w:rPr>
          <w:rFonts w:ascii="Times New Roman" w:hAnsi="Times New Roman" w:cs="Times New Roman"/>
          <w:sz w:val="24"/>
          <w:szCs w:val="24"/>
        </w:rPr>
        <w:t xml:space="preserve"> y </w:t>
      </w:r>
      <w:proofErr w:type="spellStart"/>
      <w:r w:rsidR="00C45CBC">
        <w:rPr>
          <w:rFonts w:ascii="Times New Roman" w:hAnsi="Times New Roman" w:cs="Times New Roman"/>
          <w:sz w:val="24"/>
          <w:szCs w:val="24"/>
        </w:rPr>
        <w:t>Weibull</w:t>
      </w:r>
      <w:proofErr w:type="spellEnd"/>
      <w:r w:rsidR="00C45CBC">
        <w:rPr>
          <w:rFonts w:ascii="Times New Roman" w:hAnsi="Times New Roman" w:cs="Times New Roman"/>
          <w:sz w:val="24"/>
          <w:szCs w:val="24"/>
        </w:rPr>
        <w:t>, además de compartir los supuestos</w:t>
      </w:r>
      <w:r w:rsidR="003B38BF">
        <w:rPr>
          <w:rFonts w:ascii="Times New Roman" w:hAnsi="Times New Roman" w:cs="Times New Roman"/>
          <w:sz w:val="24"/>
          <w:szCs w:val="24"/>
        </w:rPr>
        <w:t xml:space="preserve"> ya mencionados</w:t>
      </w:r>
      <w:r w:rsidR="00C45CBC">
        <w:rPr>
          <w:rFonts w:ascii="Times New Roman" w:hAnsi="Times New Roman" w:cs="Times New Roman"/>
          <w:sz w:val="24"/>
          <w:szCs w:val="24"/>
        </w:rPr>
        <w:t>, se basa</w:t>
      </w:r>
      <w:r w:rsidR="003B38BF">
        <w:rPr>
          <w:rFonts w:ascii="Times New Roman" w:hAnsi="Times New Roman" w:cs="Times New Roman"/>
          <w:sz w:val="24"/>
          <w:szCs w:val="24"/>
        </w:rPr>
        <w:t xml:space="preserve"> en tres</w:t>
      </w:r>
      <w:r w:rsidR="00C45CBC">
        <w:rPr>
          <w:rFonts w:ascii="Times New Roman" w:hAnsi="Times New Roman" w:cs="Times New Roman"/>
          <w:sz w:val="24"/>
          <w:szCs w:val="24"/>
        </w:rPr>
        <w:t xml:space="preserve"> supuestos principales de los que se desprenden las premisas y conclusiones. El primero se refiere a que los votantes deciden su voto tanto por la utilidad que reciben por políticas y consumo, como por su identificación partidista. El segundo supuesto se refiere a que los partidos políticos tienen preferencias específicas por políticas, no sólo son partidos que buscan el voto sin importar otros factores. Además</w:t>
      </w:r>
      <w:r w:rsidR="008F4E45">
        <w:rPr>
          <w:rFonts w:ascii="Times New Roman" w:hAnsi="Times New Roman" w:cs="Times New Roman"/>
          <w:sz w:val="24"/>
          <w:szCs w:val="24"/>
        </w:rPr>
        <w:t>,</w:t>
      </w:r>
      <w:r w:rsidR="00C45CBC">
        <w:rPr>
          <w:rFonts w:ascii="Times New Roman" w:hAnsi="Times New Roman" w:cs="Times New Roman"/>
          <w:sz w:val="24"/>
          <w:szCs w:val="24"/>
        </w:rPr>
        <w:t xml:space="preserve"> se asume que los partidos conocen las preferencias de los demás partidos y la distribución de preferencias entre votantes.</w:t>
      </w:r>
    </w:p>
    <w:p w14:paraId="21DA2E90" w14:textId="359D9AB5" w:rsidR="00C45CBC" w:rsidRDefault="00C45CBC" w:rsidP="00C45CBC">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De los dos primeros supuestos se deriva la primera premisa que afirma que “a menor sesgo del electorado en términos de identidad partidista, el resultado de equilibrio se acerca más al óptimo utilitario”.</w:t>
      </w:r>
      <w:r>
        <w:rPr>
          <w:rStyle w:val="Refdenotaalpie"/>
          <w:rFonts w:ascii="Times New Roman" w:hAnsi="Times New Roman" w:cs="Times New Roman"/>
          <w:sz w:val="24"/>
          <w:szCs w:val="24"/>
        </w:rPr>
        <w:footnoteReference w:id="28"/>
      </w:r>
      <w:r>
        <w:rPr>
          <w:rFonts w:ascii="Times New Roman" w:hAnsi="Times New Roman" w:cs="Times New Roman"/>
          <w:sz w:val="24"/>
          <w:szCs w:val="24"/>
        </w:rPr>
        <w:t xml:space="preserve"> La siguiente premisa surge de las características del electorado. Como ya referimos, el continuo de votantes se compone de sus preferencias de políticas y su identidad partidista</w:t>
      </w:r>
      <w:proofErr w:type="gramStart"/>
      <w:r>
        <w:rPr>
          <w:rFonts w:ascii="Times New Roman" w:hAnsi="Times New Roman" w:cs="Times New Roman"/>
          <w:sz w:val="24"/>
          <w:szCs w:val="24"/>
        </w:rPr>
        <w:t xml:space="preserve">: </w:t>
      </w:r>
      <m:oMath>
        <m:r>
          <w:rPr>
            <w:rFonts w:ascii="Cambria Math" w:hAnsi="Cambria Math" w:cs="Times New Roman"/>
            <w:sz w:val="24"/>
            <w:szCs w:val="24"/>
          </w:rPr>
          <m:t>w=</m:t>
        </m:r>
        <m:d>
          <m:dPr>
            <m:ctrlPr>
              <w:rPr>
                <w:rFonts w:ascii="Cambria Math" w:hAnsi="Cambria Math" w:cs="Times New Roman"/>
                <w:i/>
                <w:sz w:val="24"/>
                <w:szCs w:val="24"/>
              </w:rPr>
            </m:ctrlPr>
          </m:dPr>
          <m:e>
            <m:r>
              <w:rPr>
                <w:rFonts w:ascii="Cambria Math" w:hAnsi="Cambria Math" w:cs="Times New Roman"/>
                <w:sz w:val="24"/>
                <w:szCs w:val="24"/>
              </w:rPr>
              <m:t>τ,σ</m:t>
            </m:r>
          </m:e>
        </m:d>
      </m:oMath>
      <w:r>
        <w:rPr>
          <w:rFonts w:ascii="Times New Roman" w:hAnsi="Times New Roman" w:cs="Times New Roman"/>
          <w:sz w:val="24"/>
          <w:szCs w:val="24"/>
        </w:rPr>
        <w:t>.</w:t>
      </w:r>
      <w:proofErr w:type="gramEnd"/>
      <w:r>
        <w:rPr>
          <w:rFonts w:ascii="Times New Roman" w:hAnsi="Times New Roman" w:cs="Times New Roman"/>
          <w:sz w:val="24"/>
          <w:szCs w:val="24"/>
        </w:rPr>
        <w:t xml:space="preserve"> Sin embargo, en un trabajo anterior, los </w:t>
      </w:r>
      <w:r w:rsidR="00690433">
        <w:rPr>
          <w:rFonts w:ascii="Times New Roman" w:hAnsi="Times New Roman" w:cs="Times New Roman"/>
          <w:sz w:val="24"/>
          <w:szCs w:val="24"/>
        </w:rPr>
        <w:lastRenderedPageBreak/>
        <w:t>autores explican</w:t>
      </w:r>
      <w:r>
        <w:rPr>
          <w:rFonts w:ascii="Times New Roman" w:hAnsi="Times New Roman" w:cs="Times New Roman"/>
          <w:sz w:val="24"/>
          <w:szCs w:val="24"/>
        </w:rPr>
        <w:t xml:space="preserve"> que la preferencia sobre políticas no es lo único importante, sino que los votantes también derivan utilidad de su consumo durante el período de mandato.</w:t>
      </w:r>
      <w:r>
        <w:rPr>
          <w:rStyle w:val="Refdenotaalpie"/>
          <w:rFonts w:ascii="Times New Roman" w:hAnsi="Times New Roman" w:cs="Times New Roman"/>
          <w:sz w:val="24"/>
          <w:szCs w:val="24"/>
        </w:rPr>
        <w:footnoteReference w:id="29"/>
      </w:r>
      <w:r>
        <w:rPr>
          <w:rFonts w:ascii="Times New Roman" w:hAnsi="Times New Roman" w:cs="Times New Roman"/>
          <w:sz w:val="24"/>
          <w:szCs w:val="24"/>
        </w:rPr>
        <w:t xml:space="preserve"> </w:t>
      </w:r>
    </w:p>
    <w:p w14:paraId="4A392174" w14:textId="7F0831FE" w:rsidR="00C45CBC" w:rsidRDefault="00C45CBC" w:rsidP="00C45CBC">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Así, existen votantes que se inclinan por un partido A o B, dependiendo de su valor de </w:t>
      </w:r>
      <m:oMath>
        <m:r>
          <w:rPr>
            <w:rFonts w:ascii="Cambria Math" w:hAnsi="Cambria Math" w:cs="Times New Roman"/>
            <w:sz w:val="24"/>
            <w:szCs w:val="24"/>
          </w:rPr>
          <m:t>σ</m:t>
        </m:r>
      </m:oMath>
      <w:r>
        <w:rPr>
          <w:rFonts w:ascii="Times New Roman" w:hAnsi="Times New Roman" w:cs="Times New Roman"/>
          <w:sz w:val="24"/>
          <w:szCs w:val="24"/>
        </w:rPr>
        <w:t xml:space="preserve"> (identidad partidista), pero también hay votantes neutrales, con </w:t>
      </w:r>
      <m:oMath>
        <m:r>
          <w:rPr>
            <w:rFonts w:ascii="Cambria Math" w:hAnsi="Cambria Math" w:cs="Times New Roman"/>
            <w:sz w:val="24"/>
            <w:szCs w:val="24"/>
          </w:rPr>
          <m:t>σ=0</m:t>
        </m:r>
      </m:oMath>
      <w:r>
        <w:rPr>
          <w:rFonts w:ascii="Times New Roman" w:hAnsi="Times New Roman" w:cs="Times New Roman"/>
          <w:sz w:val="24"/>
          <w:szCs w:val="24"/>
        </w:rPr>
        <w:t xml:space="preserve">, los cuales votan estrictamente de acuerdo con sus preferencias sobre políticas y beneficios de consumo que reciben. Así, si el partido A adopta una política x y el partido B una política y, entonces los votantes neutrales votarán por A si </w:t>
      </w:r>
      <m:oMath>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x,τ</m:t>
            </m:r>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y,τ</m:t>
            </m:r>
          </m:e>
        </m:d>
        <m:r>
          <w:rPr>
            <w:rFonts w:ascii="Cambria Math" w:hAnsi="Cambria Math" w:cs="Times New Roman"/>
            <w:sz w:val="24"/>
            <w:szCs w:val="24"/>
          </w:rPr>
          <m:t>&gt;σ</m:t>
        </m:r>
      </m:oMath>
      <w:r>
        <w:rPr>
          <w:rFonts w:ascii="Times New Roman" w:hAnsi="Times New Roman" w:cs="Times New Roman"/>
          <w:sz w:val="24"/>
          <w:szCs w:val="24"/>
        </w:rPr>
        <w:t xml:space="preserve">, y votarán por </w:t>
      </w:r>
      <w:r w:rsidR="009B2F03">
        <w:rPr>
          <w:rFonts w:ascii="Times New Roman" w:hAnsi="Times New Roman" w:cs="Times New Roman"/>
          <w:sz w:val="24"/>
          <w:szCs w:val="24"/>
        </w:rPr>
        <w:t>B si la desigualdad se revierte, e</w:t>
      </w:r>
      <w:r>
        <w:rPr>
          <w:rFonts w:ascii="Times New Roman" w:hAnsi="Times New Roman" w:cs="Times New Roman"/>
          <w:sz w:val="24"/>
          <w:szCs w:val="24"/>
        </w:rPr>
        <w:t xml:space="preserve">s decir, si </w:t>
      </w:r>
      <w:r w:rsidR="009B2F03">
        <w:rPr>
          <w:rFonts w:ascii="Times New Roman" w:hAnsi="Times New Roman" w:cs="Times New Roman"/>
          <w:sz w:val="24"/>
          <w:szCs w:val="24"/>
        </w:rPr>
        <w:t>la utilidad que les ofrece</w:t>
      </w:r>
      <w:r>
        <w:rPr>
          <w:rFonts w:ascii="Times New Roman" w:hAnsi="Times New Roman" w:cs="Times New Roman"/>
          <w:sz w:val="24"/>
          <w:szCs w:val="24"/>
        </w:rPr>
        <w:t xml:space="preserve"> el consumo de votar por un partido y la utilidad de la política adoptada superan su identidad partidista. </w:t>
      </w:r>
    </w:p>
    <w:p w14:paraId="0CC54280" w14:textId="784EC076" w:rsidR="00C45CBC" w:rsidRDefault="00C45CBC" w:rsidP="00C45CBC">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En el modelo, los partidos políticos adoptan políticas ideales que se ubican en los extremos del óptimo utilitario</w:t>
      </w:r>
      <w:proofErr w:type="gramStart"/>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A</m:t>
            </m:r>
          </m:sub>
        </m:sSub>
        <m:r>
          <w:rPr>
            <w:rFonts w:ascii="Cambria Math" w:hAnsi="Cambria Math" w:cs="Times New Roman"/>
            <w:sz w:val="24"/>
            <w:szCs w:val="24"/>
          </w:rPr>
          <m:t>&lt;</m:t>
        </m:r>
        <m:acc>
          <m:accPr>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B</m:t>
            </m:r>
          </m:sub>
        </m:sSub>
      </m:oMath>
      <w:r>
        <w:rPr>
          <w:rFonts w:ascii="Times New Roman" w:hAnsi="Times New Roman" w:cs="Times New Roman"/>
          <w:sz w:val="24"/>
          <w:szCs w:val="24"/>
        </w:rPr>
        <w:t>,</w:t>
      </w:r>
      <w:proofErr w:type="gramEnd"/>
      <w:r>
        <w:rPr>
          <w:rFonts w:ascii="Times New Roman" w:hAnsi="Times New Roman" w:cs="Times New Roman"/>
          <w:sz w:val="24"/>
          <w:szCs w:val="24"/>
        </w:rPr>
        <w:t xml:space="preserve"> donde </w:t>
      </w:r>
      <m:oMath>
        <m:acc>
          <m:accPr>
            <m:ctrlPr>
              <w:rPr>
                <w:rFonts w:ascii="Cambria Math" w:hAnsi="Cambria Math" w:cs="Times New Roman"/>
                <w:i/>
                <w:sz w:val="24"/>
                <w:szCs w:val="24"/>
              </w:rPr>
            </m:ctrlPr>
          </m:accPr>
          <m:e>
            <m:r>
              <w:rPr>
                <w:rFonts w:ascii="Cambria Math" w:hAnsi="Cambria Math" w:cs="Times New Roman"/>
                <w:sz w:val="24"/>
                <w:szCs w:val="24"/>
              </w:rPr>
              <m:t>x</m:t>
            </m:r>
          </m:e>
        </m:acc>
      </m:oMath>
      <w:r>
        <w:rPr>
          <w:rFonts w:ascii="Times New Roman" w:hAnsi="Times New Roman" w:cs="Times New Roman"/>
          <w:sz w:val="24"/>
          <w:szCs w:val="24"/>
        </w:rPr>
        <w:t xml:space="preserve"> es precisamente la política adoptada que maximiza la utilidad de los votantes en caso de no existir identidad partidista. Con base en esto, en los supuestos mencionados y en las premisas anteriores, el partido más popular, es decir, el que tenga una identidad partidista mayo</w:t>
      </w:r>
      <w:r w:rsidR="00690433">
        <w:rPr>
          <w:rFonts w:ascii="Times New Roman" w:hAnsi="Times New Roman" w:cs="Times New Roman"/>
          <w:sz w:val="24"/>
          <w:szCs w:val="24"/>
        </w:rPr>
        <w:t>r entre el conjunto de votantes</w:t>
      </w:r>
      <w:r>
        <w:rPr>
          <w:rFonts w:ascii="Times New Roman" w:hAnsi="Times New Roman" w:cs="Times New Roman"/>
          <w:sz w:val="24"/>
          <w:szCs w:val="24"/>
        </w:rPr>
        <w:t xml:space="preserve"> ganará con una política que se encuentre entre su política preferida</w:t>
      </w:r>
      <w:proofErr w:type="gramStart"/>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A</m:t>
            </m:r>
          </m:sub>
        </m:sSub>
      </m:oMath>
      <w:r>
        <w:rPr>
          <w:rFonts w:ascii="Times New Roman" w:hAnsi="Times New Roman" w:cs="Times New Roman"/>
          <w:sz w:val="24"/>
          <w:szCs w:val="24"/>
        </w:rPr>
        <w:t>,</w:t>
      </w:r>
      <w:proofErr w:type="gramEnd"/>
      <w:r>
        <w:rPr>
          <w:rFonts w:ascii="Times New Roman" w:hAnsi="Times New Roman" w:cs="Times New Roman"/>
          <w:sz w:val="24"/>
          <w:szCs w:val="24"/>
        </w:rPr>
        <w:t xml:space="preserve"> y el óptimo utilitario</w:t>
      </w:r>
      <w:r w:rsidR="00690433">
        <w:rPr>
          <w:rFonts w:ascii="Times New Roman" w:hAnsi="Times New Roman" w:cs="Times New Roman"/>
          <w:sz w:val="24"/>
          <w:szCs w:val="24"/>
        </w:rPr>
        <w:t>,</w:t>
      </w:r>
      <w:r>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x</m:t>
            </m:r>
          </m:e>
        </m:acc>
      </m:oMath>
      <w:r>
        <w:rPr>
          <w:rFonts w:ascii="Times New Roman" w:hAnsi="Times New Roman" w:cs="Times New Roman"/>
          <w:sz w:val="24"/>
          <w:szCs w:val="24"/>
        </w:rPr>
        <w:t xml:space="preserve">. Sin embargo, la política adoptada se acercará más al óptimo utilitario </w:t>
      </w:r>
      <m:oMath>
        <m:acc>
          <m:accPr>
            <m:ctrlPr>
              <w:rPr>
                <w:rFonts w:ascii="Cambria Math" w:hAnsi="Cambria Math" w:cs="Times New Roman"/>
                <w:i/>
                <w:sz w:val="24"/>
                <w:szCs w:val="24"/>
              </w:rPr>
            </m:ctrlPr>
          </m:accPr>
          <m:e>
            <m:r>
              <w:rPr>
                <w:rFonts w:ascii="Cambria Math" w:hAnsi="Cambria Math" w:cs="Times New Roman"/>
                <w:sz w:val="24"/>
                <w:szCs w:val="24"/>
              </w:rPr>
              <m:t>x</m:t>
            </m:r>
          </m:e>
        </m:acc>
      </m:oMath>
      <w:r>
        <w:rPr>
          <w:rFonts w:ascii="Times New Roman" w:hAnsi="Times New Roman" w:cs="Times New Roman"/>
          <w:sz w:val="24"/>
          <w:szCs w:val="24"/>
        </w:rPr>
        <w:t xml:space="preserve">, a </w:t>
      </w:r>
      <w:r w:rsidR="009B2F03">
        <w:rPr>
          <w:rFonts w:ascii="Times New Roman" w:hAnsi="Times New Roman" w:cs="Times New Roman"/>
          <w:sz w:val="24"/>
          <w:szCs w:val="24"/>
        </w:rPr>
        <w:t>medida que la</w:t>
      </w:r>
      <w:r>
        <w:rPr>
          <w:rFonts w:ascii="Times New Roman" w:hAnsi="Times New Roman" w:cs="Times New Roman"/>
          <w:sz w:val="24"/>
          <w:szCs w:val="24"/>
        </w:rPr>
        <w:t xml:space="preserve"> identidad partidista del electorado por A</w:t>
      </w:r>
      <w:r w:rsidR="009B2F03">
        <w:rPr>
          <w:rFonts w:ascii="Times New Roman" w:hAnsi="Times New Roman" w:cs="Times New Roman"/>
          <w:sz w:val="24"/>
          <w:szCs w:val="24"/>
        </w:rPr>
        <w:t xml:space="preserve"> sea menor</w:t>
      </w:r>
      <w:r>
        <w:rPr>
          <w:rFonts w:ascii="Times New Roman" w:hAnsi="Times New Roman" w:cs="Times New Roman"/>
          <w:sz w:val="24"/>
          <w:szCs w:val="24"/>
        </w:rPr>
        <w:t xml:space="preserve">. Esto quiere decir que, como conclusión del modelo, los partidos enfocarán los bienes que repartan a los votantes indecisos o neutrales, pues la utilidad de los beneficios que les entreguen no requiere ser tan alta, como </w:t>
      </w:r>
      <w:r w:rsidR="009B2F03">
        <w:rPr>
          <w:rFonts w:ascii="Times New Roman" w:hAnsi="Times New Roman" w:cs="Times New Roman"/>
          <w:sz w:val="24"/>
          <w:szCs w:val="24"/>
        </w:rPr>
        <w:t xml:space="preserve">lo sería </w:t>
      </w:r>
      <w:r>
        <w:rPr>
          <w:rFonts w:ascii="Times New Roman" w:hAnsi="Times New Roman" w:cs="Times New Roman"/>
          <w:sz w:val="24"/>
          <w:szCs w:val="24"/>
        </w:rPr>
        <w:t>si necesitaran revertir el valor de la identidad partidista.</w:t>
      </w:r>
    </w:p>
    <w:p w14:paraId="0694D66F" w14:textId="77777777" w:rsidR="00E92759" w:rsidRDefault="00E92759" w:rsidP="00C45CBC">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De forma particular el modelo de votantes duros de Cox y </w:t>
      </w:r>
      <w:proofErr w:type="spellStart"/>
      <w:r>
        <w:rPr>
          <w:rFonts w:ascii="Times New Roman" w:hAnsi="Times New Roman" w:cs="Times New Roman"/>
          <w:sz w:val="24"/>
          <w:szCs w:val="24"/>
        </w:rPr>
        <w:t>McCubbins</w:t>
      </w:r>
      <w:proofErr w:type="spellEnd"/>
      <w:r w:rsidR="005178B0">
        <w:rPr>
          <w:rFonts w:ascii="Times New Roman" w:hAnsi="Times New Roman" w:cs="Times New Roman"/>
          <w:sz w:val="24"/>
          <w:szCs w:val="24"/>
        </w:rPr>
        <w:t xml:space="preserve"> parte de cuatro supuestos fundamentales, además de los dos ya mencionados</w:t>
      </w:r>
      <w:r w:rsidR="003B38BF">
        <w:rPr>
          <w:rFonts w:ascii="Times New Roman" w:hAnsi="Times New Roman" w:cs="Times New Roman"/>
          <w:sz w:val="24"/>
          <w:szCs w:val="24"/>
        </w:rPr>
        <w:t xml:space="preserve"> (un sistema electoral bipartidista y que las promesas de los partidos durante la campaña, a final de cuentas son entregadas)</w:t>
      </w:r>
      <w:r w:rsidR="005178B0">
        <w:rPr>
          <w:rFonts w:ascii="Times New Roman" w:hAnsi="Times New Roman" w:cs="Times New Roman"/>
          <w:sz w:val="24"/>
          <w:szCs w:val="24"/>
        </w:rPr>
        <w:t>. El primero se refiere a que los grupos de oposición son menos responsivos ante los bienes que les ofrecen los candidatos, que los grupos de votantes duros o indecisos. El segundo supuesto establece que los candidatos son adversos al riesgo. Este supuesto será crucial para llegar a los resultados pred</w:t>
      </w:r>
      <w:r w:rsidR="004657AA">
        <w:rPr>
          <w:rFonts w:ascii="Times New Roman" w:hAnsi="Times New Roman" w:cs="Times New Roman"/>
          <w:sz w:val="24"/>
          <w:szCs w:val="24"/>
        </w:rPr>
        <w:t xml:space="preserve">ichos por el modelo. El tercer supuesto se relaciona con el anterior y </w:t>
      </w:r>
      <w:r w:rsidR="00C21746">
        <w:rPr>
          <w:rFonts w:ascii="Times New Roman" w:hAnsi="Times New Roman" w:cs="Times New Roman"/>
          <w:sz w:val="24"/>
          <w:szCs w:val="24"/>
        </w:rPr>
        <w:t>se refiere a que los votantes indecisos representan inversiones más riesgosas que los grupos de apoyo o duros para obtener votos a cambio de la obtención de bienes públicos. El último supuesto tiene que ver con que existe un juego electoral redistributivo de Nash, esto es, existe un equilibrio cuando s</w:t>
      </w:r>
      <w:r w:rsidR="00462A07">
        <w:rPr>
          <w:rFonts w:ascii="Times New Roman" w:hAnsi="Times New Roman" w:cs="Times New Roman"/>
          <w:sz w:val="24"/>
          <w:szCs w:val="24"/>
        </w:rPr>
        <w:t>e siguen las estrategias puras, a pesar de ser un modelo de distribución espacial.</w:t>
      </w:r>
    </w:p>
    <w:p w14:paraId="16F32111" w14:textId="77777777" w:rsidR="00462A07" w:rsidRDefault="00462A07" w:rsidP="00072B7C">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Con base en dichos supuestos, los autores derivan dos premisas principales. </w:t>
      </w:r>
      <w:r w:rsidR="00860B66">
        <w:rPr>
          <w:rFonts w:ascii="Times New Roman" w:hAnsi="Times New Roman" w:cs="Times New Roman"/>
          <w:sz w:val="24"/>
          <w:szCs w:val="24"/>
        </w:rPr>
        <w:t>La</w:t>
      </w:r>
      <w:r>
        <w:rPr>
          <w:rFonts w:ascii="Times New Roman" w:hAnsi="Times New Roman" w:cs="Times New Roman"/>
          <w:sz w:val="24"/>
          <w:szCs w:val="24"/>
        </w:rPr>
        <w:t xml:space="preserve"> </w:t>
      </w:r>
      <w:r w:rsidR="00860B66">
        <w:rPr>
          <w:rFonts w:ascii="Times New Roman" w:hAnsi="Times New Roman" w:cs="Times New Roman"/>
          <w:sz w:val="24"/>
          <w:szCs w:val="24"/>
        </w:rPr>
        <w:t xml:space="preserve">primera afirma que “en el juego electoral redistributivo, los candidatos prometerán beneficios a aquellos grupos </w:t>
      </w:r>
      <w:r w:rsidR="000C2D46">
        <w:rPr>
          <w:rFonts w:ascii="Times New Roman" w:hAnsi="Times New Roman" w:cs="Times New Roman"/>
          <w:sz w:val="24"/>
          <w:szCs w:val="24"/>
        </w:rPr>
        <w:t>en sus distritos con las tasas</w:t>
      </w:r>
      <w:r w:rsidR="00860B66">
        <w:rPr>
          <w:rFonts w:ascii="Times New Roman" w:hAnsi="Times New Roman" w:cs="Times New Roman"/>
          <w:sz w:val="24"/>
          <w:szCs w:val="24"/>
        </w:rPr>
        <w:t xml:space="preserve"> de retorno</w:t>
      </w:r>
      <w:r w:rsidR="000C2D46">
        <w:rPr>
          <w:rFonts w:ascii="Times New Roman" w:hAnsi="Times New Roman" w:cs="Times New Roman"/>
          <w:sz w:val="24"/>
          <w:szCs w:val="24"/>
        </w:rPr>
        <w:t xml:space="preserve"> más altas y no prometerán beneficios o incluso prometerán beneficios negativos (costos) a aquellos con </w:t>
      </w:r>
      <w:r w:rsidR="00764CCC">
        <w:rPr>
          <w:rFonts w:ascii="Times New Roman" w:hAnsi="Times New Roman" w:cs="Times New Roman"/>
          <w:sz w:val="24"/>
          <w:szCs w:val="24"/>
        </w:rPr>
        <w:t>l</w:t>
      </w:r>
      <w:r w:rsidR="000C2D46">
        <w:rPr>
          <w:rFonts w:ascii="Times New Roman" w:hAnsi="Times New Roman" w:cs="Times New Roman"/>
          <w:sz w:val="24"/>
          <w:szCs w:val="24"/>
        </w:rPr>
        <w:t>as tasas más bajas de retorno”.</w:t>
      </w:r>
      <w:r w:rsidR="000C2D46">
        <w:rPr>
          <w:rStyle w:val="Refdenotaalpie"/>
          <w:rFonts w:ascii="Times New Roman" w:hAnsi="Times New Roman" w:cs="Times New Roman"/>
          <w:sz w:val="24"/>
          <w:szCs w:val="24"/>
        </w:rPr>
        <w:footnoteReference w:id="30"/>
      </w:r>
      <w:r w:rsidR="008E1E04">
        <w:rPr>
          <w:rFonts w:ascii="Times New Roman" w:hAnsi="Times New Roman" w:cs="Times New Roman"/>
          <w:sz w:val="24"/>
          <w:szCs w:val="24"/>
        </w:rPr>
        <w:t xml:space="preserve"> La</w:t>
      </w:r>
      <w:r w:rsidR="000C2D46">
        <w:rPr>
          <w:rFonts w:ascii="Times New Roman" w:hAnsi="Times New Roman" w:cs="Times New Roman"/>
          <w:sz w:val="24"/>
          <w:szCs w:val="24"/>
        </w:rPr>
        <w:t xml:space="preserve"> segunda premisa supone que los grupos pueden ordenarse en términos de su </w:t>
      </w:r>
      <w:proofErr w:type="spellStart"/>
      <w:r w:rsidR="000C2D46">
        <w:rPr>
          <w:rFonts w:ascii="Times New Roman" w:hAnsi="Times New Roman" w:cs="Times New Roman"/>
          <w:sz w:val="24"/>
          <w:szCs w:val="24"/>
        </w:rPr>
        <w:t>responsividad</w:t>
      </w:r>
      <w:proofErr w:type="spellEnd"/>
      <w:r w:rsidR="000C2D46">
        <w:rPr>
          <w:rFonts w:ascii="Times New Roman" w:hAnsi="Times New Roman" w:cs="Times New Roman"/>
          <w:sz w:val="24"/>
          <w:szCs w:val="24"/>
        </w:rPr>
        <w:t xml:space="preserve"> electoral. De acuerdo con esta premisa, si esta ordenación puede ocurrir, los grupos pueden ser ordenados de forma similar, de acuerdo con la cantidad de </w:t>
      </w:r>
      <w:r w:rsidR="00764CCC">
        <w:rPr>
          <w:rFonts w:ascii="Times New Roman" w:hAnsi="Times New Roman" w:cs="Times New Roman"/>
          <w:sz w:val="24"/>
          <w:szCs w:val="24"/>
        </w:rPr>
        <w:t>beneficios que les son prometido</w:t>
      </w:r>
      <w:r w:rsidR="000C2D46">
        <w:rPr>
          <w:rFonts w:ascii="Times New Roman" w:hAnsi="Times New Roman" w:cs="Times New Roman"/>
          <w:sz w:val="24"/>
          <w:szCs w:val="24"/>
        </w:rPr>
        <w:t>s por los candidatos, en donde se prometerá poco a los grupos menos responsivos y a los grupos responsivos se les prometerá más, relativamente.</w:t>
      </w:r>
      <w:r w:rsidR="00CB6C54">
        <w:rPr>
          <w:rFonts w:ascii="Times New Roman" w:hAnsi="Times New Roman" w:cs="Times New Roman"/>
          <w:sz w:val="24"/>
          <w:szCs w:val="24"/>
        </w:rPr>
        <w:t xml:space="preserve"> </w:t>
      </w:r>
    </w:p>
    <w:p w14:paraId="08483A42" w14:textId="77777777" w:rsidR="003B38BF" w:rsidRDefault="00772794" w:rsidP="00072B7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La conjunción de ambas premisas combinada con el supuesto de aversión al riesgo </w:t>
      </w:r>
      <w:r w:rsidR="00764CCC">
        <w:rPr>
          <w:rFonts w:ascii="Times New Roman" w:hAnsi="Times New Roman" w:cs="Times New Roman"/>
          <w:sz w:val="24"/>
          <w:szCs w:val="24"/>
        </w:rPr>
        <w:t>p</w:t>
      </w:r>
      <w:r>
        <w:rPr>
          <w:rFonts w:ascii="Times New Roman" w:hAnsi="Times New Roman" w:cs="Times New Roman"/>
          <w:sz w:val="24"/>
          <w:szCs w:val="24"/>
        </w:rPr>
        <w:t xml:space="preserve">or parte de los funcionarios lleva a la conclusión de que dichos funcionarios considerarán que sus grupos de apoyo leales </w:t>
      </w:r>
      <w:r w:rsidR="00623B36">
        <w:rPr>
          <w:rFonts w:ascii="Times New Roman" w:hAnsi="Times New Roman" w:cs="Times New Roman"/>
          <w:sz w:val="24"/>
          <w:szCs w:val="24"/>
        </w:rPr>
        <w:t xml:space="preserve">o duros </w:t>
      </w:r>
      <w:r>
        <w:rPr>
          <w:rFonts w:ascii="Times New Roman" w:hAnsi="Times New Roman" w:cs="Times New Roman"/>
          <w:sz w:val="24"/>
          <w:szCs w:val="24"/>
        </w:rPr>
        <w:t xml:space="preserve">son la inversión electoral más fructífera. Esto se traduce en </w:t>
      </w:r>
      <w:r w:rsidR="005C14A0">
        <w:rPr>
          <w:rFonts w:ascii="Times New Roman" w:hAnsi="Times New Roman" w:cs="Times New Roman"/>
          <w:sz w:val="24"/>
          <w:szCs w:val="24"/>
        </w:rPr>
        <w:t>que</w:t>
      </w:r>
      <w:r>
        <w:rPr>
          <w:rFonts w:ascii="Times New Roman" w:hAnsi="Times New Roman" w:cs="Times New Roman"/>
          <w:sz w:val="24"/>
          <w:szCs w:val="24"/>
        </w:rPr>
        <w:t xml:space="preserve"> “los políticos adoptarán estrategias en las que invertirán poco (si es que algo) en los grupos de oposición, un tanto más en los grupos de indecisos</w:t>
      </w:r>
      <w:r w:rsidR="00505E85">
        <w:rPr>
          <w:rFonts w:ascii="Times New Roman" w:hAnsi="Times New Roman" w:cs="Times New Roman"/>
          <w:sz w:val="24"/>
          <w:szCs w:val="24"/>
        </w:rPr>
        <w:t>, y aún más en sus grupos de apoyo”.</w:t>
      </w:r>
      <w:r w:rsidR="00505E85">
        <w:rPr>
          <w:rStyle w:val="Refdenotaalpie"/>
          <w:rFonts w:ascii="Times New Roman" w:hAnsi="Times New Roman" w:cs="Times New Roman"/>
          <w:sz w:val="24"/>
          <w:szCs w:val="24"/>
        </w:rPr>
        <w:footnoteReference w:id="31"/>
      </w:r>
      <w:r w:rsidR="005C14A0">
        <w:rPr>
          <w:rFonts w:ascii="Times New Roman" w:hAnsi="Times New Roman" w:cs="Times New Roman"/>
          <w:sz w:val="24"/>
          <w:szCs w:val="24"/>
        </w:rPr>
        <w:t xml:space="preserve"> Por lo tanto, los mayores beneficiarios de que se cumpla esta teoría en términos de los bienes públicos recibidos, serán los grupos de apoyo duros del partido en el gobierno.</w:t>
      </w:r>
    </w:p>
    <w:p w14:paraId="55EFA87A" w14:textId="0E999B6A" w:rsidR="00061D4E" w:rsidRDefault="00061D4E" w:rsidP="00072B7C">
      <w:pPr>
        <w:spacing w:line="480" w:lineRule="auto"/>
        <w:jc w:val="both"/>
        <w:rPr>
          <w:rFonts w:ascii="Times New Roman" w:hAnsi="Times New Roman" w:cs="Times New Roman"/>
          <w:sz w:val="24"/>
          <w:szCs w:val="24"/>
        </w:rPr>
      </w:pPr>
      <w:r>
        <w:rPr>
          <w:rFonts w:ascii="Times New Roman" w:hAnsi="Times New Roman" w:cs="Times New Roman"/>
          <w:sz w:val="24"/>
          <w:szCs w:val="24"/>
        </w:rPr>
        <w:tab/>
        <w:t>Cox llega incluso a precisar este mo</w:t>
      </w:r>
      <w:r w:rsidR="00E32CF6">
        <w:rPr>
          <w:rFonts w:ascii="Times New Roman" w:hAnsi="Times New Roman" w:cs="Times New Roman"/>
          <w:sz w:val="24"/>
          <w:szCs w:val="24"/>
        </w:rPr>
        <w:t>delo del votante duro al incorporar</w:t>
      </w:r>
      <w:r>
        <w:rPr>
          <w:rFonts w:ascii="Times New Roman" w:hAnsi="Times New Roman" w:cs="Times New Roman"/>
          <w:sz w:val="24"/>
          <w:szCs w:val="24"/>
        </w:rPr>
        <w:t xml:space="preserve"> las categorías de coordinación y movilización </w:t>
      </w:r>
      <w:r w:rsidR="00E32CF6">
        <w:rPr>
          <w:rFonts w:ascii="Times New Roman" w:hAnsi="Times New Roman" w:cs="Times New Roman"/>
          <w:sz w:val="24"/>
          <w:szCs w:val="24"/>
        </w:rPr>
        <w:t xml:space="preserve">dentro del análisis. </w:t>
      </w:r>
      <w:r w:rsidR="007F7804">
        <w:rPr>
          <w:rFonts w:ascii="Times New Roman" w:hAnsi="Times New Roman" w:cs="Times New Roman"/>
          <w:sz w:val="24"/>
          <w:szCs w:val="24"/>
        </w:rPr>
        <w:t xml:space="preserve">Define a la primera como el intento de afectar el número y </w:t>
      </w:r>
      <w:r w:rsidR="001C6BAE">
        <w:rPr>
          <w:rFonts w:ascii="Times New Roman" w:hAnsi="Times New Roman" w:cs="Times New Roman"/>
          <w:sz w:val="24"/>
          <w:szCs w:val="24"/>
        </w:rPr>
        <w:t>tipo de alternativas de</w:t>
      </w:r>
      <w:r w:rsidR="0096687D">
        <w:rPr>
          <w:rFonts w:ascii="Times New Roman" w:hAnsi="Times New Roman" w:cs="Times New Roman"/>
          <w:sz w:val="24"/>
          <w:szCs w:val="24"/>
        </w:rPr>
        <w:t xml:space="preserve"> </w:t>
      </w:r>
      <w:r w:rsidR="001C6BAE">
        <w:rPr>
          <w:rFonts w:ascii="Times New Roman" w:hAnsi="Times New Roman" w:cs="Times New Roman"/>
          <w:sz w:val="24"/>
          <w:szCs w:val="24"/>
        </w:rPr>
        <w:t>entre las cuales el votante elige y a la segunda como el intento de afectar la participación de los votantes. El autor explica</w:t>
      </w:r>
      <w:r w:rsidR="00E32CF6">
        <w:rPr>
          <w:rFonts w:ascii="Times New Roman" w:hAnsi="Times New Roman" w:cs="Times New Roman"/>
          <w:sz w:val="24"/>
          <w:szCs w:val="24"/>
        </w:rPr>
        <w:t xml:space="preserve"> que los modelos existentes, tanto el suyo, como el de </w:t>
      </w:r>
      <w:proofErr w:type="spellStart"/>
      <w:r w:rsidR="00E32CF6">
        <w:rPr>
          <w:rFonts w:ascii="Times New Roman" w:hAnsi="Times New Roman" w:cs="Times New Roman"/>
          <w:sz w:val="24"/>
          <w:szCs w:val="24"/>
        </w:rPr>
        <w:t>Linbeck</w:t>
      </w:r>
      <w:proofErr w:type="spellEnd"/>
      <w:r w:rsidR="00E32CF6">
        <w:rPr>
          <w:rFonts w:ascii="Times New Roman" w:hAnsi="Times New Roman" w:cs="Times New Roman"/>
          <w:sz w:val="24"/>
          <w:szCs w:val="24"/>
        </w:rPr>
        <w:t xml:space="preserve"> y </w:t>
      </w:r>
      <w:proofErr w:type="spellStart"/>
      <w:r w:rsidR="00E32CF6">
        <w:rPr>
          <w:rFonts w:ascii="Times New Roman" w:hAnsi="Times New Roman" w:cs="Times New Roman"/>
          <w:sz w:val="24"/>
          <w:szCs w:val="24"/>
        </w:rPr>
        <w:t>Weibull</w:t>
      </w:r>
      <w:proofErr w:type="spellEnd"/>
      <w:r w:rsidR="00E32CF6">
        <w:rPr>
          <w:rFonts w:ascii="Times New Roman" w:hAnsi="Times New Roman" w:cs="Times New Roman"/>
          <w:sz w:val="24"/>
          <w:szCs w:val="24"/>
        </w:rPr>
        <w:t xml:space="preserve"> sólo se habían concentrado en la persuasión para cambiar la preferencia de los votantes. </w:t>
      </w:r>
      <w:r w:rsidR="001C6BAE">
        <w:rPr>
          <w:rFonts w:ascii="Times New Roman" w:hAnsi="Times New Roman" w:cs="Times New Roman"/>
          <w:sz w:val="24"/>
          <w:szCs w:val="24"/>
        </w:rPr>
        <w:t>Sin embargo, al introducir la posibilidad de que la decisión sea entre participar o no</w:t>
      </w:r>
      <w:r w:rsidR="00D14C19">
        <w:rPr>
          <w:rFonts w:ascii="Times New Roman" w:hAnsi="Times New Roman" w:cs="Times New Roman"/>
          <w:sz w:val="24"/>
          <w:szCs w:val="24"/>
        </w:rPr>
        <w:t xml:space="preserve"> hacerlo</w:t>
      </w:r>
      <w:r w:rsidR="00105E9C">
        <w:rPr>
          <w:rFonts w:ascii="Times New Roman" w:hAnsi="Times New Roman" w:cs="Times New Roman"/>
          <w:sz w:val="24"/>
          <w:szCs w:val="24"/>
        </w:rPr>
        <w:t xml:space="preserve"> (movilización)</w:t>
      </w:r>
      <w:r w:rsidR="001C6BAE">
        <w:rPr>
          <w:rFonts w:ascii="Times New Roman" w:hAnsi="Times New Roman" w:cs="Times New Roman"/>
          <w:sz w:val="24"/>
          <w:szCs w:val="24"/>
        </w:rPr>
        <w:t>, antes de que sea por quién votar, los partidos tendrán incentivos para enfocar sus transferencias a los votantes que ya tienen la seg</w:t>
      </w:r>
      <w:r w:rsidR="006E4E46">
        <w:rPr>
          <w:rFonts w:ascii="Times New Roman" w:hAnsi="Times New Roman" w:cs="Times New Roman"/>
          <w:sz w:val="24"/>
          <w:szCs w:val="24"/>
        </w:rPr>
        <w:t>uridad de que votarán por ellos, es decir, los duros.</w:t>
      </w:r>
      <w:r w:rsidR="001C6BAE">
        <w:rPr>
          <w:rStyle w:val="Refdenotaalpie"/>
          <w:rFonts w:ascii="Times New Roman" w:hAnsi="Times New Roman" w:cs="Times New Roman"/>
          <w:sz w:val="24"/>
          <w:szCs w:val="24"/>
        </w:rPr>
        <w:footnoteReference w:id="32"/>
      </w:r>
      <w:r w:rsidR="00105E9C">
        <w:rPr>
          <w:rFonts w:ascii="Times New Roman" w:hAnsi="Times New Roman" w:cs="Times New Roman"/>
          <w:sz w:val="24"/>
          <w:szCs w:val="24"/>
        </w:rPr>
        <w:t xml:space="preserve"> Además, si existe la posibilidad de que surjan nuevos partidos con ideologías parecidas a la del partido del gobernante y que sólo puedan restarle votos (coordinación), </w:t>
      </w:r>
      <w:r w:rsidR="00105E9C">
        <w:rPr>
          <w:rFonts w:ascii="Times New Roman" w:hAnsi="Times New Roman" w:cs="Times New Roman"/>
          <w:sz w:val="24"/>
          <w:szCs w:val="24"/>
        </w:rPr>
        <w:lastRenderedPageBreak/>
        <w:t>“entonces las transferencias a los grupos duros adquieren otro valor, al</w:t>
      </w:r>
      <w:r w:rsidR="006E4E46">
        <w:rPr>
          <w:rFonts w:ascii="Times New Roman" w:hAnsi="Times New Roman" w:cs="Times New Roman"/>
          <w:sz w:val="24"/>
          <w:szCs w:val="24"/>
        </w:rPr>
        <w:t>,</w:t>
      </w:r>
      <w:r w:rsidR="00105E9C">
        <w:rPr>
          <w:rFonts w:ascii="Times New Roman" w:hAnsi="Times New Roman" w:cs="Times New Roman"/>
          <w:sz w:val="24"/>
          <w:szCs w:val="24"/>
        </w:rPr>
        <w:t xml:space="preserve"> presumiblemente</w:t>
      </w:r>
      <w:r w:rsidR="006E4E46">
        <w:rPr>
          <w:rFonts w:ascii="Times New Roman" w:hAnsi="Times New Roman" w:cs="Times New Roman"/>
          <w:sz w:val="24"/>
          <w:szCs w:val="24"/>
        </w:rPr>
        <w:t>,</w:t>
      </w:r>
      <w:r w:rsidR="00105E9C">
        <w:rPr>
          <w:rFonts w:ascii="Times New Roman" w:hAnsi="Times New Roman" w:cs="Times New Roman"/>
          <w:sz w:val="24"/>
          <w:szCs w:val="24"/>
        </w:rPr>
        <w:t xml:space="preserve"> ayudar a reducir la probabilidad de competencia interna”.</w:t>
      </w:r>
      <w:r w:rsidR="00105E9C">
        <w:rPr>
          <w:rStyle w:val="Refdenotaalpie"/>
          <w:rFonts w:ascii="Times New Roman" w:hAnsi="Times New Roman" w:cs="Times New Roman"/>
          <w:sz w:val="24"/>
          <w:szCs w:val="24"/>
        </w:rPr>
        <w:footnoteReference w:id="33"/>
      </w:r>
    </w:p>
    <w:p w14:paraId="661F3A7E" w14:textId="77777777" w:rsidR="00105E9C" w:rsidRDefault="003B38BF" w:rsidP="00C26DB1">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N</w:t>
      </w:r>
      <w:r w:rsidR="00105E9C">
        <w:rPr>
          <w:rFonts w:ascii="Times New Roman" w:hAnsi="Times New Roman" w:cs="Times New Roman"/>
          <w:sz w:val="24"/>
          <w:szCs w:val="24"/>
        </w:rPr>
        <w:t xml:space="preserve">o existe consenso sobre cuál de estas </w:t>
      </w:r>
      <w:r w:rsidR="00C26DB1">
        <w:rPr>
          <w:rFonts w:ascii="Times New Roman" w:hAnsi="Times New Roman" w:cs="Times New Roman"/>
          <w:sz w:val="24"/>
          <w:szCs w:val="24"/>
        </w:rPr>
        <w:t xml:space="preserve">dos </w:t>
      </w:r>
      <w:r w:rsidR="00105E9C">
        <w:rPr>
          <w:rFonts w:ascii="Times New Roman" w:hAnsi="Times New Roman" w:cs="Times New Roman"/>
          <w:sz w:val="24"/>
          <w:szCs w:val="24"/>
        </w:rPr>
        <w:t xml:space="preserve">teorías tiene mayor capacidad de predicción en el mundo empírico. Existen partidarios de ambas teorías que </w:t>
      </w:r>
      <w:r w:rsidR="00C44333">
        <w:rPr>
          <w:rFonts w:ascii="Times New Roman" w:hAnsi="Times New Roman" w:cs="Times New Roman"/>
          <w:sz w:val="24"/>
          <w:szCs w:val="24"/>
        </w:rPr>
        <w:t>utilizan distintos casos y modelos para afirmar que los gobernantes co</w:t>
      </w:r>
      <w:r>
        <w:rPr>
          <w:rFonts w:ascii="Times New Roman" w:hAnsi="Times New Roman" w:cs="Times New Roman"/>
          <w:sz w:val="24"/>
          <w:szCs w:val="24"/>
        </w:rPr>
        <w:t>n capacidad distributiva destinan los bienes ya sea a los votantes duros, o a</w:t>
      </w:r>
      <w:r w:rsidR="00C44333">
        <w:rPr>
          <w:rFonts w:ascii="Times New Roman" w:hAnsi="Times New Roman" w:cs="Times New Roman"/>
          <w:sz w:val="24"/>
          <w:szCs w:val="24"/>
        </w:rPr>
        <w:t xml:space="preserve"> los indecisos. Por ejemplo, </w:t>
      </w:r>
      <w:r>
        <w:rPr>
          <w:rFonts w:ascii="Times New Roman" w:hAnsi="Times New Roman" w:cs="Times New Roman"/>
          <w:sz w:val="24"/>
          <w:szCs w:val="24"/>
        </w:rPr>
        <w:t xml:space="preserve">algunos de los autores que comparten la visión de </w:t>
      </w:r>
      <w:r w:rsidR="00C44333">
        <w:rPr>
          <w:rFonts w:ascii="Times New Roman" w:hAnsi="Times New Roman" w:cs="Times New Roman"/>
          <w:sz w:val="24"/>
          <w:szCs w:val="24"/>
        </w:rPr>
        <w:t xml:space="preserve">Cox y </w:t>
      </w:r>
      <w:proofErr w:type="spellStart"/>
      <w:r w:rsidR="00C44333">
        <w:rPr>
          <w:rFonts w:ascii="Times New Roman" w:hAnsi="Times New Roman" w:cs="Times New Roman"/>
          <w:sz w:val="24"/>
          <w:szCs w:val="24"/>
        </w:rPr>
        <w:t>McCubbins</w:t>
      </w:r>
      <w:proofErr w:type="spellEnd"/>
      <w:r w:rsidR="00C44333">
        <w:rPr>
          <w:rFonts w:ascii="Times New Roman" w:hAnsi="Times New Roman" w:cs="Times New Roman"/>
          <w:sz w:val="24"/>
          <w:szCs w:val="24"/>
        </w:rPr>
        <w:t xml:space="preserve"> </w:t>
      </w:r>
      <w:r>
        <w:rPr>
          <w:rFonts w:ascii="Times New Roman" w:hAnsi="Times New Roman" w:cs="Times New Roman"/>
          <w:sz w:val="24"/>
          <w:szCs w:val="24"/>
        </w:rPr>
        <w:t>son</w:t>
      </w:r>
      <w:r w:rsidR="00C44333">
        <w:rPr>
          <w:rFonts w:ascii="Times New Roman" w:hAnsi="Times New Roman" w:cs="Times New Roman"/>
          <w:sz w:val="24"/>
          <w:szCs w:val="24"/>
        </w:rPr>
        <w:t xml:space="preserve"> </w:t>
      </w:r>
      <w:proofErr w:type="spellStart"/>
      <w:r w:rsidR="00C44333">
        <w:rPr>
          <w:rFonts w:ascii="Times New Roman" w:hAnsi="Times New Roman" w:cs="Times New Roman"/>
          <w:sz w:val="24"/>
          <w:szCs w:val="24"/>
        </w:rPr>
        <w:t>Levitt</w:t>
      </w:r>
      <w:proofErr w:type="spellEnd"/>
      <w:r w:rsidR="00C44333">
        <w:rPr>
          <w:rFonts w:ascii="Times New Roman" w:hAnsi="Times New Roman" w:cs="Times New Roman"/>
          <w:sz w:val="24"/>
          <w:szCs w:val="24"/>
        </w:rPr>
        <w:t xml:space="preserve"> y </w:t>
      </w:r>
      <w:proofErr w:type="spellStart"/>
      <w:r w:rsidR="00C44333">
        <w:rPr>
          <w:rFonts w:ascii="Times New Roman" w:hAnsi="Times New Roman" w:cs="Times New Roman"/>
          <w:sz w:val="24"/>
          <w:szCs w:val="24"/>
        </w:rPr>
        <w:t>Snyder</w:t>
      </w:r>
      <w:proofErr w:type="spellEnd"/>
      <w:r w:rsidR="00C44333">
        <w:rPr>
          <w:rFonts w:ascii="Times New Roman" w:hAnsi="Times New Roman" w:cs="Times New Roman"/>
          <w:sz w:val="24"/>
          <w:szCs w:val="24"/>
        </w:rPr>
        <w:t>,</w:t>
      </w:r>
      <w:r w:rsidR="00C44333">
        <w:rPr>
          <w:rStyle w:val="Refdenotaalpie"/>
          <w:rFonts w:ascii="Times New Roman" w:hAnsi="Times New Roman" w:cs="Times New Roman"/>
          <w:sz w:val="24"/>
          <w:szCs w:val="24"/>
        </w:rPr>
        <w:footnoteReference w:id="34"/>
      </w:r>
      <w:r w:rsidR="00C44333">
        <w:rPr>
          <w:rFonts w:ascii="Times New Roman" w:hAnsi="Times New Roman" w:cs="Times New Roman"/>
          <w:sz w:val="24"/>
          <w:szCs w:val="24"/>
        </w:rPr>
        <w:t xml:space="preserve"> </w:t>
      </w:r>
      <w:proofErr w:type="spellStart"/>
      <w:r w:rsidR="00C44333">
        <w:rPr>
          <w:rFonts w:ascii="Times New Roman" w:hAnsi="Times New Roman" w:cs="Times New Roman"/>
          <w:sz w:val="24"/>
          <w:szCs w:val="24"/>
        </w:rPr>
        <w:t>Balla</w:t>
      </w:r>
      <w:proofErr w:type="spellEnd"/>
      <w:r w:rsidR="00C44333">
        <w:rPr>
          <w:rFonts w:ascii="Times New Roman" w:hAnsi="Times New Roman" w:cs="Times New Roman"/>
          <w:sz w:val="24"/>
          <w:szCs w:val="24"/>
        </w:rPr>
        <w:t xml:space="preserve">, Lawrence, </w:t>
      </w:r>
      <w:proofErr w:type="spellStart"/>
      <w:r w:rsidR="00C44333">
        <w:rPr>
          <w:rFonts w:ascii="Times New Roman" w:hAnsi="Times New Roman" w:cs="Times New Roman"/>
          <w:sz w:val="24"/>
          <w:szCs w:val="24"/>
        </w:rPr>
        <w:t>Maltzman</w:t>
      </w:r>
      <w:proofErr w:type="spellEnd"/>
      <w:r w:rsidR="00C44333">
        <w:rPr>
          <w:rFonts w:ascii="Times New Roman" w:hAnsi="Times New Roman" w:cs="Times New Roman"/>
          <w:sz w:val="24"/>
          <w:szCs w:val="24"/>
        </w:rPr>
        <w:t xml:space="preserve"> y </w:t>
      </w:r>
      <w:proofErr w:type="spellStart"/>
      <w:r w:rsidR="00C44333">
        <w:rPr>
          <w:rFonts w:ascii="Times New Roman" w:hAnsi="Times New Roman" w:cs="Times New Roman"/>
          <w:sz w:val="24"/>
          <w:szCs w:val="24"/>
        </w:rPr>
        <w:t>Sigelman</w:t>
      </w:r>
      <w:proofErr w:type="spellEnd"/>
      <w:r w:rsidR="00C44333">
        <w:rPr>
          <w:rStyle w:val="Refdenotaalpie"/>
          <w:rFonts w:ascii="Times New Roman" w:hAnsi="Times New Roman" w:cs="Times New Roman"/>
          <w:sz w:val="24"/>
          <w:szCs w:val="24"/>
        </w:rPr>
        <w:footnoteReference w:id="35"/>
      </w:r>
      <w:r w:rsidR="00C44333">
        <w:rPr>
          <w:rFonts w:ascii="Times New Roman" w:hAnsi="Times New Roman" w:cs="Times New Roman"/>
          <w:sz w:val="24"/>
          <w:szCs w:val="24"/>
        </w:rPr>
        <w:t xml:space="preserve"> o Calvo y Murillo.</w:t>
      </w:r>
      <w:r w:rsidR="00C44333">
        <w:rPr>
          <w:rStyle w:val="Refdenotaalpie"/>
          <w:rFonts w:ascii="Times New Roman" w:hAnsi="Times New Roman" w:cs="Times New Roman"/>
          <w:sz w:val="24"/>
          <w:szCs w:val="24"/>
        </w:rPr>
        <w:footnoteReference w:id="36"/>
      </w:r>
      <w:r w:rsidR="00C44333">
        <w:rPr>
          <w:rFonts w:ascii="Times New Roman" w:hAnsi="Times New Roman" w:cs="Times New Roman"/>
          <w:sz w:val="24"/>
          <w:szCs w:val="24"/>
        </w:rPr>
        <w:t xml:space="preserve"> Por su pa</w:t>
      </w:r>
      <w:r>
        <w:rPr>
          <w:rFonts w:ascii="Times New Roman" w:hAnsi="Times New Roman" w:cs="Times New Roman"/>
          <w:sz w:val="24"/>
          <w:szCs w:val="24"/>
        </w:rPr>
        <w:t>rte, algunos autores que utilizan</w:t>
      </w:r>
      <w:r w:rsidR="00C44333">
        <w:rPr>
          <w:rFonts w:ascii="Times New Roman" w:hAnsi="Times New Roman" w:cs="Times New Roman"/>
          <w:sz w:val="24"/>
          <w:szCs w:val="24"/>
        </w:rPr>
        <w:t xml:space="preserve"> el modelo de </w:t>
      </w:r>
      <w:proofErr w:type="spellStart"/>
      <w:r w:rsidR="00C44333">
        <w:rPr>
          <w:rFonts w:ascii="Times New Roman" w:hAnsi="Times New Roman" w:cs="Times New Roman"/>
          <w:sz w:val="24"/>
          <w:szCs w:val="24"/>
        </w:rPr>
        <w:t>Lindbeck</w:t>
      </w:r>
      <w:proofErr w:type="spellEnd"/>
      <w:r w:rsidR="00C44333">
        <w:rPr>
          <w:rFonts w:ascii="Times New Roman" w:hAnsi="Times New Roman" w:cs="Times New Roman"/>
          <w:sz w:val="24"/>
          <w:szCs w:val="24"/>
        </w:rPr>
        <w:t xml:space="preserve"> y </w:t>
      </w:r>
      <w:proofErr w:type="spellStart"/>
      <w:r w:rsidR="00C44333">
        <w:rPr>
          <w:rFonts w:ascii="Times New Roman" w:hAnsi="Times New Roman" w:cs="Times New Roman"/>
          <w:sz w:val="24"/>
          <w:szCs w:val="24"/>
        </w:rPr>
        <w:t>Weibull</w:t>
      </w:r>
      <w:proofErr w:type="spellEnd"/>
      <w:r>
        <w:rPr>
          <w:rFonts w:ascii="Times New Roman" w:hAnsi="Times New Roman" w:cs="Times New Roman"/>
          <w:sz w:val="24"/>
          <w:szCs w:val="24"/>
        </w:rPr>
        <w:t xml:space="preserve"> para explicar casos empíricos particulares</w:t>
      </w:r>
      <w:r w:rsidR="00C44333">
        <w:rPr>
          <w:rFonts w:ascii="Times New Roman" w:hAnsi="Times New Roman" w:cs="Times New Roman"/>
          <w:sz w:val="24"/>
          <w:szCs w:val="24"/>
        </w:rPr>
        <w:t xml:space="preserve"> son Stokes,</w:t>
      </w:r>
      <w:r w:rsidR="00C44333">
        <w:rPr>
          <w:rStyle w:val="Refdenotaalpie"/>
          <w:rFonts w:ascii="Times New Roman" w:hAnsi="Times New Roman" w:cs="Times New Roman"/>
          <w:sz w:val="24"/>
          <w:szCs w:val="24"/>
        </w:rPr>
        <w:footnoteReference w:id="37"/>
      </w:r>
      <w:r w:rsidR="00C44333">
        <w:rPr>
          <w:rFonts w:ascii="Times New Roman" w:hAnsi="Times New Roman" w:cs="Times New Roman"/>
          <w:sz w:val="24"/>
          <w:szCs w:val="24"/>
        </w:rPr>
        <w:t xml:space="preserve"> </w:t>
      </w:r>
      <w:proofErr w:type="spellStart"/>
      <w:r w:rsidR="00C44333">
        <w:rPr>
          <w:rFonts w:ascii="Times New Roman" w:hAnsi="Times New Roman" w:cs="Times New Roman"/>
          <w:sz w:val="24"/>
          <w:szCs w:val="24"/>
        </w:rPr>
        <w:t>Dahlberg</w:t>
      </w:r>
      <w:proofErr w:type="spellEnd"/>
      <w:r w:rsidR="00C44333">
        <w:rPr>
          <w:rFonts w:ascii="Times New Roman" w:hAnsi="Times New Roman" w:cs="Times New Roman"/>
          <w:sz w:val="24"/>
          <w:szCs w:val="24"/>
        </w:rPr>
        <w:t xml:space="preserve"> y Johansson,</w:t>
      </w:r>
      <w:r w:rsidR="00C44333">
        <w:rPr>
          <w:rStyle w:val="Refdenotaalpie"/>
          <w:rFonts w:ascii="Times New Roman" w:hAnsi="Times New Roman" w:cs="Times New Roman"/>
          <w:sz w:val="24"/>
          <w:szCs w:val="24"/>
        </w:rPr>
        <w:footnoteReference w:id="38"/>
      </w:r>
      <w:r w:rsidR="00C44333">
        <w:rPr>
          <w:rFonts w:ascii="Times New Roman" w:hAnsi="Times New Roman" w:cs="Times New Roman"/>
          <w:sz w:val="24"/>
          <w:szCs w:val="24"/>
        </w:rPr>
        <w:t xml:space="preserve"> </w:t>
      </w:r>
      <w:proofErr w:type="spellStart"/>
      <w:r w:rsidR="00C44333">
        <w:rPr>
          <w:rFonts w:ascii="Times New Roman" w:hAnsi="Times New Roman" w:cs="Times New Roman"/>
          <w:sz w:val="24"/>
          <w:szCs w:val="24"/>
        </w:rPr>
        <w:t>Bickers</w:t>
      </w:r>
      <w:proofErr w:type="spellEnd"/>
      <w:r w:rsidR="00C44333">
        <w:rPr>
          <w:rFonts w:ascii="Times New Roman" w:hAnsi="Times New Roman" w:cs="Times New Roman"/>
          <w:sz w:val="24"/>
          <w:szCs w:val="24"/>
        </w:rPr>
        <w:t xml:space="preserve"> y </w:t>
      </w:r>
      <w:proofErr w:type="spellStart"/>
      <w:r w:rsidR="00C44333">
        <w:rPr>
          <w:rFonts w:ascii="Times New Roman" w:hAnsi="Times New Roman" w:cs="Times New Roman"/>
          <w:sz w:val="24"/>
          <w:szCs w:val="24"/>
        </w:rPr>
        <w:t>Stein</w:t>
      </w:r>
      <w:proofErr w:type="spellEnd"/>
      <w:r w:rsidR="00C44333">
        <w:rPr>
          <w:rStyle w:val="Refdenotaalpie"/>
          <w:rFonts w:ascii="Times New Roman" w:hAnsi="Times New Roman" w:cs="Times New Roman"/>
          <w:sz w:val="24"/>
          <w:szCs w:val="24"/>
        </w:rPr>
        <w:footnoteReference w:id="39"/>
      </w:r>
      <w:r w:rsidR="00B245C1">
        <w:rPr>
          <w:rFonts w:ascii="Times New Roman" w:hAnsi="Times New Roman" w:cs="Times New Roman"/>
          <w:sz w:val="24"/>
          <w:szCs w:val="24"/>
        </w:rPr>
        <w:t xml:space="preserve"> y </w:t>
      </w:r>
      <w:proofErr w:type="spellStart"/>
      <w:r w:rsidR="00B245C1">
        <w:rPr>
          <w:rFonts w:ascii="Times New Roman" w:hAnsi="Times New Roman" w:cs="Times New Roman"/>
          <w:sz w:val="24"/>
          <w:szCs w:val="24"/>
        </w:rPr>
        <w:t>Denemark</w:t>
      </w:r>
      <w:proofErr w:type="spellEnd"/>
      <w:r w:rsidR="00B245C1">
        <w:rPr>
          <w:rFonts w:ascii="Times New Roman" w:hAnsi="Times New Roman" w:cs="Times New Roman"/>
          <w:sz w:val="24"/>
          <w:szCs w:val="24"/>
        </w:rPr>
        <w:t>.</w:t>
      </w:r>
      <w:r w:rsidR="00B245C1">
        <w:rPr>
          <w:rStyle w:val="Refdenotaalpie"/>
          <w:rFonts w:ascii="Times New Roman" w:hAnsi="Times New Roman" w:cs="Times New Roman"/>
          <w:sz w:val="24"/>
          <w:szCs w:val="24"/>
        </w:rPr>
        <w:footnoteReference w:id="40"/>
      </w:r>
      <w:r>
        <w:rPr>
          <w:rFonts w:ascii="Times New Roman" w:hAnsi="Times New Roman" w:cs="Times New Roman"/>
          <w:sz w:val="24"/>
          <w:szCs w:val="24"/>
        </w:rPr>
        <w:t xml:space="preserve"> Así pues,</w:t>
      </w:r>
      <w:r w:rsidR="006E4E46">
        <w:rPr>
          <w:rFonts w:ascii="Times New Roman" w:hAnsi="Times New Roman" w:cs="Times New Roman"/>
          <w:sz w:val="24"/>
          <w:szCs w:val="24"/>
        </w:rPr>
        <w:t xml:space="preserve"> es posible observar que no existe consenso sobre las variables políticas que determinan la distribución de recursos, por lo que este estudio busca co</w:t>
      </w:r>
      <w:r w:rsidR="000F184F">
        <w:rPr>
          <w:rFonts w:ascii="Times New Roman" w:hAnsi="Times New Roman" w:cs="Times New Roman"/>
          <w:sz w:val="24"/>
          <w:szCs w:val="24"/>
        </w:rPr>
        <w:t>ntribuir a este debate, al analizar</w:t>
      </w:r>
      <w:r w:rsidR="006E4E46">
        <w:rPr>
          <w:rFonts w:ascii="Times New Roman" w:hAnsi="Times New Roman" w:cs="Times New Roman"/>
          <w:sz w:val="24"/>
          <w:szCs w:val="24"/>
        </w:rPr>
        <w:t xml:space="preserve"> un fondo que transfiere recursos de manera discrecional bajo un contexto democrático.</w:t>
      </w:r>
    </w:p>
    <w:p w14:paraId="5713DC5F" w14:textId="77777777" w:rsidR="00C34EF4" w:rsidRDefault="00C26DB1" w:rsidP="002D0A95">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Un trabajo que quisiera resaltar por ser un modelo que toma en consideración tanto a los votantes duros como a los indecisos es el de </w:t>
      </w:r>
      <w:r w:rsidR="00B245C1">
        <w:rPr>
          <w:rFonts w:ascii="Times New Roman" w:hAnsi="Times New Roman" w:cs="Times New Roman"/>
          <w:sz w:val="24"/>
          <w:szCs w:val="24"/>
        </w:rPr>
        <w:t>Díaz-</w:t>
      </w:r>
      <w:proofErr w:type="spellStart"/>
      <w:r w:rsidR="00B245C1">
        <w:rPr>
          <w:rFonts w:ascii="Times New Roman" w:hAnsi="Times New Roman" w:cs="Times New Roman"/>
          <w:sz w:val="24"/>
          <w:szCs w:val="24"/>
        </w:rPr>
        <w:t>Cayeros</w:t>
      </w:r>
      <w:proofErr w:type="spellEnd"/>
      <w:r w:rsidR="00B245C1">
        <w:rPr>
          <w:rFonts w:ascii="Times New Roman" w:hAnsi="Times New Roman" w:cs="Times New Roman"/>
          <w:sz w:val="24"/>
          <w:szCs w:val="24"/>
        </w:rPr>
        <w:t xml:space="preserve">, Estévez y </w:t>
      </w:r>
      <w:proofErr w:type="spellStart"/>
      <w:r w:rsidR="00B245C1">
        <w:rPr>
          <w:rFonts w:ascii="Times New Roman" w:hAnsi="Times New Roman" w:cs="Times New Roman"/>
          <w:sz w:val="24"/>
          <w:szCs w:val="24"/>
        </w:rPr>
        <w:t>Magaloni</w:t>
      </w:r>
      <w:proofErr w:type="spellEnd"/>
      <w:r>
        <w:rPr>
          <w:rFonts w:ascii="Times New Roman" w:hAnsi="Times New Roman" w:cs="Times New Roman"/>
          <w:sz w:val="24"/>
          <w:szCs w:val="24"/>
        </w:rPr>
        <w:t>.</w:t>
      </w:r>
      <w:r>
        <w:rPr>
          <w:rStyle w:val="Refdenotaalpie"/>
          <w:rFonts w:ascii="Times New Roman" w:hAnsi="Times New Roman" w:cs="Times New Roman"/>
          <w:sz w:val="24"/>
          <w:szCs w:val="24"/>
        </w:rPr>
        <w:footnoteReference w:id="41"/>
      </w:r>
      <w:r>
        <w:rPr>
          <w:rFonts w:ascii="Times New Roman" w:hAnsi="Times New Roman" w:cs="Times New Roman"/>
          <w:sz w:val="24"/>
          <w:szCs w:val="24"/>
        </w:rPr>
        <w:t xml:space="preserve"> </w:t>
      </w:r>
      <w:r w:rsidR="00C34EF4">
        <w:rPr>
          <w:rFonts w:ascii="Times New Roman" w:hAnsi="Times New Roman" w:cs="Times New Roman"/>
          <w:sz w:val="24"/>
          <w:szCs w:val="24"/>
        </w:rPr>
        <w:t xml:space="preserve">Una de las principales innovaciones de este trabajo tiene que ver con que incorpora el horizonte </w:t>
      </w:r>
      <w:r w:rsidR="00C34EF4">
        <w:rPr>
          <w:rFonts w:ascii="Times New Roman" w:hAnsi="Times New Roman" w:cs="Times New Roman"/>
          <w:sz w:val="24"/>
          <w:szCs w:val="24"/>
        </w:rPr>
        <w:lastRenderedPageBreak/>
        <w:t>temporal al análisis. Los autores explican que los partidos tienen tanto motivaciones de corto como de largo plazo</w:t>
      </w:r>
      <w:r w:rsidR="00E547C4">
        <w:rPr>
          <w:rFonts w:ascii="Times New Roman" w:hAnsi="Times New Roman" w:cs="Times New Roman"/>
          <w:sz w:val="24"/>
          <w:szCs w:val="24"/>
        </w:rPr>
        <w:t>, por lo que no deben descuidar a sus bases que, de no recibir ningún beneficio, podrían pasar a ser votantes indecisos en futuras elecciones y, por tanto, más difíciles de comprar con beneficios.</w:t>
      </w:r>
      <w:r w:rsidR="00C34EF4">
        <w:rPr>
          <w:rFonts w:ascii="Times New Roman" w:hAnsi="Times New Roman" w:cs="Times New Roman"/>
          <w:sz w:val="24"/>
          <w:szCs w:val="24"/>
        </w:rPr>
        <w:t xml:space="preserve"> La evidencia que presentan arroja pruebas claras de un efec</w:t>
      </w:r>
      <w:r w:rsidR="00011D32">
        <w:rPr>
          <w:rFonts w:ascii="Times New Roman" w:hAnsi="Times New Roman" w:cs="Times New Roman"/>
          <w:sz w:val="24"/>
          <w:szCs w:val="24"/>
        </w:rPr>
        <w:t>to de ambas</w:t>
      </w:r>
      <w:r w:rsidR="00D02B84">
        <w:rPr>
          <w:rFonts w:ascii="Times New Roman" w:hAnsi="Times New Roman" w:cs="Times New Roman"/>
          <w:sz w:val="24"/>
          <w:szCs w:val="24"/>
        </w:rPr>
        <w:t xml:space="preserve"> teorías, dependiendo del período del ciclo electoral en que se encuentre</w:t>
      </w:r>
      <w:r w:rsidR="00C34EF4">
        <w:rPr>
          <w:rFonts w:ascii="Times New Roman" w:hAnsi="Times New Roman" w:cs="Times New Roman"/>
          <w:sz w:val="24"/>
          <w:szCs w:val="24"/>
        </w:rPr>
        <w:t>.</w:t>
      </w:r>
      <w:r w:rsidR="00011D32">
        <w:rPr>
          <w:rFonts w:ascii="Times New Roman" w:hAnsi="Times New Roman" w:cs="Times New Roman"/>
          <w:sz w:val="24"/>
          <w:szCs w:val="24"/>
        </w:rPr>
        <w:t xml:space="preserve"> El efecto se refiere a que “los partidos necesitan cuidar de sus distritos duros al dirigir la mayoría de los beneficios discrecionales a ellos. En el margen, sin embargo, estos mismos partidos</w:t>
      </w:r>
      <w:r w:rsidR="00DC0959">
        <w:rPr>
          <w:rFonts w:ascii="Times New Roman" w:hAnsi="Times New Roman" w:cs="Times New Roman"/>
          <w:sz w:val="24"/>
          <w:szCs w:val="24"/>
        </w:rPr>
        <w:t>, en año electoral o cuando sus fortunas electorales estén más inseguras pueden ir por el votante indeciso”.</w:t>
      </w:r>
      <w:r w:rsidR="00E547C4">
        <w:rPr>
          <w:rStyle w:val="Refdenotaalpie"/>
          <w:rFonts w:ascii="Times New Roman" w:hAnsi="Times New Roman" w:cs="Times New Roman"/>
          <w:sz w:val="24"/>
          <w:szCs w:val="24"/>
        </w:rPr>
        <w:footnoteReference w:id="42"/>
      </w:r>
      <w:r w:rsidR="00906A02">
        <w:rPr>
          <w:rFonts w:ascii="Times New Roman" w:hAnsi="Times New Roman" w:cs="Times New Roman"/>
          <w:sz w:val="24"/>
          <w:szCs w:val="24"/>
        </w:rPr>
        <w:t xml:space="preserve"> Así pues, los efectos de ambas teorías resultan compatibles si el estudio se realiza a lo largo del tiempo. </w:t>
      </w:r>
      <w:r w:rsidR="00BE4AB3">
        <w:rPr>
          <w:rFonts w:ascii="Times New Roman" w:hAnsi="Times New Roman" w:cs="Times New Roman"/>
          <w:sz w:val="24"/>
          <w:szCs w:val="24"/>
        </w:rPr>
        <w:t xml:space="preserve">Esto es importante para tomar en cuenta la dimensión temporal dentro de </w:t>
      </w:r>
      <w:proofErr w:type="gramStart"/>
      <w:r w:rsidR="00BE4AB3">
        <w:rPr>
          <w:rFonts w:ascii="Times New Roman" w:hAnsi="Times New Roman" w:cs="Times New Roman"/>
          <w:sz w:val="24"/>
          <w:szCs w:val="24"/>
        </w:rPr>
        <w:t>mi</w:t>
      </w:r>
      <w:proofErr w:type="gramEnd"/>
      <w:r w:rsidR="00BE4AB3">
        <w:rPr>
          <w:rFonts w:ascii="Times New Roman" w:hAnsi="Times New Roman" w:cs="Times New Roman"/>
          <w:sz w:val="24"/>
          <w:szCs w:val="24"/>
        </w:rPr>
        <w:t xml:space="preserve"> modelo.</w:t>
      </w:r>
    </w:p>
    <w:p w14:paraId="2FFA183B" w14:textId="77777777" w:rsidR="00072B7C" w:rsidRPr="00BC1578" w:rsidRDefault="00072B7C" w:rsidP="00610F80">
      <w:pPr>
        <w:pStyle w:val="Prrafodelista"/>
        <w:numPr>
          <w:ilvl w:val="0"/>
          <w:numId w:val="3"/>
        </w:numPr>
        <w:spacing w:line="480" w:lineRule="auto"/>
        <w:jc w:val="both"/>
        <w:outlineLvl w:val="1"/>
        <w:rPr>
          <w:rFonts w:ascii="Times New Roman" w:hAnsi="Times New Roman" w:cs="Times New Roman"/>
          <w:i/>
          <w:sz w:val="24"/>
          <w:szCs w:val="24"/>
        </w:rPr>
      </w:pPr>
      <w:bookmarkStart w:id="4" w:name="_Toc382321800"/>
      <w:r>
        <w:rPr>
          <w:rFonts w:ascii="Times New Roman" w:hAnsi="Times New Roman" w:cs="Times New Roman"/>
          <w:sz w:val="24"/>
          <w:szCs w:val="24"/>
        </w:rPr>
        <w:t>Poder de negociación</w:t>
      </w:r>
      <w:bookmarkEnd w:id="4"/>
    </w:p>
    <w:p w14:paraId="2880629B" w14:textId="77777777" w:rsidR="00BC1578" w:rsidRPr="00BC1578" w:rsidRDefault="00BC1578" w:rsidP="00BC1578">
      <w:pPr>
        <w:spacing w:line="480" w:lineRule="auto"/>
        <w:jc w:val="both"/>
        <w:rPr>
          <w:rFonts w:ascii="Times New Roman" w:hAnsi="Times New Roman" w:cs="Times New Roman"/>
          <w:sz w:val="24"/>
          <w:szCs w:val="24"/>
        </w:rPr>
      </w:pPr>
      <w:r>
        <w:rPr>
          <w:rFonts w:ascii="Times New Roman" w:hAnsi="Times New Roman" w:cs="Times New Roman"/>
          <w:sz w:val="24"/>
          <w:szCs w:val="24"/>
        </w:rPr>
        <w:t>Otro tipo de variables de distribución que también siguen una lógica política son las que exaltan el poder de negociación de los municipios como la clave para determinar la distribución de las transferencias federales a otros n</w:t>
      </w:r>
      <w:r w:rsidR="00903D26">
        <w:rPr>
          <w:rFonts w:ascii="Times New Roman" w:hAnsi="Times New Roman" w:cs="Times New Roman"/>
          <w:sz w:val="24"/>
          <w:szCs w:val="24"/>
        </w:rPr>
        <w:t>iveles de gobierno. Quizá el principal estudio sobre la materia en México sea el</w:t>
      </w:r>
      <w:r>
        <w:rPr>
          <w:rFonts w:ascii="Times New Roman" w:hAnsi="Times New Roman" w:cs="Times New Roman"/>
          <w:sz w:val="24"/>
          <w:szCs w:val="24"/>
        </w:rPr>
        <w:t xml:space="preserve"> trabajo de Fausto Hernández y Brenda Jarillo</w:t>
      </w:r>
      <w:r w:rsidR="00241802">
        <w:rPr>
          <w:rFonts w:ascii="Times New Roman" w:hAnsi="Times New Roman" w:cs="Times New Roman"/>
          <w:sz w:val="24"/>
          <w:szCs w:val="24"/>
        </w:rPr>
        <w:t xml:space="preserve"> acerca de los determinantes de asignación del Fondo de Aportaciones para Infraestructura Social Municipal (FISM)</w:t>
      </w:r>
      <w:r>
        <w:rPr>
          <w:rFonts w:ascii="Times New Roman" w:hAnsi="Times New Roman" w:cs="Times New Roman"/>
          <w:sz w:val="24"/>
          <w:szCs w:val="24"/>
        </w:rPr>
        <w:t>.</w:t>
      </w:r>
      <w:r>
        <w:rPr>
          <w:rStyle w:val="Refdenotaalpie"/>
          <w:rFonts w:ascii="Times New Roman" w:hAnsi="Times New Roman" w:cs="Times New Roman"/>
          <w:sz w:val="24"/>
          <w:szCs w:val="24"/>
        </w:rPr>
        <w:footnoteReference w:id="43"/>
      </w:r>
    </w:p>
    <w:p w14:paraId="60539F9C" w14:textId="77777777" w:rsidR="00300B3C" w:rsidRDefault="00241802" w:rsidP="00A548A7">
      <w:pPr>
        <w:spacing w:line="480" w:lineRule="auto"/>
        <w:ind w:firstLine="708"/>
        <w:jc w:val="both"/>
        <w:rPr>
          <w:rFonts w:ascii="Times New Roman" w:hAnsi="Times New Roman" w:cs="Times New Roman"/>
          <w:sz w:val="24"/>
          <w:szCs w:val="24"/>
        </w:rPr>
      </w:pPr>
      <w:r w:rsidRPr="00C22772">
        <w:rPr>
          <w:rFonts w:ascii="Times New Roman" w:eastAsia="Times New Roman" w:hAnsi="Times New Roman" w:cs="Times New Roman"/>
          <w:color w:val="000000"/>
          <w:sz w:val="24"/>
          <w:szCs w:val="24"/>
        </w:rPr>
        <w:t>Los autores</w:t>
      </w:r>
      <w:r w:rsidR="00BE4AB3">
        <w:rPr>
          <w:rFonts w:ascii="Times New Roman" w:eastAsia="Times New Roman" w:hAnsi="Times New Roman" w:cs="Times New Roman"/>
          <w:color w:val="000000"/>
          <w:sz w:val="24"/>
          <w:szCs w:val="24"/>
        </w:rPr>
        <w:t xml:space="preserve"> buscan discernir</w:t>
      </w:r>
      <w:r w:rsidR="001F1269">
        <w:rPr>
          <w:rFonts w:ascii="Times New Roman" w:eastAsia="Times New Roman" w:hAnsi="Times New Roman" w:cs="Times New Roman"/>
          <w:color w:val="000000"/>
          <w:sz w:val="24"/>
          <w:szCs w:val="24"/>
        </w:rPr>
        <w:t xml:space="preserve"> los criterios discrecionales que explican que el Fondo no se base únicamente en criterios de marginación para asignar los recursos, como está originalmente previsto por la Ley. </w:t>
      </w:r>
      <w:r w:rsidR="001F1269" w:rsidRPr="001F1269">
        <w:rPr>
          <w:rFonts w:ascii="Times New Roman" w:hAnsi="Times New Roman" w:cs="Times New Roman"/>
          <w:sz w:val="24"/>
          <w:szCs w:val="24"/>
        </w:rPr>
        <w:t xml:space="preserve">Utilizan la Encuesta nacional a presidentes municipales </w:t>
      </w:r>
      <w:r w:rsidR="001F1269" w:rsidRPr="001F1269">
        <w:rPr>
          <w:rFonts w:ascii="Times New Roman" w:hAnsi="Times New Roman" w:cs="Times New Roman"/>
          <w:sz w:val="24"/>
          <w:szCs w:val="24"/>
        </w:rPr>
        <w:lastRenderedPageBreak/>
        <w:t xml:space="preserve">sobre desarrollo social </w:t>
      </w:r>
      <w:r w:rsidR="00300B3C">
        <w:rPr>
          <w:rFonts w:ascii="Times New Roman" w:hAnsi="Times New Roman" w:cs="Times New Roman"/>
          <w:sz w:val="24"/>
          <w:szCs w:val="24"/>
        </w:rPr>
        <w:t>2002 de INEGI para corroborar la asignación de los recursos y descubrir si el FISM en realidad se utiliza para impulsar la infraestructura social de los municipios y así contribuir a cerrar la brecha de desigualdad</w:t>
      </w:r>
      <w:r w:rsidR="001F1269" w:rsidRPr="001F1269">
        <w:rPr>
          <w:rFonts w:ascii="Times New Roman" w:hAnsi="Times New Roman" w:cs="Times New Roman"/>
          <w:sz w:val="24"/>
          <w:szCs w:val="24"/>
        </w:rPr>
        <w:t>.</w:t>
      </w:r>
      <w:r w:rsidR="001F1269">
        <w:rPr>
          <w:rFonts w:ascii="Times New Roman" w:hAnsi="Times New Roman" w:cs="Times New Roman"/>
          <w:sz w:val="24"/>
          <w:szCs w:val="24"/>
        </w:rPr>
        <w:t xml:space="preserve"> </w:t>
      </w:r>
    </w:p>
    <w:p w14:paraId="031F1292" w14:textId="5765C156" w:rsidR="009F604C" w:rsidRDefault="009F604C" w:rsidP="00A548A7">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Algunos de los supuestos que hay que tener en cuenta</w:t>
      </w:r>
      <w:r w:rsidR="003157B2">
        <w:rPr>
          <w:rFonts w:ascii="Times New Roman" w:hAnsi="Times New Roman" w:cs="Times New Roman"/>
          <w:sz w:val="24"/>
          <w:szCs w:val="24"/>
        </w:rPr>
        <w:t xml:space="preserve"> de este estudio son que la distribución de los recursos tanto a las entidades federativas, como de éstas a los municipios se realiza con base en fórmulas de asignación. Además</w:t>
      </w:r>
      <w:r w:rsidR="00FA7C4D">
        <w:rPr>
          <w:rFonts w:ascii="Times New Roman" w:hAnsi="Times New Roman" w:cs="Times New Roman"/>
          <w:sz w:val="24"/>
          <w:szCs w:val="24"/>
        </w:rPr>
        <w:t>,</w:t>
      </w:r>
      <w:r w:rsidR="003157B2">
        <w:rPr>
          <w:rFonts w:ascii="Times New Roman" w:hAnsi="Times New Roman" w:cs="Times New Roman"/>
          <w:sz w:val="24"/>
          <w:szCs w:val="24"/>
        </w:rPr>
        <w:t xml:space="preserve"> hay que tomar en cuenta que existe </w:t>
      </w:r>
      <w:proofErr w:type="spellStart"/>
      <w:r w:rsidR="003157B2">
        <w:rPr>
          <w:rFonts w:ascii="Times New Roman" w:hAnsi="Times New Roman" w:cs="Times New Roman"/>
          <w:sz w:val="24"/>
          <w:szCs w:val="24"/>
        </w:rPr>
        <w:t>endogeneidad</w:t>
      </w:r>
      <w:proofErr w:type="spellEnd"/>
      <w:r w:rsidR="003157B2">
        <w:rPr>
          <w:rFonts w:ascii="Times New Roman" w:hAnsi="Times New Roman" w:cs="Times New Roman"/>
          <w:sz w:val="24"/>
          <w:szCs w:val="24"/>
        </w:rPr>
        <w:t xml:space="preserve"> (correlación entre los </w:t>
      </w:r>
      <w:proofErr w:type="spellStart"/>
      <w:r w:rsidR="003157B2">
        <w:rPr>
          <w:rFonts w:ascii="Times New Roman" w:hAnsi="Times New Roman" w:cs="Times New Roman"/>
          <w:sz w:val="24"/>
          <w:szCs w:val="24"/>
        </w:rPr>
        <w:t>regresores</w:t>
      </w:r>
      <w:proofErr w:type="spellEnd"/>
      <w:r w:rsidR="003157B2">
        <w:rPr>
          <w:rFonts w:ascii="Times New Roman" w:hAnsi="Times New Roman" w:cs="Times New Roman"/>
          <w:sz w:val="24"/>
          <w:szCs w:val="24"/>
        </w:rPr>
        <w:t xml:space="preserve"> y el error) y </w:t>
      </w:r>
      <w:proofErr w:type="spellStart"/>
      <w:r w:rsidR="003157B2">
        <w:rPr>
          <w:rFonts w:ascii="Times New Roman" w:hAnsi="Times New Roman" w:cs="Times New Roman"/>
          <w:sz w:val="24"/>
          <w:szCs w:val="24"/>
        </w:rPr>
        <w:t>heteroscedasticidad</w:t>
      </w:r>
      <w:proofErr w:type="spellEnd"/>
      <w:r w:rsidR="003157B2">
        <w:rPr>
          <w:rFonts w:ascii="Times New Roman" w:hAnsi="Times New Roman" w:cs="Times New Roman"/>
          <w:sz w:val="24"/>
          <w:szCs w:val="24"/>
        </w:rPr>
        <w:t xml:space="preserve"> (la varianza no es constante</w:t>
      </w:r>
      <w:r w:rsidR="00EB7E41">
        <w:rPr>
          <w:rFonts w:ascii="Times New Roman" w:hAnsi="Times New Roman" w:cs="Times New Roman"/>
          <w:sz w:val="24"/>
          <w:szCs w:val="24"/>
        </w:rPr>
        <w:t xml:space="preserve">, al cambiar los valores de la independiente) en las variables del modelo, por lo que deben </w:t>
      </w:r>
      <w:r w:rsidR="00DE3E88">
        <w:rPr>
          <w:rFonts w:ascii="Times New Roman" w:hAnsi="Times New Roman" w:cs="Times New Roman"/>
          <w:sz w:val="24"/>
          <w:szCs w:val="24"/>
        </w:rPr>
        <w:t>introducirse arreglos para solucionar estos problemas.</w:t>
      </w:r>
    </w:p>
    <w:p w14:paraId="5A1817EB" w14:textId="1412FC2F" w:rsidR="00D17A00" w:rsidRPr="00D17A00" w:rsidRDefault="00D17A00" w:rsidP="00D17A00">
      <w:pPr>
        <w:spacing w:line="480" w:lineRule="auto"/>
        <w:ind w:firstLine="708"/>
        <w:jc w:val="both"/>
        <w:rPr>
          <w:rFonts w:ascii="Times New Roman" w:hAnsi="Times New Roman" w:cs="Times New Roman"/>
          <w:i/>
          <w:sz w:val="24"/>
          <w:szCs w:val="24"/>
        </w:rPr>
      </w:pPr>
      <w:r>
        <w:rPr>
          <w:rFonts w:ascii="Times New Roman" w:hAnsi="Times New Roman" w:cs="Times New Roman"/>
          <w:sz w:val="24"/>
          <w:szCs w:val="24"/>
        </w:rPr>
        <w:t>En relación con el modelo estadístico, los aut</w:t>
      </w:r>
      <w:r w:rsidR="00CE5909">
        <w:rPr>
          <w:rFonts w:ascii="Times New Roman" w:hAnsi="Times New Roman" w:cs="Times New Roman"/>
          <w:sz w:val="24"/>
          <w:szCs w:val="24"/>
        </w:rPr>
        <w:t>ores utilizan regresiones lineal</w:t>
      </w:r>
      <w:r>
        <w:rPr>
          <w:rFonts w:ascii="Times New Roman" w:hAnsi="Times New Roman" w:cs="Times New Roman"/>
          <w:sz w:val="24"/>
          <w:szCs w:val="24"/>
        </w:rPr>
        <w:t>es simples</w:t>
      </w:r>
      <w:r w:rsidR="00CE5909">
        <w:rPr>
          <w:rFonts w:ascii="Times New Roman" w:hAnsi="Times New Roman" w:cs="Times New Roman"/>
          <w:sz w:val="24"/>
          <w:szCs w:val="24"/>
        </w:rPr>
        <w:t>, bajo el método de Mínimos Cuadrados Ordinarios (</w:t>
      </w:r>
      <w:r>
        <w:rPr>
          <w:rFonts w:ascii="Times New Roman" w:hAnsi="Times New Roman" w:cs="Times New Roman"/>
          <w:sz w:val="24"/>
          <w:szCs w:val="24"/>
        </w:rPr>
        <w:t>MCO</w:t>
      </w:r>
      <w:r w:rsidR="00CE5909">
        <w:rPr>
          <w:rFonts w:ascii="Times New Roman" w:hAnsi="Times New Roman" w:cs="Times New Roman"/>
          <w:sz w:val="24"/>
          <w:szCs w:val="24"/>
        </w:rPr>
        <w:t>)</w:t>
      </w:r>
      <w:r>
        <w:rPr>
          <w:rFonts w:ascii="Times New Roman" w:hAnsi="Times New Roman" w:cs="Times New Roman"/>
          <w:sz w:val="24"/>
          <w:szCs w:val="24"/>
        </w:rPr>
        <w:t xml:space="preserve"> seguidas por un modelo de tipo </w:t>
      </w:r>
      <w:r w:rsidRPr="00A12CB1">
        <w:rPr>
          <w:rFonts w:ascii="Times New Roman" w:hAnsi="Times New Roman" w:cs="Times New Roman"/>
          <w:i/>
          <w:sz w:val="24"/>
          <w:szCs w:val="24"/>
        </w:rPr>
        <w:t xml:space="preserve">GMM </w:t>
      </w:r>
      <w:r>
        <w:rPr>
          <w:rFonts w:ascii="Times New Roman" w:hAnsi="Times New Roman" w:cs="Times New Roman"/>
          <w:sz w:val="24"/>
          <w:szCs w:val="24"/>
        </w:rPr>
        <w:t>(</w:t>
      </w:r>
      <w:proofErr w:type="spellStart"/>
      <w:r w:rsidRPr="00A12CB1">
        <w:rPr>
          <w:rFonts w:ascii="Times New Roman" w:hAnsi="Times New Roman" w:cs="Times New Roman"/>
          <w:i/>
          <w:sz w:val="24"/>
          <w:szCs w:val="24"/>
        </w:rPr>
        <w:t>General</w:t>
      </w:r>
      <w:r>
        <w:rPr>
          <w:rFonts w:ascii="Times New Roman" w:hAnsi="Times New Roman" w:cs="Times New Roman"/>
          <w:i/>
          <w:sz w:val="24"/>
          <w:szCs w:val="24"/>
        </w:rPr>
        <w:t>ized</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Method</w:t>
      </w:r>
      <w:proofErr w:type="spellEnd"/>
      <w:r>
        <w:rPr>
          <w:rFonts w:ascii="Times New Roman" w:hAnsi="Times New Roman" w:cs="Times New Roman"/>
          <w:i/>
          <w:sz w:val="24"/>
          <w:szCs w:val="24"/>
        </w:rPr>
        <w:t xml:space="preserve"> of </w:t>
      </w:r>
      <w:proofErr w:type="spellStart"/>
      <w:r>
        <w:rPr>
          <w:rFonts w:ascii="Times New Roman" w:hAnsi="Times New Roman" w:cs="Times New Roman"/>
          <w:i/>
          <w:sz w:val="24"/>
          <w:szCs w:val="24"/>
        </w:rPr>
        <w:t>Moments</w:t>
      </w:r>
      <w:proofErr w:type="spellEnd"/>
      <w:r>
        <w:rPr>
          <w:rFonts w:ascii="Times New Roman" w:hAnsi="Times New Roman" w:cs="Times New Roman"/>
          <w:sz w:val="24"/>
          <w:szCs w:val="24"/>
        </w:rPr>
        <w:t xml:space="preserve">), pues explican que de sólo utilizar </w:t>
      </w:r>
      <w:r w:rsidR="00CE5909">
        <w:rPr>
          <w:rFonts w:ascii="Times New Roman" w:hAnsi="Times New Roman" w:cs="Times New Roman"/>
          <w:sz w:val="24"/>
          <w:szCs w:val="24"/>
        </w:rPr>
        <w:t>MCO</w:t>
      </w:r>
      <w:r w:rsidR="00690433">
        <w:rPr>
          <w:rFonts w:ascii="Times New Roman" w:hAnsi="Times New Roman" w:cs="Times New Roman"/>
          <w:sz w:val="24"/>
          <w:szCs w:val="24"/>
        </w:rPr>
        <w:t>, no se logra eliminar el</w:t>
      </w:r>
      <w:r>
        <w:rPr>
          <w:rFonts w:ascii="Times New Roman" w:hAnsi="Times New Roman" w:cs="Times New Roman"/>
          <w:sz w:val="24"/>
          <w:szCs w:val="24"/>
        </w:rPr>
        <w:t xml:space="preserve"> problema de</w:t>
      </w:r>
      <w:r w:rsidRPr="00A12CB1">
        <w:rPr>
          <w:rFonts w:ascii="Times New Roman" w:hAnsi="Times New Roman" w:cs="Times New Roman"/>
          <w:i/>
          <w:sz w:val="24"/>
          <w:szCs w:val="24"/>
        </w:rPr>
        <w:t xml:space="preserve"> </w:t>
      </w:r>
      <w:proofErr w:type="spellStart"/>
      <w:r w:rsidRPr="00D17A00">
        <w:rPr>
          <w:rFonts w:ascii="Times New Roman" w:hAnsi="Times New Roman" w:cs="Times New Roman"/>
          <w:sz w:val="24"/>
          <w:szCs w:val="24"/>
        </w:rPr>
        <w:t>heteroscedasticidad</w:t>
      </w:r>
      <w:proofErr w:type="spellEnd"/>
      <w:r w:rsidRPr="00A12CB1">
        <w:rPr>
          <w:rFonts w:ascii="Times New Roman" w:hAnsi="Times New Roman" w:cs="Times New Roman"/>
          <w:i/>
          <w:sz w:val="24"/>
          <w:szCs w:val="24"/>
        </w:rPr>
        <w:t>.</w:t>
      </w:r>
      <w:r w:rsidR="0096687D">
        <w:rPr>
          <w:rFonts w:ascii="Times New Roman" w:hAnsi="Times New Roman" w:cs="Times New Roman"/>
          <w:i/>
          <w:sz w:val="24"/>
          <w:szCs w:val="24"/>
        </w:rPr>
        <w:t xml:space="preserve"> </w:t>
      </w:r>
      <w:r>
        <w:rPr>
          <w:rFonts w:ascii="Times New Roman" w:hAnsi="Times New Roman" w:cs="Times New Roman"/>
          <w:sz w:val="24"/>
          <w:szCs w:val="24"/>
        </w:rPr>
        <w:t>Su modelo lo escriben de la siguiente forma:</w:t>
      </w:r>
    </w:p>
    <w:p w14:paraId="695A8B01" w14:textId="77777777" w:rsidR="00D17A00" w:rsidRDefault="00D17A00" w:rsidP="00D17A00">
      <w:pPr>
        <w:spacing w:line="480" w:lineRule="auto"/>
        <w:jc w:val="center"/>
        <w:rPr>
          <w:rFonts w:ascii="Times New Roman" w:hAnsi="Times New Roman" w:cs="Times New Roman"/>
          <w:sz w:val="24"/>
          <w:szCs w:val="24"/>
        </w:rPr>
      </w:pPr>
      <w:r>
        <w:rPr>
          <w:rFonts w:ascii="Times New Roman" w:hAnsi="Times New Roman" w:cs="Times New Roman"/>
          <w:sz w:val="24"/>
          <w:szCs w:val="24"/>
        </w:rPr>
        <w:t>Y = β</w:t>
      </w:r>
      <w:r>
        <w:rPr>
          <w:rFonts w:ascii="Times New Roman" w:hAnsi="Times New Roman" w:cs="Times New Roman"/>
          <w:sz w:val="24"/>
          <w:szCs w:val="24"/>
          <w:vertAlign w:val="subscript"/>
        </w:rPr>
        <w:t>0</w:t>
      </w:r>
      <w:r>
        <w:rPr>
          <w:rFonts w:ascii="Times New Roman" w:hAnsi="Times New Roman" w:cs="Times New Roman"/>
          <w:sz w:val="24"/>
          <w:szCs w:val="24"/>
        </w:rPr>
        <w:t xml:space="preserve"> + β</w:t>
      </w:r>
      <w:r>
        <w:rPr>
          <w:rFonts w:ascii="Times New Roman" w:hAnsi="Times New Roman" w:cs="Times New Roman"/>
          <w:sz w:val="24"/>
          <w:szCs w:val="24"/>
          <w:vertAlign w:val="subscript"/>
        </w:rPr>
        <w:t>1</w:t>
      </w:r>
      <w:r w:rsidRPr="002F7D51">
        <w:rPr>
          <w:rFonts w:ascii="Times New Roman" w:hAnsi="Times New Roman" w:cs="Times New Roman"/>
          <w:sz w:val="24"/>
          <w:szCs w:val="24"/>
        </w:rPr>
        <w:t xml:space="preserve"> </w:t>
      </w:r>
      <w:r>
        <w:rPr>
          <w:rFonts w:ascii="Times New Roman" w:hAnsi="Times New Roman" w:cs="Times New Roman"/>
          <w:sz w:val="24"/>
          <w:szCs w:val="24"/>
        </w:rPr>
        <w:t>X</w:t>
      </w:r>
      <w:r>
        <w:rPr>
          <w:rFonts w:ascii="Times New Roman" w:hAnsi="Times New Roman" w:cs="Times New Roman"/>
          <w:sz w:val="24"/>
          <w:szCs w:val="24"/>
          <w:vertAlign w:val="subscript"/>
        </w:rPr>
        <w:t>1</w:t>
      </w:r>
      <w:r>
        <w:rPr>
          <w:rFonts w:ascii="Times New Roman" w:hAnsi="Times New Roman" w:cs="Times New Roman"/>
          <w:sz w:val="24"/>
          <w:szCs w:val="24"/>
        </w:rPr>
        <w:t xml:space="preserve"> + β</w:t>
      </w:r>
      <w:r>
        <w:rPr>
          <w:rFonts w:ascii="Times New Roman" w:hAnsi="Times New Roman" w:cs="Times New Roman"/>
          <w:sz w:val="24"/>
          <w:szCs w:val="24"/>
          <w:vertAlign w:val="subscript"/>
        </w:rPr>
        <w:t>3</w:t>
      </w:r>
      <w:r>
        <w:rPr>
          <w:rFonts w:ascii="Times New Roman" w:hAnsi="Times New Roman" w:cs="Times New Roman"/>
          <w:sz w:val="24"/>
          <w:szCs w:val="24"/>
        </w:rPr>
        <w:t>X</w:t>
      </w:r>
      <w:r>
        <w:rPr>
          <w:rFonts w:ascii="Times New Roman" w:hAnsi="Times New Roman" w:cs="Times New Roman"/>
          <w:sz w:val="24"/>
          <w:szCs w:val="24"/>
          <w:vertAlign w:val="subscript"/>
        </w:rPr>
        <w:t>3</w:t>
      </w:r>
      <w:r>
        <w:rPr>
          <w:rFonts w:ascii="Times New Roman" w:hAnsi="Times New Roman" w:cs="Times New Roman"/>
          <w:sz w:val="24"/>
          <w:szCs w:val="24"/>
        </w:rPr>
        <w:t xml:space="preserve"> + ε</w:t>
      </w:r>
      <w:r w:rsidR="002D0A95">
        <w:rPr>
          <w:rFonts w:ascii="Times New Roman" w:hAnsi="Times New Roman" w:cs="Times New Roman"/>
          <w:sz w:val="24"/>
          <w:szCs w:val="24"/>
        </w:rPr>
        <w:t>,</w:t>
      </w:r>
    </w:p>
    <w:p w14:paraId="5193A723" w14:textId="7FCF6171" w:rsidR="00D17A00" w:rsidRPr="00A85749" w:rsidRDefault="00D17A00" w:rsidP="00D17A00">
      <w:pPr>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donde</w:t>
      </w:r>
      <w:proofErr w:type="gramEnd"/>
      <w:r>
        <w:rPr>
          <w:rFonts w:ascii="Times New Roman" w:hAnsi="Times New Roman" w:cs="Times New Roman"/>
          <w:sz w:val="24"/>
          <w:szCs w:val="24"/>
        </w:rPr>
        <w:t xml:space="preserve"> E(ε) = 0 y C(X</w:t>
      </w:r>
      <w:r>
        <w:rPr>
          <w:rFonts w:ascii="Times New Roman" w:hAnsi="Times New Roman" w:cs="Times New Roman"/>
          <w:sz w:val="24"/>
          <w:szCs w:val="24"/>
          <w:vertAlign w:val="subscript"/>
        </w:rPr>
        <w:t>1</w:t>
      </w:r>
      <w:r>
        <w:rPr>
          <w:rFonts w:ascii="Times New Roman" w:hAnsi="Times New Roman" w:cs="Times New Roman"/>
          <w:sz w:val="24"/>
          <w:szCs w:val="24"/>
        </w:rPr>
        <w:t>,</w:t>
      </w:r>
      <w:r w:rsidRPr="002F7D51">
        <w:rPr>
          <w:rFonts w:ascii="Times New Roman" w:hAnsi="Times New Roman" w:cs="Times New Roman"/>
          <w:sz w:val="24"/>
          <w:szCs w:val="24"/>
        </w:rPr>
        <w:t xml:space="preserve"> </w:t>
      </w:r>
      <w:r>
        <w:rPr>
          <w:rFonts w:ascii="Times New Roman" w:hAnsi="Times New Roman" w:cs="Times New Roman"/>
          <w:sz w:val="24"/>
          <w:szCs w:val="24"/>
        </w:rPr>
        <w:t>ε) = 0, C(X</w:t>
      </w:r>
      <w:r>
        <w:rPr>
          <w:rFonts w:ascii="Times New Roman" w:hAnsi="Times New Roman" w:cs="Times New Roman"/>
          <w:sz w:val="24"/>
          <w:szCs w:val="24"/>
          <w:vertAlign w:val="subscript"/>
        </w:rPr>
        <w:t>2</w:t>
      </w:r>
      <w:r>
        <w:rPr>
          <w:rFonts w:ascii="Times New Roman" w:hAnsi="Times New Roman" w:cs="Times New Roman"/>
          <w:sz w:val="24"/>
          <w:szCs w:val="24"/>
        </w:rPr>
        <w:t>,</w:t>
      </w:r>
      <w:r w:rsidRPr="002F7D51">
        <w:rPr>
          <w:rFonts w:ascii="Times New Roman" w:hAnsi="Times New Roman" w:cs="Times New Roman"/>
          <w:sz w:val="24"/>
          <w:szCs w:val="24"/>
        </w:rPr>
        <w:t xml:space="preserve"> </w:t>
      </w:r>
      <w:r>
        <w:rPr>
          <w:rFonts w:ascii="Times New Roman" w:hAnsi="Times New Roman" w:cs="Times New Roman"/>
          <w:sz w:val="24"/>
          <w:szCs w:val="24"/>
        </w:rPr>
        <w:t>ε) ≠ 0, C(X</w:t>
      </w:r>
      <w:r>
        <w:rPr>
          <w:rFonts w:ascii="Times New Roman" w:hAnsi="Times New Roman" w:cs="Times New Roman"/>
          <w:sz w:val="24"/>
          <w:szCs w:val="24"/>
          <w:vertAlign w:val="subscript"/>
        </w:rPr>
        <w:t>3</w:t>
      </w:r>
      <w:r>
        <w:rPr>
          <w:rFonts w:ascii="Times New Roman" w:hAnsi="Times New Roman" w:cs="Times New Roman"/>
          <w:sz w:val="24"/>
          <w:szCs w:val="24"/>
        </w:rPr>
        <w:t>,</w:t>
      </w:r>
      <w:r w:rsidRPr="002F7D51">
        <w:rPr>
          <w:rFonts w:ascii="Times New Roman" w:hAnsi="Times New Roman" w:cs="Times New Roman"/>
          <w:sz w:val="24"/>
          <w:szCs w:val="24"/>
        </w:rPr>
        <w:t xml:space="preserve"> </w:t>
      </w:r>
      <w:r>
        <w:rPr>
          <w:rFonts w:ascii="Times New Roman" w:hAnsi="Times New Roman" w:cs="Times New Roman"/>
          <w:sz w:val="24"/>
          <w:szCs w:val="24"/>
        </w:rPr>
        <w:t>ε) = 0.</w:t>
      </w:r>
      <w:r w:rsidR="0096687D">
        <w:rPr>
          <w:rFonts w:ascii="Times New Roman" w:hAnsi="Times New Roman" w:cs="Times New Roman"/>
          <w:sz w:val="24"/>
          <w:szCs w:val="24"/>
        </w:rPr>
        <w:t xml:space="preserve"> </w:t>
      </w:r>
      <w:r>
        <w:rPr>
          <w:rFonts w:ascii="Times New Roman" w:hAnsi="Times New Roman" w:cs="Times New Roman"/>
          <w:sz w:val="24"/>
          <w:szCs w:val="24"/>
        </w:rPr>
        <w:t>Es decir, X</w:t>
      </w:r>
      <w:r>
        <w:rPr>
          <w:rFonts w:ascii="Times New Roman" w:hAnsi="Times New Roman" w:cs="Times New Roman"/>
          <w:sz w:val="24"/>
          <w:szCs w:val="24"/>
          <w:vertAlign w:val="subscript"/>
        </w:rPr>
        <w:t>1</w:t>
      </w:r>
      <w:r>
        <w:rPr>
          <w:rFonts w:ascii="Times New Roman" w:hAnsi="Times New Roman" w:cs="Times New Roman"/>
          <w:sz w:val="24"/>
          <w:szCs w:val="24"/>
        </w:rPr>
        <w:t xml:space="preserve"> y X</w:t>
      </w:r>
      <w:r>
        <w:rPr>
          <w:rFonts w:ascii="Times New Roman" w:hAnsi="Times New Roman" w:cs="Times New Roman"/>
          <w:sz w:val="24"/>
          <w:szCs w:val="24"/>
          <w:vertAlign w:val="subscript"/>
        </w:rPr>
        <w:t>3</w:t>
      </w:r>
      <w:r>
        <w:rPr>
          <w:rFonts w:ascii="Times New Roman" w:hAnsi="Times New Roman" w:cs="Times New Roman"/>
          <w:sz w:val="24"/>
          <w:szCs w:val="24"/>
        </w:rPr>
        <w:t xml:space="preserve"> son exógenas y X</w:t>
      </w:r>
      <w:r>
        <w:rPr>
          <w:rFonts w:ascii="Times New Roman" w:hAnsi="Times New Roman" w:cs="Times New Roman"/>
          <w:sz w:val="24"/>
          <w:szCs w:val="24"/>
          <w:vertAlign w:val="subscript"/>
        </w:rPr>
        <w:t>2</w:t>
      </w:r>
      <w:r>
        <w:rPr>
          <w:rFonts w:ascii="Times New Roman" w:hAnsi="Times New Roman" w:cs="Times New Roman"/>
          <w:sz w:val="24"/>
          <w:szCs w:val="24"/>
        </w:rPr>
        <w:t xml:space="preserve"> es endógena. La variable dependiente es el logaritmo de los recursos del FISM per cápita, mientras que X</w:t>
      </w:r>
      <w:r>
        <w:rPr>
          <w:rFonts w:ascii="Times New Roman" w:hAnsi="Times New Roman" w:cs="Times New Roman"/>
          <w:sz w:val="24"/>
          <w:szCs w:val="24"/>
          <w:vertAlign w:val="subscript"/>
        </w:rPr>
        <w:t>1</w:t>
      </w:r>
      <w:r>
        <w:rPr>
          <w:rFonts w:ascii="Times New Roman" w:hAnsi="Times New Roman" w:cs="Times New Roman"/>
          <w:sz w:val="24"/>
          <w:szCs w:val="24"/>
        </w:rPr>
        <w:t xml:space="preserve"> es el índice de marginación de CONAPO, el cual supuestamente debería ser el único predictor, X</w:t>
      </w:r>
      <w:r>
        <w:rPr>
          <w:rFonts w:ascii="Times New Roman" w:hAnsi="Times New Roman" w:cs="Times New Roman"/>
          <w:sz w:val="24"/>
          <w:szCs w:val="24"/>
          <w:vertAlign w:val="subscript"/>
        </w:rPr>
        <w:t>2</w:t>
      </w:r>
      <w:r>
        <w:rPr>
          <w:rFonts w:ascii="Times New Roman" w:hAnsi="Times New Roman" w:cs="Times New Roman"/>
          <w:sz w:val="24"/>
          <w:szCs w:val="24"/>
        </w:rPr>
        <w:t xml:space="preserve"> son las participaciones per cápita en logaritmos y X</w:t>
      </w:r>
      <w:r>
        <w:rPr>
          <w:rFonts w:ascii="Times New Roman" w:hAnsi="Times New Roman" w:cs="Times New Roman"/>
          <w:sz w:val="24"/>
          <w:szCs w:val="24"/>
          <w:vertAlign w:val="subscript"/>
        </w:rPr>
        <w:t>3</w:t>
      </w:r>
      <w:r>
        <w:rPr>
          <w:rFonts w:ascii="Times New Roman" w:hAnsi="Times New Roman" w:cs="Times New Roman"/>
          <w:sz w:val="24"/>
          <w:szCs w:val="24"/>
        </w:rPr>
        <w:t xml:space="preserve"> es la presencia de otro programa de infraestructura, el </w:t>
      </w:r>
      <w:proofErr w:type="spellStart"/>
      <w:r>
        <w:rPr>
          <w:rFonts w:ascii="Times New Roman" w:hAnsi="Times New Roman" w:cs="Times New Roman"/>
          <w:sz w:val="24"/>
          <w:szCs w:val="24"/>
        </w:rPr>
        <w:t>Fortamun</w:t>
      </w:r>
      <w:proofErr w:type="spellEnd"/>
      <w:r>
        <w:rPr>
          <w:rFonts w:ascii="Times New Roman" w:hAnsi="Times New Roman" w:cs="Times New Roman"/>
          <w:sz w:val="24"/>
          <w:szCs w:val="24"/>
        </w:rPr>
        <w:t>-DF per cápita en logaritmos.</w:t>
      </w:r>
    </w:p>
    <w:p w14:paraId="287FDAA2" w14:textId="75B6EEAF" w:rsidR="00D17A00" w:rsidRDefault="00D17A00" w:rsidP="00D17A00">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BE37D9">
        <w:rPr>
          <w:rFonts w:ascii="Times New Roman" w:hAnsi="Times New Roman" w:cs="Times New Roman"/>
          <w:sz w:val="24"/>
          <w:szCs w:val="24"/>
        </w:rPr>
        <w:t>X</w:t>
      </w:r>
      <w:r w:rsidR="00BE37D9">
        <w:rPr>
          <w:rFonts w:ascii="Times New Roman" w:hAnsi="Times New Roman" w:cs="Times New Roman"/>
          <w:sz w:val="24"/>
          <w:szCs w:val="24"/>
          <w:vertAlign w:val="subscript"/>
        </w:rPr>
        <w:t>2</w:t>
      </w:r>
      <w:r>
        <w:rPr>
          <w:rFonts w:ascii="Times New Roman" w:hAnsi="Times New Roman" w:cs="Times New Roman"/>
          <w:sz w:val="24"/>
          <w:szCs w:val="24"/>
        </w:rPr>
        <w:t xml:space="preserve"> es la clave para ver si existe discrecionalidad en la distribución de recursos por parte de los gobiernos estatales, pues significaría que utilizarían los recursos de la misma manera que los recursos que no tienen condicionados, sin importar los criterios de marginalidad que deben privar en el Fondo. Sin embargo</w:t>
      </w:r>
      <w:r w:rsidR="00EA0446">
        <w:rPr>
          <w:rFonts w:ascii="Times New Roman" w:hAnsi="Times New Roman" w:cs="Times New Roman"/>
          <w:sz w:val="24"/>
          <w:szCs w:val="24"/>
        </w:rPr>
        <w:t xml:space="preserve">, dado que </w:t>
      </w:r>
      <w:r>
        <w:rPr>
          <w:rFonts w:ascii="Times New Roman" w:hAnsi="Times New Roman" w:cs="Times New Roman"/>
          <w:sz w:val="24"/>
          <w:szCs w:val="24"/>
        </w:rPr>
        <w:t xml:space="preserve">existe </w:t>
      </w:r>
      <w:proofErr w:type="spellStart"/>
      <w:r>
        <w:rPr>
          <w:rFonts w:ascii="Times New Roman" w:hAnsi="Times New Roman" w:cs="Times New Roman"/>
          <w:sz w:val="24"/>
          <w:szCs w:val="24"/>
        </w:rPr>
        <w:t>endogeneidad</w:t>
      </w:r>
      <w:proofErr w:type="spellEnd"/>
      <w:r>
        <w:rPr>
          <w:rFonts w:ascii="Times New Roman" w:hAnsi="Times New Roman" w:cs="Times New Roman"/>
          <w:sz w:val="24"/>
          <w:szCs w:val="24"/>
        </w:rPr>
        <w:t xml:space="preserve"> en los términos,</w:t>
      </w:r>
      <w:r w:rsidR="00EA0446">
        <w:rPr>
          <w:rFonts w:ascii="Times New Roman" w:hAnsi="Times New Roman" w:cs="Times New Roman"/>
          <w:sz w:val="24"/>
          <w:szCs w:val="24"/>
        </w:rPr>
        <w:t xml:space="preserve"> es decir, correlación entre las participaciones y el error del modelo, es posible que haya variables no observables que puedan explicar la discrecionalidad en el uso de los recursos. Para solucionarlo, los autores </w:t>
      </w:r>
      <w:r>
        <w:rPr>
          <w:rFonts w:ascii="Times New Roman" w:hAnsi="Times New Roman" w:cs="Times New Roman"/>
          <w:sz w:val="24"/>
          <w:szCs w:val="24"/>
        </w:rPr>
        <w:t>proponen variables instrumentales que</w:t>
      </w:r>
      <w:r w:rsidR="00CE5909">
        <w:rPr>
          <w:rFonts w:ascii="Times New Roman" w:hAnsi="Times New Roman" w:cs="Times New Roman"/>
          <w:sz w:val="24"/>
          <w:szCs w:val="24"/>
        </w:rPr>
        <w:t>,</w:t>
      </w:r>
      <w:r w:rsidR="00EA0446">
        <w:rPr>
          <w:rFonts w:ascii="Times New Roman" w:hAnsi="Times New Roman" w:cs="Times New Roman"/>
          <w:sz w:val="24"/>
          <w:szCs w:val="24"/>
        </w:rPr>
        <w:t xml:space="preserve"> estando correlacionadas con los </w:t>
      </w:r>
      <w:proofErr w:type="spellStart"/>
      <w:r w:rsidR="00EA0446">
        <w:rPr>
          <w:rFonts w:ascii="Times New Roman" w:hAnsi="Times New Roman" w:cs="Times New Roman"/>
          <w:sz w:val="24"/>
          <w:szCs w:val="24"/>
        </w:rPr>
        <w:t>regresores</w:t>
      </w:r>
      <w:proofErr w:type="spellEnd"/>
      <w:r w:rsidR="00EA0446">
        <w:rPr>
          <w:rFonts w:ascii="Times New Roman" w:hAnsi="Times New Roman" w:cs="Times New Roman"/>
          <w:sz w:val="24"/>
          <w:szCs w:val="24"/>
        </w:rPr>
        <w:t>,</w:t>
      </w:r>
      <w:r>
        <w:rPr>
          <w:rFonts w:ascii="Times New Roman" w:hAnsi="Times New Roman" w:cs="Times New Roman"/>
          <w:sz w:val="24"/>
          <w:szCs w:val="24"/>
        </w:rPr>
        <w:t xml:space="preserve"> no est</w:t>
      </w:r>
      <w:r w:rsidR="00EA0446">
        <w:rPr>
          <w:rFonts w:ascii="Times New Roman" w:hAnsi="Times New Roman" w:cs="Times New Roman"/>
          <w:sz w:val="24"/>
          <w:szCs w:val="24"/>
        </w:rPr>
        <w:t>én correlacionadas con el error</w:t>
      </w:r>
      <w:r>
        <w:rPr>
          <w:rFonts w:ascii="Times New Roman" w:hAnsi="Times New Roman" w:cs="Times New Roman"/>
          <w:sz w:val="24"/>
          <w:szCs w:val="24"/>
        </w:rPr>
        <w:t>. La primera variable</w:t>
      </w:r>
      <w:r w:rsidR="00EA0446">
        <w:rPr>
          <w:rFonts w:ascii="Times New Roman" w:hAnsi="Times New Roman" w:cs="Times New Roman"/>
          <w:sz w:val="24"/>
          <w:szCs w:val="24"/>
        </w:rPr>
        <w:t xml:space="preserve"> instrumental,</w:t>
      </w:r>
      <w:r>
        <w:rPr>
          <w:rFonts w:ascii="Times New Roman" w:hAnsi="Times New Roman" w:cs="Times New Roman"/>
          <w:sz w:val="24"/>
          <w:szCs w:val="24"/>
        </w:rPr>
        <w:t xml:space="preserve"> </w:t>
      </w:r>
      <w:r>
        <w:rPr>
          <w:rFonts w:ascii="Times New Roman" w:hAnsi="Times New Roman" w:cs="Times New Roman"/>
          <w:i/>
          <w:sz w:val="24"/>
          <w:szCs w:val="24"/>
        </w:rPr>
        <w:t>mismo</w:t>
      </w:r>
      <w:r w:rsidR="00EA0446">
        <w:rPr>
          <w:rFonts w:ascii="Times New Roman" w:hAnsi="Times New Roman" w:cs="Times New Roman"/>
          <w:i/>
          <w:sz w:val="24"/>
          <w:szCs w:val="24"/>
        </w:rPr>
        <w:t>,</w:t>
      </w:r>
      <w:r>
        <w:rPr>
          <w:rFonts w:ascii="Times New Roman" w:hAnsi="Times New Roman" w:cs="Times New Roman"/>
          <w:sz w:val="24"/>
          <w:szCs w:val="24"/>
        </w:rPr>
        <w:t xml:space="preserve"> es una </w:t>
      </w:r>
      <w:proofErr w:type="spellStart"/>
      <w:r>
        <w:rPr>
          <w:rFonts w:ascii="Times New Roman" w:hAnsi="Times New Roman" w:cs="Times New Roman"/>
          <w:sz w:val="24"/>
          <w:szCs w:val="24"/>
        </w:rPr>
        <w:t>dummy</w:t>
      </w:r>
      <w:proofErr w:type="spellEnd"/>
      <w:r>
        <w:rPr>
          <w:rFonts w:ascii="Times New Roman" w:hAnsi="Times New Roman" w:cs="Times New Roman"/>
          <w:sz w:val="24"/>
          <w:szCs w:val="24"/>
        </w:rPr>
        <w:t xml:space="preserve"> que refleja si el gobernador y presidente municipal son del mismo partido. La segunda variable instrumental es el índice de ingreso municipal del PNUD para poder medir el poder económico de los municipios. La tercera es el inverso de la población municipal como proxy del impacto electoral que busca tener el gobierno al asignar proyectos y recursos a lugares más poblados. Además</w:t>
      </w:r>
      <w:r w:rsidR="00FA7C4D">
        <w:rPr>
          <w:rFonts w:ascii="Times New Roman" w:hAnsi="Times New Roman" w:cs="Times New Roman"/>
          <w:sz w:val="24"/>
          <w:szCs w:val="24"/>
        </w:rPr>
        <w:t>,</w:t>
      </w:r>
      <w:r>
        <w:rPr>
          <w:rFonts w:ascii="Times New Roman" w:hAnsi="Times New Roman" w:cs="Times New Roman"/>
          <w:sz w:val="24"/>
          <w:szCs w:val="24"/>
        </w:rPr>
        <w:t xml:space="preserve"> se controla por eficiencia administrativa con la medición de los empleados gubernamentales por municipio, un proxy de ingresos propios y un control sobre otros programas de infraestructura. </w:t>
      </w:r>
    </w:p>
    <w:p w14:paraId="4BF3486D" w14:textId="0663411D" w:rsidR="00954E6D" w:rsidRDefault="00EA0446" w:rsidP="00EA0446">
      <w:pPr>
        <w:spacing w:line="480" w:lineRule="auto"/>
        <w:jc w:val="both"/>
        <w:rPr>
          <w:rFonts w:ascii="Times New Roman" w:hAnsi="Times New Roman" w:cs="Times New Roman"/>
          <w:sz w:val="24"/>
          <w:szCs w:val="24"/>
        </w:rPr>
      </w:pPr>
      <w:r>
        <w:rPr>
          <w:rFonts w:ascii="Times New Roman" w:hAnsi="Times New Roman" w:cs="Times New Roman"/>
          <w:sz w:val="24"/>
          <w:szCs w:val="24"/>
        </w:rPr>
        <w:tab/>
        <w:t>Del análisis estadístico los autores encuentran que</w:t>
      </w:r>
      <w:r w:rsidR="00243294">
        <w:rPr>
          <w:rFonts w:ascii="Times New Roman" w:hAnsi="Times New Roman" w:cs="Times New Roman"/>
          <w:sz w:val="24"/>
          <w:szCs w:val="24"/>
        </w:rPr>
        <w:t>,</w:t>
      </w:r>
      <w:r>
        <w:rPr>
          <w:rFonts w:ascii="Times New Roman" w:hAnsi="Times New Roman" w:cs="Times New Roman"/>
          <w:sz w:val="24"/>
          <w:szCs w:val="24"/>
        </w:rPr>
        <w:t xml:space="preserve"> en efecto</w:t>
      </w:r>
      <w:r w:rsidR="00243294">
        <w:rPr>
          <w:rFonts w:ascii="Times New Roman" w:hAnsi="Times New Roman" w:cs="Times New Roman"/>
          <w:sz w:val="24"/>
          <w:szCs w:val="24"/>
        </w:rPr>
        <w:t>,</w:t>
      </w:r>
      <w:r>
        <w:rPr>
          <w:rFonts w:ascii="Times New Roman" w:hAnsi="Times New Roman" w:cs="Times New Roman"/>
          <w:sz w:val="24"/>
          <w:szCs w:val="24"/>
        </w:rPr>
        <w:t xml:space="preserve"> el FISM </w:t>
      </w:r>
    </w:p>
    <w:p w14:paraId="4F2E53B1" w14:textId="77777777" w:rsidR="00954E6D" w:rsidRDefault="007313B9" w:rsidP="00954E6D">
      <w:pPr>
        <w:spacing w:after="0"/>
        <w:ind w:left="709"/>
        <w:jc w:val="both"/>
        <w:rPr>
          <w:rFonts w:ascii="Times New Roman" w:hAnsi="Times New Roman" w:cs="Times New Roman"/>
        </w:rPr>
      </w:pPr>
      <w:proofErr w:type="gramStart"/>
      <w:r w:rsidRPr="00954E6D">
        <w:rPr>
          <w:rFonts w:ascii="Times New Roman" w:hAnsi="Times New Roman" w:cs="Times New Roman"/>
        </w:rPr>
        <w:t>contiene</w:t>
      </w:r>
      <w:proofErr w:type="gramEnd"/>
      <w:r w:rsidRPr="00954E6D">
        <w:rPr>
          <w:rFonts w:ascii="Times New Roman" w:hAnsi="Times New Roman" w:cs="Times New Roman"/>
        </w:rPr>
        <w:t xml:space="preserve"> un criterio redistributivo débil, ya que en la asignación de los recursos que reciben los municipios por parte de los gobiernos estatales existe un espacio de discrecionalidad que </w:t>
      </w:r>
      <w:r w:rsidR="00954E6D" w:rsidRPr="00954E6D">
        <w:rPr>
          <w:rFonts w:ascii="Times New Roman" w:hAnsi="Times New Roman" w:cs="Times New Roman"/>
        </w:rPr>
        <w:t>se encuentra relacionado de ma</w:t>
      </w:r>
      <w:r w:rsidRPr="00954E6D">
        <w:rPr>
          <w:rFonts w:ascii="Times New Roman" w:hAnsi="Times New Roman" w:cs="Times New Roman"/>
        </w:rPr>
        <w:t>nera estadísticamente significativa con variables de carácter político- económico, como son el poder de negociación, el poder económico del municipio y el tamaño de la población, la cual es una proxy de importancia electora</w:t>
      </w:r>
      <w:r w:rsidR="00EA0446" w:rsidRPr="00954E6D">
        <w:rPr>
          <w:rFonts w:ascii="Times New Roman" w:hAnsi="Times New Roman" w:cs="Times New Roman"/>
        </w:rPr>
        <w:t>l</w:t>
      </w:r>
      <w:r w:rsidR="001F1269" w:rsidRPr="00954E6D">
        <w:rPr>
          <w:rFonts w:ascii="Times New Roman" w:hAnsi="Times New Roman" w:cs="Times New Roman"/>
        </w:rPr>
        <w:t>.</w:t>
      </w:r>
      <w:r w:rsidR="001F1269" w:rsidRPr="00954E6D">
        <w:rPr>
          <w:rStyle w:val="Refdenotaalpie"/>
          <w:rFonts w:ascii="Times New Roman" w:hAnsi="Times New Roman" w:cs="Times New Roman"/>
        </w:rPr>
        <w:footnoteReference w:id="44"/>
      </w:r>
    </w:p>
    <w:p w14:paraId="3F4D7BD3" w14:textId="77777777" w:rsidR="00954E6D" w:rsidRPr="00954E6D" w:rsidRDefault="001F1269" w:rsidP="00954E6D">
      <w:pPr>
        <w:spacing w:after="0"/>
        <w:ind w:left="709"/>
        <w:jc w:val="both"/>
        <w:rPr>
          <w:rFonts w:ascii="Times New Roman" w:hAnsi="Times New Roman" w:cs="Times New Roman"/>
        </w:rPr>
      </w:pPr>
      <w:r w:rsidRPr="00954E6D">
        <w:rPr>
          <w:rFonts w:ascii="Times New Roman" w:hAnsi="Times New Roman" w:cs="Times New Roman"/>
        </w:rPr>
        <w:t xml:space="preserve"> </w:t>
      </w:r>
    </w:p>
    <w:p w14:paraId="1A943548" w14:textId="77777777" w:rsidR="00CB6C54" w:rsidRDefault="00954E6D" w:rsidP="00954E6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Así, lo que hay que resaltar de este estudio es que los recursos no se distribuyen con base en criterios electorales inmediatos, sino que se utilizan primordialmente para mitigar presiones de los municipios con mayor poder económico y capacidad de negociación. </w:t>
      </w:r>
    </w:p>
    <w:p w14:paraId="42CCC6A6" w14:textId="0EE8B22A" w:rsidR="00E7103E" w:rsidRDefault="0054257F" w:rsidP="00B60F59">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A continuación, ya que ha quedado claro el panorama teórico que subyace a esta tesina, presentaré de nuevo el argumento y las expectativas</w:t>
      </w:r>
      <w:r w:rsidR="0096687D">
        <w:rPr>
          <w:rFonts w:ascii="Times New Roman" w:hAnsi="Times New Roman" w:cs="Times New Roman"/>
          <w:sz w:val="24"/>
          <w:szCs w:val="24"/>
        </w:rPr>
        <w:t xml:space="preserve"> </w:t>
      </w:r>
      <w:r>
        <w:rPr>
          <w:rFonts w:ascii="Times New Roman" w:hAnsi="Times New Roman" w:cs="Times New Roman"/>
          <w:sz w:val="24"/>
          <w:szCs w:val="24"/>
        </w:rPr>
        <w:t>para, posteriormente, describir con detalle la metodología que utilizaré para comprobarlas.</w:t>
      </w:r>
      <w:r w:rsidR="008F36DE">
        <w:rPr>
          <w:rFonts w:ascii="Times New Roman" w:hAnsi="Times New Roman" w:cs="Times New Roman"/>
          <w:sz w:val="24"/>
          <w:szCs w:val="24"/>
        </w:rPr>
        <w:t xml:space="preserve"> En la siguiente sección plantearé mi propio modelo estadístico para estudiar el </w:t>
      </w:r>
      <w:proofErr w:type="spellStart"/>
      <w:r w:rsidR="008F36DE">
        <w:rPr>
          <w:rFonts w:ascii="Times New Roman" w:hAnsi="Times New Roman" w:cs="Times New Roman"/>
          <w:sz w:val="24"/>
          <w:szCs w:val="24"/>
        </w:rPr>
        <w:t>Fonregión</w:t>
      </w:r>
      <w:proofErr w:type="spellEnd"/>
      <w:r w:rsidR="008F36DE">
        <w:rPr>
          <w:rFonts w:ascii="Times New Roman" w:hAnsi="Times New Roman" w:cs="Times New Roman"/>
          <w:sz w:val="24"/>
          <w:szCs w:val="24"/>
        </w:rPr>
        <w:t xml:space="preserve">, pero me basaré en estos trabajos para utilizar </w:t>
      </w:r>
      <w:r w:rsidR="00954E6D">
        <w:rPr>
          <w:rFonts w:ascii="Times New Roman" w:hAnsi="Times New Roman" w:cs="Times New Roman"/>
          <w:sz w:val="24"/>
          <w:szCs w:val="24"/>
        </w:rPr>
        <w:t>l</w:t>
      </w:r>
      <w:r w:rsidR="008F36DE">
        <w:rPr>
          <w:rFonts w:ascii="Times New Roman" w:hAnsi="Times New Roman" w:cs="Times New Roman"/>
          <w:sz w:val="24"/>
          <w:szCs w:val="24"/>
        </w:rPr>
        <w:t>as variables que pueden tener impacto</w:t>
      </w:r>
      <w:r w:rsidR="00AD5B11">
        <w:rPr>
          <w:rFonts w:ascii="Times New Roman" w:hAnsi="Times New Roman" w:cs="Times New Roman"/>
          <w:sz w:val="24"/>
          <w:szCs w:val="24"/>
        </w:rPr>
        <w:t xml:space="preserve"> en las asignaciones.</w:t>
      </w:r>
      <w:r w:rsidR="0096687D">
        <w:rPr>
          <w:rFonts w:ascii="Times New Roman" w:hAnsi="Times New Roman" w:cs="Times New Roman"/>
          <w:sz w:val="24"/>
          <w:szCs w:val="24"/>
        </w:rPr>
        <w:t xml:space="preserve"> </w:t>
      </w:r>
    </w:p>
    <w:p w14:paraId="28C5AFAE" w14:textId="77777777" w:rsidR="00243294" w:rsidRDefault="00243294" w:rsidP="00B60F59">
      <w:pPr>
        <w:spacing w:line="480" w:lineRule="auto"/>
        <w:ind w:firstLine="709"/>
        <w:jc w:val="both"/>
        <w:rPr>
          <w:rFonts w:ascii="Times New Roman" w:hAnsi="Times New Roman" w:cs="Times New Roman"/>
          <w:sz w:val="24"/>
          <w:szCs w:val="24"/>
        </w:rPr>
      </w:pPr>
    </w:p>
    <w:p w14:paraId="44EDB0B0" w14:textId="77777777" w:rsidR="001F1269" w:rsidRPr="00AC6F8A" w:rsidRDefault="000C0CC3" w:rsidP="00610F80">
      <w:pPr>
        <w:pStyle w:val="Prrafodelista"/>
        <w:numPr>
          <w:ilvl w:val="0"/>
          <w:numId w:val="1"/>
        </w:numPr>
        <w:spacing w:after="0" w:line="480" w:lineRule="auto"/>
        <w:jc w:val="both"/>
        <w:outlineLvl w:val="0"/>
        <w:rPr>
          <w:rFonts w:ascii="Times New Roman" w:eastAsia="Times New Roman" w:hAnsi="Times New Roman" w:cs="Times New Roman"/>
          <w:i/>
          <w:sz w:val="24"/>
          <w:szCs w:val="24"/>
          <w:u w:val="single"/>
        </w:rPr>
      </w:pPr>
      <w:r w:rsidRPr="00AC6F8A">
        <w:rPr>
          <w:rFonts w:ascii="Times New Roman" w:eastAsia="Times New Roman" w:hAnsi="Times New Roman" w:cs="Times New Roman"/>
          <w:i/>
          <w:sz w:val="24"/>
          <w:szCs w:val="24"/>
          <w:u w:val="single"/>
        </w:rPr>
        <w:t xml:space="preserve"> </w:t>
      </w:r>
      <w:bookmarkStart w:id="5" w:name="_Toc382321801"/>
      <w:r w:rsidRPr="00AC6F8A">
        <w:rPr>
          <w:rFonts w:ascii="Times New Roman" w:eastAsia="Times New Roman" w:hAnsi="Times New Roman" w:cs="Times New Roman"/>
          <w:i/>
          <w:sz w:val="24"/>
          <w:szCs w:val="24"/>
          <w:u w:val="single"/>
        </w:rPr>
        <w:t>Argumento e hipótesis</w:t>
      </w:r>
      <w:bookmarkEnd w:id="5"/>
    </w:p>
    <w:p w14:paraId="6DA0165E" w14:textId="13CF4438" w:rsidR="00FF50FB" w:rsidRDefault="00FF50FB" w:rsidP="001F1269">
      <w:pPr>
        <w:spacing w:line="480" w:lineRule="auto"/>
        <w:jc w:val="both"/>
        <w:rPr>
          <w:rFonts w:ascii="Times New Roman" w:hAnsi="Times New Roman" w:cs="Times New Roman"/>
          <w:sz w:val="24"/>
          <w:szCs w:val="24"/>
        </w:rPr>
      </w:pPr>
      <w:r>
        <w:rPr>
          <w:rFonts w:ascii="Times New Roman" w:hAnsi="Times New Roman" w:cs="Times New Roman"/>
          <w:sz w:val="24"/>
          <w:szCs w:val="24"/>
        </w:rPr>
        <w:t>Con base en la revisión de la literatura que presenté en</w:t>
      </w:r>
      <w:r w:rsidR="0096687D">
        <w:rPr>
          <w:rFonts w:ascii="Times New Roman" w:hAnsi="Times New Roman" w:cs="Times New Roman"/>
          <w:sz w:val="24"/>
          <w:szCs w:val="24"/>
        </w:rPr>
        <w:t xml:space="preserve"> </w:t>
      </w:r>
      <w:r>
        <w:rPr>
          <w:rFonts w:ascii="Times New Roman" w:hAnsi="Times New Roman" w:cs="Times New Roman"/>
          <w:sz w:val="24"/>
          <w:szCs w:val="24"/>
        </w:rPr>
        <w:t>el a</w:t>
      </w:r>
      <w:r w:rsidR="00483978">
        <w:rPr>
          <w:rFonts w:ascii="Times New Roman" w:hAnsi="Times New Roman" w:cs="Times New Roman"/>
          <w:sz w:val="24"/>
          <w:szCs w:val="24"/>
        </w:rPr>
        <w:t>partado anterior, en este</w:t>
      </w:r>
      <w:r>
        <w:rPr>
          <w:rFonts w:ascii="Times New Roman" w:hAnsi="Times New Roman" w:cs="Times New Roman"/>
          <w:sz w:val="24"/>
          <w:szCs w:val="24"/>
        </w:rPr>
        <w:t xml:space="preserve"> apartado </w:t>
      </w:r>
      <w:r w:rsidR="00AD5B11">
        <w:rPr>
          <w:rFonts w:ascii="Times New Roman" w:hAnsi="Times New Roman" w:cs="Times New Roman"/>
          <w:sz w:val="24"/>
          <w:szCs w:val="24"/>
        </w:rPr>
        <w:t>presento</w:t>
      </w:r>
      <w:r>
        <w:rPr>
          <w:rFonts w:ascii="Times New Roman" w:hAnsi="Times New Roman" w:cs="Times New Roman"/>
          <w:sz w:val="24"/>
          <w:szCs w:val="24"/>
        </w:rPr>
        <w:t xml:space="preserve"> </w:t>
      </w:r>
      <w:r w:rsidR="00483EDF">
        <w:rPr>
          <w:rFonts w:ascii="Times New Roman" w:hAnsi="Times New Roman" w:cs="Times New Roman"/>
          <w:sz w:val="24"/>
          <w:szCs w:val="24"/>
        </w:rPr>
        <w:t xml:space="preserve">mi </w:t>
      </w:r>
      <w:r>
        <w:rPr>
          <w:rFonts w:ascii="Times New Roman" w:hAnsi="Times New Roman" w:cs="Times New Roman"/>
          <w:sz w:val="24"/>
          <w:szCs w:val="24"/>
        </w:rPr>
        <w:t>argumento y cómo aplica</w:t>
      </w:r>
      <w:r w:rsidR="00AD5B11">
        <w:rPr>
          <w:rFonts w:ascii="Times New Roman" w:hAnsi="Times New Roman" w:cs="Times New Roman"/>
          <w:sz w:val="24"/>
          <w:szCs w:val="24"/>
        </w:rPr>
        <w:t xml:space="preserve"> a</w:t>
      </w:r>
      <w:r>
        <w:rPr>
          <w:rFonts w:ascii="Times New Roman" w:hAnsi="Times New Roman" w:cs="Times New Roman"/>
          <w:sz w:val="24"/>
          <w:szCs w:val="24"/>
        </w:rPr>
        <w:t xml:space="preserve"> la distribución de proyectos y recursos del Fondo Regional. </w:t>
      </w:r>
      <w:r w:rsidR="003961F7">
        <w:rPr>
          <w:rFonts w:ascii="Times New Roman" w:hAnsi="Times New Roman" w:cs="Times New Roman"/>
          <w:sz w:val="24"/>
          <w:szCs w:val="24"/>
        </w:rPr>
        <w:t>Empezaré por hacer explícitos los supuestos con los que trabajaré para delimitar los alcances de</w:t>
      </w:r>
      <w:r w:rsidR="00AD5B11">
        <w:rPr>
          <w:rFonts w:ascii="Times New Roman" w:hAnsi="Times New Roman" w:cs="Times New Roman"/>
          <w:sz w:val="24"/>
          <w:szCs w:val="24"/>
        </w:rPr>
        <w:t xml:space="preserve"> mi estrategia empírica y</w:t>
      </w:r>
      <w:r w:rsidR="003961F7">
        <w:rPr>
          <w:rFonts w:ascii="Times New Roman" w:hAnsi="Times New Roman" w:cs="Times New Roman"/>
          <w:sz w:val="24"/>
          <w:szCs w:val="24"/>
        </w:rPr>
        <w:t xml:space="preserve"> las conclusiones </w:t>
      </w:r>
      <w:r w:rsidR="00A2267F">
        <w:rPr>
          <w:rFonts w:ascii="Times New Roman" w:hAnsi="Times New Roman" w:cs="Times New Roman"/>
          <w:sz w:val="24"/>
          <w:szCs w:val="24"/>
        </w:rPr>
        <w:t xml:space="preserve">que </w:t>
      </w:r>
      <w:r w:rsidR="003961F7">
        <w:rPr>
          <w:rFonts w:ascii="Times New Roman" w:hAnsi="Times New Roman" w:cs="Times New Roman"/>
          <w:sz w:val="24"/>
          <w:szCs w:val="24"/>
        </w:rPr>
        <w:t>de</w:t>
      </w:r>
      <w:r w:rsidR="00AD5B11">
        <w:rPr>
          <w:rFonts w:ascii="Times New Roman" w:hAnsi="Times New Roman" w:cs="Times New Roman"/>
          <w:sz w:val="24"/>
          <w:szCs w:val="24"/>
        </w:rPr>
        <w:t xml:space="preserve"> ésta se desprendan</w:t>
      </w:r>
      <w:r w:rsidR="003961F7">
        <w:rPr>
          <w:rFonts w:ascii="Times New Roman" w:hAnsi="Times New Roman" w:cs="Times New Roman"/>
          <w:sz w:val="24"/>
          <w:szCs w:val="24"/>
        </w:rPr>
        <w:t xml:space="preserve">. En primer lugar, parto de la premisa de que existen distorsiones deliberadas en la asignación de los recursos del Fondo Regional al interior de las entidades federativas. Es decir, no estoy suponiendo que los recursos simplemente se ejercen al azar, sino que existe una lógica de asignación detrás de los municipios que reciben más recursos y proyectos del Fondo. Al ser recursos </w:t>
      </w:r>
      <w:r w:rsidR="00507083">
        <w:rPr>
          <w:rFonts w:ascii="Times New Roman" w:hAnsi="Times New Roman" w:cs="Times New Roman"/>
          <w:sz w:val="24"/>
          <w:szCs w:val="24"/>
        </w:rPr>
        <w:t>carentes de</w:t>
      </w:r>
      <w:r w:rsidR="003961F7">
        <w:rPr>
          <w:rFonts w:ascii="Times New Roman" w:hAnsi="Times New Roman" w:cs="Times New Roman"/>
          <w:sz w:val="24"/>
          <w:szCs w:val="24"/>
        </w:rPr>
        <w:t xml:space="preserve"> barreras significativas para su ejercicio</w:t>
      </w:r>
      <w:r w:rsidR="00507083">
        <w:rPr>
          <w:rFonts w:ascii="Times New Roman" w:hAnsi="Times New Roman" w:cs="Times New Roman"/>
          <w:sz w:val="24"/>
          <w:szCs w:val="24"/>
        </w:rPr>
        <w:t xml:space="preserve"> y superar los mil millones de pesos por año para cada una de las entidades federativas que estudio en esta tesina, parto del supuesto de que existirá una lógica detrás del uso de dichos recursos.</w:t>
      </w:r>
    </w:p>
    <w:p w14:paraId="31870A76" w14:textId="46B2D3DD" w:rsidR="00FF50FB" w:rsidRDefault="00507083" w:rsidP="00F82613">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La siguiente premisa de la que parto tiene que ver con la anterior y se refiere a que la lógica de asignación </w:t>
      </w:r>
      <w:r w:rsidR="00522333">
        <w:rPr>
          <w:rFonts w:ascii="Times New Roman" w:hAnsi="Times New Roman" w:cs="Times New Roman"/>
          <w:sz w:val="24"/>
          <w:szCs w:val="24"/>
        </w:rPr>
        <w:t xml:space="preserve">municipal </w:t>
      </w:r>
      <w:r>
        <w:rPr>
          <w:rFonts w:ascii="Times New Roman" w:hAnsi="Times New Roman" w:cs="Times New Roman"/>
          <w:sz w:val="24"/>
          <w:szCs w:val="24"/>
        </w:rPr>
        <w:t>es determinada por los gobiernos estatales, en particular por el gobernador. Si bien los recursos son federales y la Secretaría de Hacienda</w:t>
      </w:r>
      <w:r w:rsidR="00522333">
        <w:rPr>
          <w:rFonts w:ascii="Times New Roman" w:hAnsi="Times New Roman" w:cs="Times New Roman"/>
          <w:sz w:val="24"/>
          <w:szCs w:val="24"/>
        </w:rPr>
        <w:t xml:space="preserve"> es </w:t>
      </w:r>
      <w:r w:rsidR="00BD0C7C">
        <w:rPr>
          <w:rFonts w:ascii="Times New Roman" w:hAnsi="Times New Roman" w:cs="Times New Roman"/>
          <w:sz w:val="24"/>
          <w:szCs w:val="24"/>
        </w:rPr>
        <w:t>la encargada de</w:t>
      </w:r>
      <w:r w:rsidR="00522333">
        <w:rPr>
          <w:rFonts w:ascii="Times New Roman" w:hAnsi="Times New Roman" w:cs="Times New Roman"/>
          <w:sz w:val="24"/>
          <w:szCs w:val="24"/>
        </w:rPr>
        <w:t xml:space="preserve"> aprobarlos</w:t>
      </w:r>
      <w:r>
        <w:rPr>
          <w:rFonts w:ascii="Times New Roman" w:hAnsi="Times New Roman" w:cs="Times New Roman"/>
          <w:sz w:val="24"/>
          <w:szCs w:val="24"/>
        </w:rPr>
        <w:t xml:space="preserve"> a través</w:t>
      </w:r>
      <w:r w:rsidR="00C12D86">
        <w:rPr>
          <w:rFonts w:ascii="Times New Roman" w:hAnsi="Times New Roman" w:cs="Times New Roman"/>
          <w:sz w:val="24"/>
          <w:szCs w:val="24"/>
        </w:rPr>
        <w:t xml:space="preserve"> </w:t>
      </w:r>
      <w:r w:rsidR="00522333">
        <w:rPr>
          <w:rFonts w:ascii="Times New Roman" w:hAnsi="Times New Roman" w:cs="Times New Roman"/>
          <w:sz w:val="24"/>
          <w:szCs w:val="24"/>
        </w:rPr>
        <w:t>de la Unidad de Política y Control Presupuestario</w:t>
      </w:r>
      <w:r w:rsidR="00C12D86">
        <w:rPr>
          <w:rFonts w:ascii="Times New Roman" w:hAnsi="Times New Roman" w:cs="Times New Roman"/>
          <w:sz w:val="24"/>
          <w:szCs w:val="24"/>
        </w:rPr>
        <w:t xml:space="preserve">, en esta </w:t>
      </w:r>
      <w:r w:rsidR="00C12D86">
        <w:rPr>
          <w:rFonts w:ascii="Times New Roman" w:hAnsi="Times New Roman" w:cs="Times New Roman"/>
          <w:sz w:val="24"/>
          <w:szCs w:val="24"/>
        </w:rPr>
        <w:lastRenderedPageBreak/>
        <w:t>tesina asumo que no existe influencia</w:t>
      </w:r>
      <w:r w:rsidR="00CE5909">
        <w:rPr>
          <w:rFonts w:ascii="Times New Roman" w:hAnsi="Times New Roman" w:cs="Times New Roman"/>
          <w:sz w:val="24"/>
          <w:szCs w:val="24"/>
        </w:rPr>
        <w:t xml:space="preserve"> por parte del gobierno federal –</w:t>
      </w:r>
      <w:r w:rsidR="00BD0C7C">
        <w:rPr>
          <w:rFonts w:ascii="Times New Roman" w:hAnsi="Times New Roman" w:cs="Times New Roman"/>
          <w:sz w:val="24"/>
          <w:szCs w:val="24"/>
        </w:rPr>
        <w:t>dado que el Fondo surgió como un pago político y que la SHCP cuenta</w:t>
      </w:r>
      <w:r w:rsidR="00CE5909">
        <w:rPr>
          <w:rFonts w:ascii="Times New Roman" w:hAnsi="Times New Roman" w:cs="Times New Roman"/>
          <w:sz w:val="24"/>
          <w:szCs w:val="24"/>
        </w:rPr>
        <w:t xml:space="preserve"> con déficit de capacidad organizacional para regularlo</w:t>
      </w:r>
      <w:r w:rsidR="00BD0C7C">
        <w:rPr>
          <w:rFonts w:ascii="Times New Roman" w:hAnsi="Times New Roman" w:cs="Times New Roman"/>
          <w:sz w:val="24"/>
          <w:szCs w:val="24"/>
        </w:rPr>
        <w:t>, como ya se mencionó en el segundo apartado</w:t>
      </w:r>
      <w:r w:rsidR="00CE5909">
        <w:rPr>
          <w:rFonts w:ascii="Times New Roman" w:hAnsi="Times New Roman" w:cs="Times New Roman"/>
          <w:sz w:val="24"/>
          <w:szCs w:val="24"/>
        </w:rPr>
        <w:t xml:space="preserve">—por </w:t>
      </w:r>
      <w:r w:rsidR="00C12D86">
        <w:rPr>
          <w:rFonts w:ascii="Times New Roman" w:hAnsi="Times New Roman" w:cs="Times New Roman"/>
          <w:sz w:val="24"/>
          <w:szCs w:val="24"/>
        </w:rPr>
        <w:t>lo que no habrá sesgo a favor del partido gobernante</w:t>
      </w:r>
      <w:r w:rsidR="00742D9C">
        <w:rPr>
          <w:rFonts w:ascii="Times New Roman" w:hAnsi="Times New Roman" w:cs="Times New Roman"/>
          <w:sz w:val="24"/>
          <w:szCs w:val="24"/>
        </w:rPr>
        <w:t>.</w:t>
      </w:r>
      <w:r w:rsidR="00AD5B11">
        <w:rPr>
          <w:rFonts w:ascii="Times New Roman" w:hAnsi="Times New Roman" w:cs="Times New Roman"/>
          <w:sz w:val="24"/>
          <w:szCs w:val="24"/>
        </w:rPr>
        <w:t xml:space="preserve"> </w:t>
      </w:r>
      <w:r w:rsidR="00F82613">
        <w:rPr>
          <w:rFonts w:ascii="Times New Roman" w:hAnsi="Times New Roman" w:cs="Times New Roman"/>
          <w:sz w:val="24"/>
          <w:szCs w:val="24"/>
        </w:rPr>
        <w:t xml:space="preserve">Así pues, sólo me enfocaré en las decisiones de gasto que tengan que ver con la intervención de gobiernos estatales y los incentivos que puedan tener para decidir el destino de los programas y proyectos de inversión. </w:t>
      </w:r>
      <w:r w:rsidR="003C3106">
        <w:rPr>
          <w:rFonts w:ascii="Times New Roman" w:hAnsi="Times New Roman" w:cs="Times New Roman"/>
          <w:sz w:val="24"/>
          <w:szCs w:val="24"/>
        </w:rPr>
        <w:t xml:space="preserve">Si bien resulta poco probable que todos los gobernadores participen activamente para decidir a qué municipios enviar los recursos, los intereses del gobernador son los que se ven representados en la toma de decisiones de asignación de proyectos y recursos. El gobernador (o su partido) son quienes se verían afectados o beneficiados electoralmente de la puesta en marcha de los proyectos y programas de infraestructura que impulsa el </w:t>
      </w:r>
      <w:proofErr w:type="spellStart"/>
      <w:r w:rsidR="003C3106">
        <w:rPr>
          <w:rFonts w:ascii="Times New Roman" w:hAnsi="Times New Roman" w:cs="Times New Roman"/>
          <w:sz w:val="24"/>
          <w:szCs w:val="24"/>
        </w:rPr>
        <w:t>Fonregión</w:t>
      </w:r>
      <w:proofErr w:type="spellEnd"/>
      <w:r w:rsidR="003C3106">
        <w:rPr>
          <w:rFonts w:ascii="Times New Roman" w:hAnsi="Times New Roman" w:cs="Times New Roman"/>
          <w:sz w:val="24"/>
          <w:szCs w:val="24"/>
        </w:rPr>
        <w:t>, por lo que, independientemente de quién tome la decisión sobre las carteras de proyectos que se arman</w:t>
      </w:r>
      <w:r w:rsidR="004F0786">
        <w:rPr>
          <w:rFonts w:ascii="Times New Roman" w:hAnsi="Times New Roman" w:cs="Times New Roman"/>
          <w:sz w:val="24"/>
          <w:szCs w:val="24"/>
        </w:rPr>
        <w:t>, racionalmente el gobernador tendrá incentivos para que sus intereses se maximicen con el ejercicio de esos recursos.</w:t>
      </w:r>
    </w:p>
    <w:p w14:paraId="24A92384" w14:textId="77777777" w:rsidR="003C3106" w:rsidRDefault="003C3106" w:rsidP="00F82613">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Otro de los supuestos con los que trabajaré es que, como ya mencioné en la introducción, el énfasis de esta tesina no está en los recursos que en realidad se ejercen en Guerrero, Oaxaca y Chiapas. Lo único en lo que me enfoco es en la asignación de recursos, es decir, </w:t>
      </w:r>
      <w:r w:rsidR="004F0786">
        <w:rPr>
          <w:rFonts w:ascii="Times New Roman" w:hAnsi="Times New Roman" w:cs="Times New Roman"/>
          <w:sz w:val="24"/>
          <w:szCs w:val="24"/>
        </w:rPr>
        <w:t>en las decisiones sobre a qué municipios destinar recursos y cuántos proyectos se destinan a cada uno de ellos.</w:t>
      </w:r>
      <w:r w:rsidR="00483EDF">
        <w:rPr>
          <w:rFonts w:ascii="Times New Roman" w:hAnsi="Times New Roman" w:cs="Times New Roman"/>
          <w:sz w:val="24"/>
          <w:szCs w:val="24"/>
        </w:rPr>
        <w:t xml:space="preserve"> Sin embargo, no dejo de reconocer que la asignación si bien es una condición necesaria, no es una condición suficiente para cumplir con su objetivo de combate a la desigualdad.</w:t>
      </w:r>
      <w:r w:rsidR="00AD5B11">
        <w:rPr>
          <w:rFonts w:ascii="Times New Roman" w:hAnsi="Times New Roman" w:cs="Times New Roman"/>
          <w:sz w:val="24"/>
          <w:szCs w:val="24"/>
        </w:rPr>
        <w:t xml:space="preserve"> </w:t>
      </w:r>
    </w:p>
    <w:p w14:paraId="07C43FD8" w14:textId="77777777" w:rsidR="00166166" w:rsidRDefault="00166166" w:rsidP="00166166">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Ahora bien, el argumento que planteo para responder a cuál es la lógica de asignación de recursos del </w:t>
      </w:r>
      <w:proofErr w:type="spellStart"/>
      <w:r>
        <w:rPr>
          <w:rFonts w:ascii="Times New Roman" w:hAnsi="Times New Roman" w:cs="Times New Roman"/>
          <w:sz w:val="24"/>
          <w:szCs w:val="24"/>
        </w:rPr>
        <w:t>Fonregión</w:t>
      </w:r>
      <w:proofErr w:type="spellEnd"/>
      <w:r>
        <w:rPr>
          <w:rFonts w:ascii="Times New Roman" w:hAnsi="Times New Roman" w:cs="Times New Roman"/>
          <w:sz w:val="24"/>
          <w:szCs w:val="24"/>
        </w:rPr>
        <w:t xml:space="preserve">, se refiere a que </w:t>
      </w:r>
      <w:r w:rsidRPr="00C616D4">
        <w:rPr>
          <w:rFonts w:ascii="Times New Roman" w:hAnsi="Times New Roman" w:cs="Times New Roman"/>
          <w:sz w:val="24"/>
          <w:szCs w:val="24"/>
        </w:rPr>
        <w:t xml:space="preserve">los gobiernos estatales distribuirán </w:t>
      </w:r>
      <w:r w:rsidRPr="00C616D4">
        <w:rPr>
          <w:rFonts w:ascii="Times New Roman" w:hAnsi="Times New Roman" w:cs="Times New Roman"/>
          <w:sz w:val="24"/>
          <w:szCs w:val="24"/>
        </w:rPr>
        <w:lastRenderedPageBreak/>
        <w:t>los proyectos y recursos del Fon</w:t>
      </w:r>
      <w:r>
        <w:rPr>
          <w:rFonts w:ascii="Times New Roman" w:hAnsi="Times New Roman" w:cs="Times New Roman"/>
          <w:sz w:val="24"/>
          <w:szCs w:val="24"/>
        </w:rPr>
        <w:t>do</w:t>
      </w:r>
      <w:r w:rsidRPr="00C616D4">
        <w:rPr>
          <w:rFonts w:ascii="Times New Roman" w:hAnsi="Times New Roman" w:cs="Times New Roman"/>
          <w:sz w:val="24"/>
          <w:szCs w:val="24"/>
        </w:rPr>
        <w:t xml:space="preserve"> de manera en que puedan maximizar su impacto electoral </w:t>
      </w:r>
      <w:r>
        <w:rPr>
          <w:rFonts w:ascii="Times New Roman" w:hAnsi="Times New Roman" w:cs="Times New Roman"/>
          <w:sz w:val="24"/>
          <w:szCs w:val="24"/>
        </w:rPr>
        <w:t>sin perder el apoyo de los votantes duros que habían acumulado en elecciones previas</w:t>
      </w:r>
      <w:r w:rsidRPr="00C616D4">
        <w:rPr>
          <w:rFonts w:ascii="Times New Roman" w:hAnsi="Times New Roman" w:cs="Times New Roman"/>
          <w:sz w:val="24"/>
          <w:szCs w:val="24"/>
        </w:rPr>
        <w:t>.</w:t>
      </w:r>
      <w:r w:rsidR="00AD5B11">
        <w:rPr>
          <w:rFonts w:ascii="Times New Roman" w:hAnsi="Times New Roman" w:cs="Times New Roman"/>
          <w:sz w:val="24"/>
          <w:szCs w:val="24"/>
        </w:rPr>
        <w:t xml:space="preserve"> </w:t>
      </w:r>
      <w:r w:rsidRPr="00C616D4">
        <w:rPr>
          <w:rFonts w:ascii="Times New Roman" w:hAnsi="Times New Roman" w:cs="Times New Roman"/>
          <w:sz w:val="24"/>
          <w:szCs w:val="24"/>
        </w:rPr>
        <w:t xml:space="preserve">Esto quiere decir que </w:t>
      </w:r>
      <w:r w:rsidR="00C123FE">
        <w:rPr>
          <w:rFonts w:ascii="Times New Roman" w:hAnsi="Times New Roman" w:cs="Times New Roman"/>
          <w:sz w:val="24"/>
          <w:szCs w:val="24"/>
        </w:rPr>
        <w:t xml:space="preserve">la expectativa empírica principal es que </w:t>
      </w:r>
      <w:r w:rsidRPr="00C616D4">
        <w:rPr>
          <w:rFonts w:ascii="Times New Roman" w:hAnsi="Times New Roman" w:cs="Times New Roman"/>
          <w:sz w:val="24"/>
          <w:szCs w:val="24"/>
        </w:rPr>
        <w:t>los criterios políticos ten</w:t>
      </w:r>
      <w:r w:rsidR="00C123FE">
        <w:rPr>
          <w:rFonts w:ascii="Times New Roman" w:hAnsi="Times New Roman" w:cs="Times New Roman"/>
          <w:sz w:val="24"/>
          <w:szCs w:val="24"/>
        </w:rPr>
        <w:t>gan</w:t>
      </w:r>
      <w:r w:rsidRPr="00C616D4">
        <w:rPr>
          <w:rFonts w:ascii="Times New Roman" w:hAnsi="Times New Roman" w:cs="Times New Roman"/>
          <w:sz w:val="24"/>
          <w:szCs w:val="24"/>
        </w:rPr>
        <w:t xml:space="preserve"> un valor explicativo muy fuerte para entender la distribución de proyectos y recursos del Fondo. En especial (y siguiendo a Díaz-</w:t>
      </w:r>
      <w:proofErr w:type="spellStart"/>
      <w:r w:rsidRPr="00C616D4">
        <w:rPr>
          <w:rFonts w:ascii="Times New Roman" w:hAnsi="Times New Roman" w:cs="Times New Roman"/>
          <w:sz w:val="24"/>
          <w:szCs w:val="24"/>
        </w:rPr>
        <w:t>Cayeros</w:t>
      </w:r>
      <w:proofErr w:type="spellEnd"/>
      <w:r w:rsidRPr="00C616D4">
        <w:rPr>
          <w:rFonts w:ascii="Times New Roman" w:hAnsi="Times New Roman" w:cs="Times New Roman"/>
          <w:sz w:val="24"/>
          <w:szCs w:val="24"/>
        </w:rPr>
        <w:t xml:space="preserve">, Estévez y </w:t>
      </w:r>
      <w:proofErr w:type="spellStart"/>
      <w:r w:rsidRPr="00C616D4">
        <w:rPr>
          <w:rFonts w:ascii="Times New Roman" w:hAnsi="Times New Roman" w:cs="Times New Roman"/>
          <w:sz w:val="24"/>
          <w:szCs w:val="24"/>
        </w:rPr>
        <w:t>Magaloni</w:t>
      </w:r>
      <w:proofErr w:type="spellEnd"/>
      <w:r w:rsidRPr="00C616D4">
        <w:rPr>
          <w:rFonts w:ascii="Times New Roman" w:hAnsi="Times New Roman" w:cs="Times New Roman"/>
          <w:sz w:val="24"/>
          <w:szCs w:val="24"/>
        </w:rPr>
        <w:t>) los gobernadores destinarán el grueso de los recursos y proyectos a sus simpatizantes, pues deben crear incentivos de largo plazo para que no se conviertan en un futuro en indecisos. Sin embargo, al ser año electoral, los gobernadores se enfocarán en los votantes que pueden hacerlos ganar una elección, por lo que serán más proclives al riesgo y dirigirán los bienes públicos del Fondo a los votantes indecisos.</w:t>
      </w:r>
      <w:r w:rsidR="00AD5B11">
        <w:rPr>
          <w:rFonts w:ascii="Times New Roman" w:hAnsi="Times New Roman" w:cs="Times New Roman"/>
          <w:sz w:val="24"/>
          <w:szCs w:val="24"/>
        </w:rPr>
        <w:t xml:space="preserve"> </w:t>
      </w:r>
      <w:r w:rsidRPr="00C616D4">
        <w:rPr>
          <w:rFonts w:ascii="Times New Roman" w:hAnsi="Times New Roman" w:cs="Times New Roman"/>
          <w:sz w:val="24"/>
          <w:szCs w:val="24"/>
        </w:rPr>
        <w:t xml:space="preserve">Por último, si tomamos en cuenta que las estrategias tienen una visión de largo plazo, la base de la distribución siempre </w:t>
      </w:r>
      <w:r w:rsidR="00C123FE">
        <w:rPr>
          <w:rFonts w:ascii="Times New Roman" w:hAnsi="Times New Roman" w:cs="Times New Roman"/>
          <w:sz w:val="24"/>
          <w:szCs w:val="24"/>
        </w:rPr>
        <w:t>tendrá en cuenta</w:t>
      </w:r>
      <w:r w:rsidRPr="00C616D4">
        <w:rPr>
          <w:rFonts w:ascii="Times New Roman" w:hAnsi="Times New Roman" w:cs="Times New Roman"/>
          <w:sz w:val="24"/>
          <w:szCs w:val="24"/>
        </w:rPr>
        <w:t xml:space="preserve"> las características socioeconómicas de los municipios; sin embargo, éste no será el único criterio para la distribución, como supuestamente debería ser con base en los objetivos formales del Fondo.</w:t>
      </w:r>
    </w:p>
    <w:p w14:paraId="0ED2007D" w14:textId="5A649720" w:rsidR="00C616D4" w:rsidRDefault="00C616D4" w:rsidP="001F1269">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Por su parte, en esta tesina contemplo </w:t>
      </w:r>
      <w:r w:rsidR="00EE13C9">
        <w:rPr>
          <w:rFonts w:ascii="Times New Roman" w:hAnsi="Times New Roman" w:cs="Times New Roman"/>
          <w:sz w:val="24"/>
          <w:szCs w:val="24"/>
        </w:rPr>
        <w:t>dos</w:t>
      </w:r>
      <w:r>
        <w:rPr>
          <w:rFonts w:ascii="Times New Roman" w:hAnsi="Times New Roman" w:cs="Times New Roman"/>
          <w:sz w:val="24"/>
          <w:szCs w:val="24"/>
        </w:rPr>
        <w:t xml:space="preserve"> hipótesis </w:t>
      </w:r>
      <w:r w:rsidR="00166166">
        <w:rPr>
          <w:rFonts w:ascii="Times New Roman" w:hAnsi="Times New Roman" w:cs="Times New Roman"/>
          <w:sz w:val="24"/>
          <w:szCs w:val="24"/>
        </w:rPr>
        <w:t>que pondré a prueba</w:t>
      </w:r>
      <w:r w:rsidR="00C123FE">
        <w:rPr>
          <w:rFonts w:ascii="Times New Roman" w:hAnsi="Times New Roman" w:cs="Times New Roman"/>
          <w:sz w:val="24"/>
          <w:szCs w:val="24"/>
        </w:rPr>
        <w:t xml:space="preserve"> en las secciones siguientes.</w:t>
      </w:r>
      <w:r>
        <w:rPr>
          <w:rFonts w:ascii="Times New Roman" w:hAnsi="Times New Roman" w:cs="Times New Roman"/>
          <w:sz w:val="24"/>
          <w:szCs w:val="24"/>
        </w:rPr>
        <w:t xml:space="preserve"> La </w:t>
      </w:r>
      <w:r w:rsidR="00754294">
        <w:rPr>
          <w:rFonts w:ascii="Times New Roman" w:hAnsi="Times New Roman" w:cs="Times New Roman"/>
          <w:sz w:val="24"/>
          <w:szCs w:val="24"/>
        </w:rPr>
        <w:t xml:space="preserve">primera, </w:t>
      </w:r>
      <w:r>
        <w:rPr>
          <w:rFonts w:ascii="Times New Roman" w:hAnsi="Times New Roman" w:cs="Times New Roman"/>
          <w:sz w:val="24"/>
          <w:szCs w:val="24"/>
        </w:rPr>
        <w:t xml:space="preserve">tiene que ver con el argumento </w:t>
      </w:r>
      <w:r w:rsidR="00EE13C9">
        <w:rPr>
          <w:rFonts w:ascii="Times New Roman" w:hAnsi="Times New Roman" w:cs="Times New Roman"/>
          <w:sz w:val="24"/>
          <w:szCs w:val="24"/>
        </w:rPr>
        <w:t>expuesto en el párrafo anterior y se puede dividir en dos partes.</w:t>
      </w:r>
      <w:r w:rsidR="00AD5B11">
        <w:rPr>
          <w:rFonts w:ascii="Times New Roman" w:hAnsi="Times New Roman" w:cs="Times New Roman"/>
          <w:sz w:val="24"/>
          <w:szCs w:val="24"/>
        </w:rPr>
        <w:t xml:space="preserve"> </w:t>
      </w:r>
      <w:r>
        <w:rPr>
          <w:rFonts w:ascii="Times New Roman" w:hAnsi="Times New Roman" w:cs="Times New Roman"/>
          <w:sz w:val="24"/>
          <w:szCs w:val="24"/>
        </w:rPr>
        <w:t xml:space="preserve">De comprobarse el argumento, deberíamos esperar </w:t>
      </w:r>
      <w:r w:rsidR="00CE5909">
        <w:rPr>
          <w:rFonts w:ascii="Times New Roman" w:hAnsi="Times New Roman" w:cs="Times New Roman"/>
          <w:sz w:val="24"/>
          <w:szCs w:val="24"/>
        </w:rPr>
        <w:t xml:space="preserve">estrategias diferenciadas, dependiendo del tiempo en el ciclo electoral en el que se encuentre. Es decir, a pesar de contar con los mismos actores, con las mismas funciones de utilidad, deberíamos esperar </w:t>
      </w:r>
      <w:r>
        <w:rPr>
          <w:rFonts w:ascii="Times New Roman" w:hAnsi="Times New Roman" w:cs="Times New Roman"/>
          <w:sz w:val="24"/>
          <w:szCs w:val="24"/>
        </w:rPr>
        <w:t xml:space="preserve">que cuando no sea año electoral, los gobiernos de Oaxaca, Chiapas y Guerrero destinen </w:t>
      </w:r>
      <w:r w:rsidR="009D3B93">
        <w:rPr>
          <w:rFonts w:ascii="Times New Roman" w:hAnsi="Times New Roman" w:cs="Times New Roman"/>
          <w:sz w:val="24"/>
          <w:szCs w:val="24"/>
        </w:rPr>
        <w:t>mayores recursos per cápita y/o proyectos a los municipios en los que cuenten con apoyo partidista claro (</w:t>
      </w:r>
      <w:proofErr w:type="spellStart"/>
      <w:r w:rsidR="009D3B93">
        <w:rPr>
          <w:rFonts w:ascii="Times New Roman" w:hAnsi="Times New Roman" w:cs="Times New Roman"/>
          <w:i/>
          <w:sz w:val="24"/>
          <w:szCs w:val="24"/>
        </w:rPr>
        <w:t>core</w:t>
      </w:r>
      <w:proofErr w:type="spellEnd"/>
      <w:r w:rsidR="009D3B93">
        <w:rPr>
          <w:rFonts w:ascii="Times New Roman" w:hAnsi="Times New Roman" w:cs="Times New Roman"/>
          <w:i/>
          <w:sz w:val="24"/>
          <w:szCs w:val="24"/>
        </w:rPr>
        <w:t xml:space="preserve"> </w:t>
      </w:r>
      <w:proofErr w:type="spellStart"/>
      <w:r w:rsidR="009D3B93">
        <w:rPr>
          <w:rFonts w:ascii="Times New Roman" w:hAnsi="Times New Roman" w:cs="Times New Roman"/>
          <w:i/>
          <w:sz w:val="24"/>
          <w:szCs w:val="24"/>
        </w:rPr>
        <w:t>voters</w:t>
      </w:r>
      <w:proofErr w:type="spellEnd"/>
      <w:r w:rsidR="009D3B93">
        <w:rPr>
          <w:rFonts w:ascii="Times New Roman" w:hAnsi="Times New Roman" w:cs="Times New Roman"/>
          <w:i/>
          <w:sz w:val="24"/>
          <w:szCs w:val="24"/>
        </w:rPr>
        <w:t>)</w:t>
      </w:r>
      <w:r w:rsidR="009D3B93">
        <w:rPr>
          <w:rFonts w:ascii="Times New Roman" w:hAnsi="Times New Roman" w:cs="Times New Roman"/>
          <w:sz w:val="24"/>
          <w:szCs w:val="24"/>
        </w:rPr>
        <w:t xml:space="preserve">. </w:t>
      </w:r>
      <w:r w:rsidR="00A548A7">
        <w:rPr>
          <w:rFonts w:ascii="Times New Roman" w:hAnsi="Times New Roman" w:cs="Times New Roman"/>
          <w:sz w:val="24"/>
          <w:szCs w:val="24"/>
        </w:rPr>
        <w:t xml:space="preserve">Sin embargo, al acercarse un año electoral en el que el gobernador se pueda ver beneficiado directamente (elecciones </w:t>
      </w:r>
      <w:r w:rsidR="00A548A7">
        <w:rPr>
          <w:rFonts w:ascii="Times New Roman" w:hAnsi="Times New Roman" w:cs="Times New Roman"/>
          <w:sz w:val="24"/>
          <w:szCs w:val="24"/>
        </w:rPr>
        <w:lastRenderedPageBreak/>
        <w:t>federales o estatales), la distribución de lo</w:t>
      </w:r>
      <w:r w:rsidR="00391F56">
        <w:rPr>
          <w:rFonts w:ascii="Times New Roman" w:hAnsi="Times New Roman" w:cs="Times New Roman"/>
          <w:sz w:val="24"/>
          <w:szCs w:val="24"/>
        </w:rPr>
        <w:t>s proyectos cambiará y se aproba</w:t>
      </w:r>
      <w:r w:rsidR="00A548A7">
        <w:rPr>
          <w:rFonts w:ascii="Times New Roman" w:hAnsi="Times New Roman" w:cs="Times New Roman"/>
          <w:sz w:val="24"/>
          <w:szCs w:val="24"/>
        </w:rPr>
        <w:t>rán nuevos proyectos y recursos a los municipios con mayor cantidad de indecisos.</w:t>
      </w:r>
    </w:p>
    <w:p w14:paraId="296965AC" w14:textId="70397AC8" w:rsidR="00A548A7" w:rsidRDefault="00A548A7" w:rsidP="001F1269">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La hipótesis alternativa </w:t>
      </w:r>
      <w:r w:rsidR="00754294">
        <w:rPr>
          <w:rFonts w:ascii="Times New Roman" w:hAnsi="Times New Roman" w:cs="Times New Roman"/>
          <w:sz w:val="24"/>
          <w:szCs w:val="24"/>
        </w:rPr>
        <w:t>se relaciona a su vez</w:t>
      </w:r>
      <w:r>
        <w:rPr>
          <w:rFonts w:ascii="Times New Roman" w:hAnsi="Times New Roman" w:cs="Times New Roman"/>
          <w:sz w:val="24"/>
          <w:szCs w:val="24"/>
        </w:rPr>
        <w:t xml:space="preserve"> con el argumento de poder de negociación. De comprobarse lo que dice la teoría expuesta por Hernández y Jarillo, lo que deberíamos observar es que la población, así como el poder económico del municipio</w:t>
      </w:r>
      <w:r w:rsidR="00754294">
        <w:rPr>
          <w:rFonts w:ascii="Times New Roman" w:hAnsi="Times New Roman" w:cs="Times New Roman"/>
          <w:sz w:val="24"/>
          <w:szCs w:val="24"/>
        </w:rPr>
        <w:t>,</w:t>
      </w:r>
      <w:r>
        <w:rPr>
          <w:rFonts w:ascii="Times New Roman" w:hAnsi="Times New Roman" w:cs="Times New Roman"/>
          <w:sz w:val="24"/>
          <w:szCs w:val="24"/>
        </w:rPr>
        <w:t xml:space="preserve"> deberían ser los predictores más exactos del g</w:t>
      </w:r>
      <w:r w:rsidR="00CE5909">
        <w:rPr>
          <w:rFonts w:ascii="Times New Roman" w:hAnsi="Times New Roman" w:cs="Times New Roman"/>
          <w:sz w:val="24"/>
          <w:szCs w:val="24"/>
        </w:rPr>
        <w:t xml:space="preserve">asto con recursos del </w:t>
      </w:r>
      <w:proofErr w:type="spellStart"/>
      <w:r w:rsidR="00CE5909">
        <w:rPr>
          <w:rFonts w:ascii="Times New Roman" w:hAnsi="Times New Roman" w:cs="Times New Roman"/>
          <w:sz w:val="24"/>
          <w:szCs w:val="24"/>
        </w:rPr>
        <w:t>Fonregión</w:t>
      </w:r>
      <w:proofErr w:type="spellEnd"/>
      <w:r w:rsidR="00CE5909">
        <w:rPr>
          <w:rFonts w:ascii="Times New Roman" w:hAnsi="Times New Roman" w:cs="Times New Roman"/>
          <w:sz w:val="24"/>
          <w:szCs w:val="24"/>
        </w:rPr>
        <w:t>, aunque no necesariamente la asignación sea inelástica al ciclo electoral. Debe tomarse como hipótesis alternativa, dado que</w:t>
      </w:r>
      <w:r>
        <w:rPr>
          <w:rFonts w:ascii="Times New Roman" w:hAnsi="Times New Roman" w:cs="Times New Roman"/>
          <w:sz w:val="24"/>
          <w:szCs w:val="24"/>
        </w:rPr>
        <w:t xml:space="preserve"> </w:t>
      </w:r>
      <w:r w:rsidR="001329CA">
        <w:rPr>
          <w:rFonts w:ascii="Times New Roman" w:hAnsi="Times New Roman" w:cs="Times New Roman"/>
          <w:sz w:val="24"/>
          <w:szCs w:val="24"/>
        </w:rPr>
        <w:t xml:space="preserve">al contar con recursos escasos, los gobernadores deberán decidir sus prioridades de gasto, por lo que resulta muy difícil que puedan llevar a cabo una estrategia consistente de </w:t>
      </w:r>
      <w:proofErr w:type="spellStart"/>
      <w:r w:rsidR="001329CA">
        <w:rPr>
          <w:rFonts w:ascii="Times New Roman" w:hAnsi="Times New Roman" w:cs="Times New Roman"/>
          <w:i/>
          <w:sz w:val="24"/>
          <w:szCs w:val="24"/>
        </w:rPr>
        <w:t>core</w:t>
      </w:r>
      <w:proofErr w:type="spellEnd"/>
      <w:r w:rsidR="001329CA">
        <w:rPr>
          <w:rFonts w:ascii="Times New Roman" w:hAnsi="Times New Roman" w:cs="Times New Roman"/>
          <w:i/>
          <w:sz w:val="24"/>
          <w:szCs w:val="24"/>
        </w:rPr>
        <w:t xml:space="preserve">/swing </w:t>
      </w:r>
      <w:proofErr w:type="spellStart"/>
      <w:r w:rsidR="001329CA">
        <w:rPr>
          <w:rFonts w:ascii="Times New Roman" w:hAnsi="Times New Roman" w:cs="Times New Roman"/>
          <w:i/>
          <w:sz w:val="24"/>
          <w:szCs w:val="24"/>
        </w:rPr>
        <w:t>voters</w:t>
      </w:r>
      <w:proofErr w:type="spellEnd"/>
      <w:r w:rsidR="001329CA">
        <w:rPr>
          <w:rFonts w:ascii="Times New Roman" w:hAnsi="Times New Roman" w:cs="Times New Roman"/>
          <w:sz w:val="24"/>
          <w:szCs w:val="24"/>
        </w:rPr>
        <w:t xml:space="preserve">, así como distribución de recursos para mitigar las presiones de los municipios más poderosos, en especial de la cabecera. </w:t>
      </w:r>
    </w:p>
    <w:p w14:paraId="42F17E40" w14:textId="77777777" w:rsidR="00243294" w:rsidRPr="00A548A7" w:rsidRDefault="00243294" w:rsidP="001F1269">
      <w:pPr>
        <w:spacing w:line="480" w:lineRule="auto"/>
        <w:jc w:val="both"/>
        <w:rPr>
          <w:rFonts w:ascii="Times New Roman" w:hAnsi="Times New Roman" w:cs="Times New Roman"/>
          <w:i/>
          <w:sz w:val="24"/>
          <w:szCs w:val="24"/>
        </w:rPr>
      </w:pPr>
    </w:p>
    <w:p w14:paraId="4B6E3C0B" w14:textId="77777777" w:rsidR="00AC10A8" w:rsidRPr="00AC6F8A" w:rsidRDefault="00A12CB1" w:rsidP="00610F80">
      <w:pPr>
        <w:pStyle w:val="Prrafodelista"/>
        <w:numPr>
          <w:ilvl w:val="0"/>
          <w:numId w:val="1"/>
        </w:numPr>
        <w:spacing w:after="0" w:line="480" w:lineRule="auto"/>
        <w:jc w:val="both"/>
        <w:outlineLvl w:val="0"/>
        <w:rPr>
          <w:rFonts w:ascii="Times New Roman" w:eastAsia="Times New Roman" w:hAnsi="Times New Roman" w:cs="Times New Roman"/>
          <w:i/>
          <w:sz w:val="24"/>
          <w:szCs w:val="24"/>
          <w:u w:val="single"/>
        </w:rPr>
      </w:pPr>
      <w:r w:rsidRPr="00AC6F8A">
        <w:rPr>
          <w:rFonts w:ascii="Times New Roman" w:eastAsia="Times New Roman" w:hAnsi="Times New Roman" w:cs="Times New Roman"/>
          <w:i/>
          <w:sz w:val="24"/>
          <w:szCs w:val="24"/>
          <w:u w:val="single"/>
        </w:rPr>
        <w:t xml:space="preserve"> </w:t>
      </w:r>
      <w:bookmarkStart w:id="6" w:name="_Toc382321802"/>
      <w:r w:rsidRPr="00AC6F8A">
        <w:rPr>
          <w:rFonts w:ascii="Times New Roman" w:eastAsia="Times New Roman" w:hAnsi="Times New Roman" w:cs="Times New Roman"/>
          <w:i/>
          <w:sz w:val="24"/>
          <w:szCs w:val="24"/>
          <w:u w:val="single"/>
        </w:rPr>
        <w:t>Metodología</w:t>
      </w:r>
      <w:bookmarkEnd w:id="6"/>
    </w:p>
    <w:p w14:paraId="5F02538D" w14:textId="77777777" w:rsidR="00A018D9" w:rsidRDefault="006979C2" w:rsidP="00064F0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Para </w:t>
      </w:r>
      <w:r w:rsidR="00AD5B11">
        <w:rPr>
          <w:rFonts w:ascii="Times New Roman" w:hAnsi="Times New Roman" w:cs="Times New Roman"/>
          <w:sz w:val="24"/>
          <w:szCs w:val="24"/>
        </w:rPr>
        <w:t>poner a prueba</w:t>
      </w:r>
      <w:r>
        <w:rPr>
          <w:rFonts w:ascii="Times New Roman" w:hAnsi="Times New Roman" w:cs="Times New Roman"/>
          <w:sz w:val="24"/>
          <w:szCs w:val="24"/>
        </w:rPr>
        <w:t xml:space="preserve"> las hipótesis y argumento expuestos en esta tesina, </w:t>
      </w:r>
      <w:r w:rsidR="00B01908" w:rsidRPr="002A1E0D">
        <w:rPr>
          <w:rFonts w:ascii="Times New Roman" w:hAnsi="Times New Roman" w:cs="Times New Roman"/>
          <w:sz w:val="24"/>
          <w:szCs w:val="24"/>
        </w:rPr>
        <w:t>llevaré a cabo</w:t>
      </w:r>
      <w:r>
        <w:rPr>
          <w:rFonts w:ascii="Times New Roman" w:hAnsi="Times New Roman" w:cs="Times New Roman"/>
          <w:sz w:val="24"/>
          <w:szCs w:val="24"/>
        </w:rPr>
        <w:t xml:space="preserve"> </w:t>
      </w:r>
      <w:r w:rsidR="00EE13C9">
        <w:rPr>
          <w:rFonts w:ascii="Times New Roman" w:hAnsi="Times New Roman" w:cs="Times New Roman"/>
          <w:sz w:val="24"/>
          <w:szCs w:val="24"/>
        </w:rPr>
        <w:t>un modelo estadístico</w:t>
      </w:r>
      <w:r>
        <w:rPr>
          <w:rFonts w:ascii="Times New Roman" w:hAnsi="Times New Roman" w:cs="Times New Roman"/>
          <w:sz w:val="24"/>
          <w:szCs w:val="24"/>
        </w:rPr>
        <w:t xml:space="preserve"> que</w:t>
      </w:r>
      <w:r w:rsidR="00EE13C9">
        <w:rPr>
          <w:rFonts w:ascii="Times New Roman" w:hAnsi="Times New Roman" w:cs="Times New Roman"/>
          <w:sz w:val="24"/>
          <w:szCs w:val="24"/>
        </w:rPr>
        <w:t xml:space="preserve"> incluya las variables de los dos tipos de hipótesis (tres, considerando que la primera hipótesis se compone de dos partes)</w:t>
      </w:r>
      <w:r w:rsidR="00A018D9">
        <w:rPr>
          <w:rFonts w:ascii="Times New Roman" w:hAnsi="Times New Roman" w:cs="Times New Roman"/>
          <w:sz w:val="24"/>
          <w:szCs w:val="24"/>
        </w:rPr>
        <w:t>. La base de datos con la que trabajaré fue de construcción propia e incluye 4</w:t>
      </w:r>
      <w:r w:rsidR="00D65867">
        <w:rPr>
          <w:rFonts w:ascii="Times New Roman" w:hAnsi="Times New Roman" w:cs="Times New Roman"/>
          <w:sz w:val="24"/>
          <w:szCs w:val="24"/>
        </w:rPr>
        <w:t>614</w:t>
      </w:r>
      <w:r w:rsidR="00A018D9">
        <w:rPr>
          <w:rFonts w:ascii="Times New Roman" w:hAnsi="Times New Roman" w:cs="Times New Roman"/>
          <w:sz w:val="24"/>
          <w:szCs w:val="24"/>
        </w:rPr>
        <w:t xml:space="preserve"> observaciones.</w:t>
      </w:r>
      <w:r w:rsidR="00AD5B11">
        <w:rPr>
          <w:rFonts w:ascii="Times New Roman" w:hAnsi="Times New Roman" w:cs="Times New Roman"/>
          <w:sz w:val="24"/>
          <w:szCs w:val="24"/>
        </w:rPr>
        <w:t xml:space="preserve"> </w:t>
      </w:r>
      <w:r w:rsidR="00A018D9">
        <w:rPr>
          <w:rFonts w:ascii="Times New Roman" w:hAnsi="Times New Roman" w:cs="Times New Roman"/>
          <w:sz w:val="24"/>
          <w:szCs w:val="24"/>
        </w:rPr>
        <w:t xml:space="preserve">En ella </w:t>
      </w:r>
      <w:r w:rsidR="00D65867">
        <w:rPr>
          <w:rFonts w:ascii="Times New Roman" w:hAnsi="Times New Roman" w:cs="Times New Roman"/>
          <w:sz w:val="24"/>
          <w:szCs w:val="24"/>
        </w:rPr>
        <w:t xml:space="preserve">incluí todos los municipios de Guerrero, Oaxaca y Chiapas para cada año desde la creación del </w:t>
      </w:r>
      <w:proofErr w:type="spellStart"/>
      <w:r w:rsidR="00D65867">
        <w:rPr>
          <w:rFonts w:ascii="Times New Roman" w:hAnsi="Times New Roman" w:cs="Times New Roman"/>
          <w:sz w:val="24"/>
          <w:szCs w:val="24"/>
        </w:rPr>
        <w:t>Fonregión</w:t>
      </w:r>
      <w:proofErr w:type="spellEnd"/>
      <w:r w:rsidR="00D65867">
        <w:rPr>
          <w:rFonts w:ascii="Times New Roman" w:hAnsi="Times New Roman" w:cs="Times New Roman"/>
          <w:sz w:val="24"/>
          <w:szCs w:val="24"/>
        </w:rPr>
        <w:t>. Es decir, por cada uno de los 769 municipios hay 6 observaciones (de 2007 a 2012), dado que la cartera de proyectos de 2013</w:t>
      </w:r>
      <w:r w:rsidR="00504A43">
        <w:rPr>
          <w:rFonts w:ascii="Times New Roman" w:hAnsi="Times New Roman" w:cs="Times New Roman"/>
          <w:sz w:val="24"/>
          <w:szCs w:val="24"/>
        </w:rPr>
        <w:t xml:space="preserve"> no había sido presentada</w:t>
      </w:r>
      <w:r w:rsidR="00D65867">
        <w:rPr>
          <w:rFonts w:ascii="Times New Roman" w:hAnsi="Times New Roman" w:cs="Times New Roman"/>
          <w:sz w:val="24"/>
          <w:szCs w:val="24"/>
        </w:rPr>
        <w:t xml:space="preserve"> a la fecha en que escribí esta tesina</w:t>
      </w:r>
      <w:r w:rsidR="00504A43">
        <w:rPr>
          <w:rFonts w:ascii="Times New Roman" w:hAnsi="Times New Roman" w:cs="Times New Roman"/>
          <w:sz w:val="24"/>
          <w:szCs w:val="24"/>
        </w:rPr>
        <w:t>.</w:t>
      </w:r>
      <w:r w:rsidR="009E2455">
        <w:rPr>
          <w:rFonts w:ascii="Times New Roman" w:hAnsi="Times New Roman" w:cs="Times New Roman"/>
          <w:sz w:val="24"/>
          <w:szCs w:val="24"/>
        </w:rPr>
        <w:t xml:space="preserve"> </w:t>
      </w:r>
    </w:p>
    <w:p w14:paraId="774C3517" w14:textId="31AFBF6A" w:rsidR="00FE28B6" w:rsidRDefault="00FE28B6" w:rsidP="00FE28B6">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Antes de empezar a describir el modelo conviene hacer una aclaración</w:t>
      </w:r>
      <w:r w:rsidRPr="00784C8E">
        <w:rPr>
          <w:rFonts w:ascii="Times New Roman" w:hAnsi="Times New Roman" w:cs="Times New Roman"/>
          <w:sz w:val="24"/>
          <w:szCs w:val="24"/>
        </w:rPr>
        <w:t>. Una</w:t>
      </w:r>
      <w:r w:rsidRPr="00C616D4">
        <w:rPr>
          <w:rFonts w:ascii="Times New Roman" w:hAnsi="Times New Roman" w:cs="Times New Roman"/>
          <w:sz w:val="24"/>
          <w:szCs w:val="24"/>
        </w:rPr>
        <w:t xml:space="preserve"> de las aportaciones de esta tesina tiene que ver con el modo de medir la variable dependiente. Generalmente la variable que se utiliza</w:t>
      </w:r>
      <w:r>
        <w:rPr>
          <w:rFonts w:ascii="Times New Roman" w:hAnsi="Times New Roman" w:cs="Times New Roman"/>
          <w:sz w:val="24"/>
          <w:szCs w:val="24"/>
        </w:rPr>
        <w:t xml:space="preserve"> en los modelos de política distributiva</w:t>
      </w:r>
      <w:r w:rsidRPr="00C616D4">
        <w:rPr>
          <w:rFonts w:ascii="Times New Roman" w:hAnsi="Times New Roman" w:cs="Times New Roman"/>
          <w:sz w:val="24"/>
          <w:szCs w:val="24"/>
        </w:rPr>
        <w:t xml:space="preserve"> es la cantidad de recursos per cápita, pues permite controlar por población</w:t>
      </w:r>
      <w:r w:rsidR="00B71AF7">
        <w:rPr>
          <w:rFonts w:ascii="Times New Roman" w:hAnsi="Times New Roman" w:cs="Times New Roman"/>
          <w:sz w:val="24"/>
          <w:szCs w:val="24"/>
        </w:rPr>
        <w:t xml:space="preserve"> y hacer más comparables las observaciones</w:t>
      </w:r>
      <w:r w:rsidRPr="00C616D4">
        <w:rPr>
          <w:rFonts w:ascii="Times New Roman" w:hAnsi="Times New Roman" w:cs="Times New Roman"/>
          <w:sz w:val="24"/>
          <w:szCs w:val="24"/>
        </w:rPr>
        <w:t>. Sin embargo, esto no</w:t>
      </w:r>
      <w:r w:rsidR="001F31DE">
        <w:rPr>
          <w:rFonts w:ascii="Times New Roman" w:hAnsi="Times New Roman" w:cs="Times New Roman"/>
          <w:sz w:val="24"/>
          <w:szCs w:val="24"/>
        </w:rPr>
        <w:t xml:space="preserve"> es suficiente para dar cuenta sobre la existencia de</w:t>
      </w:r>
      <w:r w:rsidRPr="00C616D4">
        <w:rPr>
          <w:rFonts w:ascii="Times New Roman" w:hAnsi="Times New Roman" w:cs="Times New Roman"/>
          <w:sz w:val="24"/>
          <w:szCs w:val="24"/>
        </w:rPr>
        <w:t xml:space="preserve"> distintos mecanismos en la distribución del gasto federalizado para maximizar el impacto electoral.</w:t>
      </w:r>
      <w:r w:rsidR="009E2455">
        <w:rPr>
          <w:rFonts w:ascii="Times New Roman" w:hAnsi="Times New Roman" w:cs="Times New Roman"/>
          <w:sz w:val="24"/>
          <w:szCs w:val="24"/>
        </w:rPr>
        <w:t xml:space="preserve"> </w:t>
      </w:r>
      <w:r>
        <w:rPr>
          <w:rFonts w:ascii="Times New Roman" w:hAnsi="Times New Roman" w:cs="Times New Roman"/>
          <w:sz w:val="24"/>
          <w:szCs w:val="24"/>
        </w:rPr>
        <w:t>Por ello, en esta tesina mediré la variable dependiente, no sólo como recursos per cápita aprobados por municipio, sino también como el número de proyectos</w:t>
      </w:r>
      <w:r w:rsidR="001F31DE">
        <w:rPr>
          <w:rFonts w:ascii="Times New Roman" w:hAnsi="Times New Roman" w:cs="Times New Roman"/>
          <w:sz w:val="24"/>
          <w:szCs w:val="24"/>
        </w:rPr>
        <w:t xml:space="preserve"> asignados</w:t>
      </w:r>
      <w:r>
        <w:rPr>
          <w:rFonts w:ascii="Times New Roman" w:hAnsi="Times New Roman" w:cs="Times New Roman"/>
          <w:sz w:val="24"/>
          <w:szCs w:val="24"/>
        </w:rPr>
        <w:t xml:space="preserve"> por municipio. Esto atiende a que, de esta manera, podremos diferenciar qué es más rentable para los gobernantes: </w:t>
      </w:r>
      <w:r w:rsidR="0003030F">
        <w:rPr>
          <w:rFonts w:ascii="Times New Roman" w:hAnsi="Times New Roman" w:cs="Times New Roman"/>
          <w:sz w:val="24"/>
          <w:szCs w:val="24"/>
        </w:rPr>
        <w:t>financiar un mayor número de proyectos, aun</w:t>
      </w:r>
      <w:r w:rsidR="00B71AF7">
        <w:rPr>
          <w:rFonts w:ascii="Times New Roman" w:hAnsi="Times New Roman" w:cs="Times New Roman"/>
          <w:sz w:val="24"/>
          <w:szCs w:val="24"/>
        </w:rPr>
        <w:t>que sean de baja magnitud,</w:t>
      </w:r>
      <w:r w:rsidR="0096687D">
        <w:rPr>
          <w:rFonts w:ascii="Times New Roman" w:hAnsi="Times New Roman" w:cs="Times New Roman"/>
          <w:sz w:val="24"/>
          <w:szCs w:val="24"/>
        </w:rPr>
        <w:t xml:space="preserve"> </w:t>
      </w:r>
      <w:r>
        <w:rPr>
          <w:rFonts w:ascii="Times New Roman" w:hAnsi="Times New Roman" w:cs="Times New Roman"/>
          <w:sz w:val="24"/>
          <w:szCs w:val="24"/>
        </w:rPr>
        <w:t>o llevar obras de gran visibilidad y en la</w:t>
      </w:r>
      <w:r w:rsidR="00B71AF7">
        <w:rPr>
          <w:rFonts w:ascii="Times New Roman" w:hAnsi="Times New Roman" w:cs="Times New Roman"/>
          <w:sz w:val="24"/>
          <w:szCs w:val="24"/>
        </w:rPr>
        <w:t>s que se invierte mucho, aunque</w:t>
      </w:r>
      <w:r>
        <w:rPr>
          <w:rFonts w:ascii="Times New Roman" w:hAnsi="Times New Roman" w:cs="Times New Roman"/>
          <w:sz w:val="24"/>
          <w:szCs w:val="24"/>
        </w:rPr>
        <w:t xml:space="preserve"> por lo mismo sean escasas.</w:t>
      </w:r>
      <w:r w:rsidR="0096687D">
        <w:rPr>
          <w:rFonts w:ascii="Times New Roman" w:hAnsi="Times New Roman" w:cs="Times New Roman"/>
          <w:sz w:val="24"/>
          <w:szCs w:val="24"/>
        </w:rPr>
        <w:t xml:space="preserve"> </w:t>
      </w:r>
      <w:r w:rsidR="005929DC">
        <w:rPr>
          <w:rFonts w:ascii="Times New Roman" w:hAnsi="Times New Roman" w:cs="Times New Roman"/>
          <w:sz w:val="24"/>
          <w:szCs w:val="24"/>
        </w:rPr>
        <w:t>Si bien pudiera pensarse que las obras más visibles, al generar mayor impacto en la población, serían lo más rentable electoralmente, también es cierto que al invertir en un mayor número de proyectos se puede llegar a un mayor número de electores, siempre y cuando dichas acciones se acompañen de una estrategia publicitaria adecuada.</w:t>
      </w:r>
      <w:r w:rsidR="00B71AF7">
        <w:rPr>
          <w:rFonts w:ascii="Times New Roman" w:hAnsi="Times New Roman" w:cs="Times New Roman"/>
          <w:sz w:val="24"/>
          <w:szCs w:val="24"/>
        </w:rPr>
        <w:t xml:space="preserve"> Por tanto, resulta fundamental trazar dicha distinción para conocer qué efecto prevalece y cuál es la lógica electoral detrás de las asignaciones.</w:t>
      </w:r>
    </w:p>
    <w:p w14:paraId="419DB0A3" w14:textId="26852A26" w:rsidR="00F97C59" w:rsidRDefault="00FE28B6" w:rsidP="00064F02">
      <w:pPr>
        <w:spacing w:line="480" w:lineRule="auto"/>
        <w:jc w:val="both"/>
        <w:rPr>
          <w:rFonts w:ascii="Times New Roman" w:hAnsi="Times New Roman" w:cs="Times New Roman"/>
          <w:sz w:val="24"/>
          <w:szCs w:val="24"/>
        </w:rPr>
      </w:pPr>
      <w:r>
        <w:rPr>
          <w:rFonts w:ascii="Times New Roman" w:hAnsi="Times New Roman" w:cs="Times New Roman"/>
          <w:sz w:val="24"/>
          <w:szCs w:val="24"/>
        </w:rPr>
        <w:tab/>
        <w:t>Ahora bien, el método que utilizo para poner a prueba las hipótesis de esta tesina es un modelo estadístico de tipo multinivel.</w:t>
      </w:r>
      <w:r w:rsidR="0043024C">
        <w:rPr>
          <w:rFonts w:ascii="Times New Roman" w:hAnsi="Times New Roman" w:cs="Times New Roman"/>
          <w:sz w:val="24"/>
          <w:szCs w:val="24"/>
        </w:rPr>
        <w:t xml:space="preserve"> </w:t>
      </w:r>
      <w:r>
        <w:rPr>
          <w:rFonts w:ascii="Times New Roman" w:hAnsi="Times New Roman" w:cs="Times New Roman"/>
          <w:sz w:val="24"/>
          <w:szCs w:val="24"/>
        </w:rPr>
        <w:t xml:space="preserve">Este tipo de modelos </w:t>
      </w:r>
      <w:r w:rsidR="001F31DE">
        <w:rPr>
          <w:rFonts w:ascii="Times New Roman" w:hAnsi="Times New Roman" w:cs="Times New Roman"/>
          <w:sz w:val="24"/>
          <w:szCs w:val="24"/>
        </w:rPr>
        <w:t xml:space="preserve">permite contar con un arreglo jerárquico que no solamente explique la variación entre individuos, sino también entre los grupos a los que pertenece cada individuo. </w:t>
      </w:r>
      <w:r w:rsidR="00F97C59">
        <w:rPr>
          <w:rFonts w:ascii="Times New Roman" w:hAnsi="Times New Roman" w:cs="Times New Roman"/>
          <w:sz w:val="24"/>
          <w:szCs w:val="24"/>
        </w:rPr>
        <w:t xml:space="preserve">Es decir, los modelos multinivel permiten identificar distintos impactos de las variables, dependiendo </w:t>
      </w:r>
      <w:r w:rsidR="00116DCA">
        <w:rPr>
          <w:rFonts w:ascii="Times New Roman" w:hAnsi="Times New Roman" w:cs="Times New Roman"/>
          <w:sz w:val="24"/>
          <w:szCs w:val="24"/>
        </w:rPr>
        <w:t>d</w:t>
      </w:r>
      <w:r w:rsidR="00F97C59">
        <w:rPr>
          <w:rFonts w:ascii="Times New Roman" w:hAnsi="Times New Roman" w:cs="Times New Roman"/>
          <w:sz w:val="24"/>
          <w:szCs w:val="24"/>
        </w:rPr>
        <w:t xml:space="preserve">el grupo al que pertenezca la observación correspondiente. </w:t>
      </w:r>
      <w:r w:rsidR="00915C3E">
        <w:rPr>
          <w:rFonts w:ascii="Times New Roman" w:hAnsi="Times New Roman" w:cs="Times New Roman"/>
          <w:sz w:val="24"/>
          <w:szCs w:val="24"/>
        </w:rPr>
        <w:t xml:space="preserve">Al tomar en cuenta </w:t>
      </w:r>
      <w:r w:rsidR="002A1E0D">
        <w:rPr>
          <w:rFonts w:ascii="Times New Roman" w:hAnsi="Times New Roman" w:cs="Times New Roman"/>
          <w:sz w:val="24"/>
          <w:szCs w:val="24"/>
        </w:rPr>
        <w:t xml:space="preserve">las agrupaciones que existen </w:t>
      </w:r>
      <w:r w:rsidR="002A1E0D">
        <w:rPr>
          <w:rFonts w:ascii="Times New Roman" w:hAnsi="Times New Roman" w:cs="Times New Roman"/>
          <w:sz w:val="24"/>
          <w:szCs w:val="24"/>
        </w:rPr>
        <w:lastRenderedPageBreak/>
        <w:t>empíricamente</w:t>
      </w:r>
      <w:r w:rsidR="00B01908" w:rsidRPr="002A1E0D">
        <w:rPr>
          <w:rFonts w:ascii="Times New Roman" w:hAnsi="Times New Roman" w:cs="Times New Roman"/>
          <w:sz w:val="24"/>
          <w:szCs w:val="24"/>
        </w:rPr>
        <w:t xml:space="preserve"> para el caso de la presente</w:t>
      </w:r>
      <w:r w:rsidR="00915C3E">
        <w:rPr>
          <w:rFonts w:ascii="Times New Roman" w:hAnsi="Times New Roman" w:cs="Times New Roman"/>
          <w:sz w:val="24"/>
          <w:szCs w:val="24"/>
        </w:rPr>
        <w:t xml:space="preserve"> tesina</w:t>
      </w:r>
      <w:r w:rsidR="001F31DE">
        <w:rPr>
          <w:rFonts w:ascii="Times New Roman" w:hAnsi="Times New Roman" w:cs="Times New Roman"/>
          <w:sz w:val="24"/>
          <w:szCs w:val="24"/>
        </w:rPr>
        <w:t>,</w:t>
      </w:r>
      <w:r w:rsidR="00915C3E">
        <w:rPr>
          <w:rFonts w:ascii="Times New Roman" w:hAnsi="Times New Roman" w:cs="Times New Roman"/>
          <w:sz w:val="24"/>
          <w:szCs w:val="24"/>
        </w:rPr>
        <w:t xml:space="preserve"> es posible tener una representación más cercana a la estructura de los datos y generar inferencias más precisas a que si utilizáramos un modelo de regresión lineal simple</w:t>
      </w:r>
      <w:r w:rsidR="001F31DE">
        <w:rPr>
          <w:rFonts w:ascii="Times New Roman" w:hAnsi="Times New Roman" w:cs="Times New Roman"/>
          <w:sz w:val="24"/>
          <w:szCs w:val="24"/>
        </w:rPr>
        <w:t xml:space="preserve"> o algún otro modelo estadístico</w:t>
      </w:r>
      <w:r w:rsidR="00915C3E">
        <w:rPr>
          <w:rFonts w:ascii="Times New Roman" w:hAnsi="Times New Roman" w:cs="Times New Roman"/>
          <w:sz w:val="24"/>
          <w:szCs w:val="24"/>
        </w:rPr>
        <w:t>.</w:t>
      </w:r>
    </w:p>
    <w:p w14:paraId="4893B9C3" w14:textId="7A76A443" w:rsidR="002A1E0D" w:rsidRDefault="00FE28B6" w:rsidP="00F97C59">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En el caso de</w:t>
      </w:r>
      <w:r w:rsidR="00F97C59">
        <w:rPr>
          <w:rFonts w:ascii="Times New Roman" w:hAnsi="Times New Roman" w:cs="Times New Roman"/>
          <w:sz w:val="24"/>
          <w:szCs w:val="24"/>
        </w:rPr>
        <w:t xml:space="preserve">l modelo que aquí se presenta </w:t>
      </w:r>
      <w:r>
        <w:rPr>
          <w:rFonts w:ascii="Times New Roman" w:hAnsi="Times New Roman" w:cs="Times New Roman"/>
          <w:sz w:val="24"/>
          <w:szCs w:val="24"/>
        </w:rPr>
        <w:t xml:space="preserve">existen tres niveles de agregación. El nivel 1 (individual) está compuesto por las observaciones de los municipios en cada año, es decir </w:t>
      </w:r>
      <w:r w:rsidR="00960858">
        <w:rPr>
          <w:rFonts w:ascii="Times New Roman" w:hAnsi="Times New Roman" w:cs="Times New Roman"/>
          <w:sz w:val="24"/>
          <w:szCs w:val="24"/>
        </w:rPr>
        <w:t>lo que captura son las diferencias del municipio i, en el tiempo t (</w:t>
      </w:r>
      <w:proofErr w:type="spellStart"/>
      <w:r w:rsidR="00960858">
        <w:rPr>
          <w:rFonts w:ascii="Times New Roman" w:hAnsi="Times New Roman" w:cs="Times New Roman"/>
          <w:sz w:val="24"/>
          <w:szCs w:val="24"/>
        </w:rPr>
        <w:t>i</w:t>
      </w:r>
      <w:r w:rsidR="00960858">
        <w:rPr>
          <w:rFonts w:ascii="Times New Roman" w:hAnsi="Times New Roman" w:cs="Times New Roman"/>
          <w:sz w:val="24"/>
          <w:szCs w:val="24"/>
          <w:vertAlign w:val="subscript"/>
        </w:rPr>
        <w:t>t</w:t>
      </w:r>
      <w:proofErr w:type="spellEnd"/>
      <w:r w:rsidR="00960858">
        <w:rPr>
          <w:rFonts w:ascii="Times New Roman" w:hAnsi="Times New Roman" w:cs="Times New Roman"/>
          <w:sz w:val="24"/>
          <w:szCs w:val="24"/>
        </w:rPr>
        <w:t xml:space="preserve">) con las del </w:t>
      </w:r>
      <w:r w:rsidR="00313567">
        <w:rPr>
          <w:rFonts w:ascii="Times New Roman" w:hAnsi="Times New Roman" w:cs="Times New Roman"/>
          <w:sz w:val="24"/>
          <w:szCs w:val="24"/>
        </w:rPr>
        <w:t xml:space="preserve">mismo </w:t>
      </w:r>
      <w:r w:rsidR="00960858">
        <w:rPr>
          <w:rFonts w:ascii="Times New Roman" w:hAnsi="Times New Roman" w:cs="Times New Roman"/>
          <w:sz w:val="24"/>
          <w:szCs w:val="24"/>
        </w:rPr>
        <w:t>municipio i en el tiempo t2 (i</w:t>
      </w:r>
      <w:r w:rsidR="00960858">
        <w:rPr>
          <w:rFonts w:ascii="Times New Roman" w:hAnsi="Times New Roman" w:cs="Times New Roman"/>
          <w:sz w:val="24"/>
          <w:szCs w:val="24"/>
          <w:vertAlign w:val="subscript"/>
        </w:rPr>
        <w:t>t2</w:t>
      </w:r>
      <w:r w:rsidR="00960858">
        <w:rPr>
          <w:rFonts w:ascii="Times New Roman" w:hAnsi="Times New Roman" w:cs="Times New Roman"/>
          <w:sz w:val="24"/>
          <w:szCs w:val="24"/>
        </w:rPr>
        <w:t>)</w:t>
      </w:r>
      <w:r w:rsidR="00960858" w:rsidRPr="00915C3E">
        <w:rPr>
          <w:rFonts w:ascii="Times New Roman" w:hAnsi="Times New Roman" w:cs="Times New Roman"/>
          <w:sz w:val="24"/>
          <w:szCs w:val="24"/>
        </w:rPr>
        <w:t xml:space="preserve">. </w:t>
      </w:r>
      <w:r w:rsidR="00915C3E" w:rsidRPr="00915C3E">
        <w:rPr>
          <w:rFonts w:ascii="Times New Roman" w:hAnsi="Times New Roman" w:cs="Times New Roman"/>
          <w:sz w:val="24"/>
          <w:szCs w:val="24"/>
        </w:rPr>
        <w:t xml:space="preserve">En otras palabras, </w:t>
      </w:r>
      <w:r w:rsidR="00915C3E">
        <w:rPr>
          <w:rFonts w:ascii="Times New Roman" w:hAnsi="Times New Roman" w:cs="Times New Roman"/>
          <w:sz w:val="24"/>
          <w:szCs w:val="24"/>
        </w:rPr>
        <w:t>se lleva a cabo un an</w:t>
      </w:r>
      <w:r w:rsidR="004E79FE">
        <w:rPr>
          <w:rFonts w:ascii="Times New Roman" w:hAnsi="Times New Roman" w:cs="Times New Roman"/>
          <w:sz w:val="24"/>
          <w:szCs w:val="24"/>
        </w:rPr>
        <w:t xml:space="preserve">álisis de la evolución </w:t>
      </w:r>
      <w:r w:rsidR="00116DCA">
        <w:rPr>
          <w:rFonts w:ascii="Times New Roman" w:hAnsi="Times New Roman" w:cs="Times New Roman"/>
          <w:sz w:val="24"/>
          <w:szCs w:val="24"/>
        </w:rPr>
        <w:t>para una misma observación</w:t>
      </w:r>
      <w:r w:rsidR="002A1E0D">
        <w:rPr>
          <w:rFonts w:ascii="Times New Roman" w:hAnsi="Times New Roman" w:cs="Times New Roman"/>
          <w:sz w:val="24"/>
          <w:szCs w:val="24"/>
        </w:rPr>
        <w:t xml:space="preserve">, </w:t>
      </w:r>
      <w:r w:rsidR="004E79FE">
        <w:rPr>
          <w:rFonts w:ascii="Times New Roman" w:hAnsi="Times New Roman" w:cs="Times New Roman"/>
          <w:sz w:val="24"/>
          <w:szCs w:val="24"/>
        </w:rPr>
        <w:t>por</w:t>
      </w:r>
      <w:r w:rsidR="00116DCA">
        <w:rPr>
          <w:rFonts w:ascii="Times New Roman" w:hAnsi="Times New Roman" w:cs="Times New Roman"/>
          <w:sz w:val="24"/>
          <w:szCs w:val="24"/>
        </w:rPr>
        <w:t xml:space="preserve"> lo que </w:t>
      </w:r>
      <w:r w:rsidR="002A1E0D">
        <w:rPr>
          <w:rFonts w:ascii="Times New Roman" w:hAnsi="Times New Roman" w:cs="Times New Roman"/>
          <w:sz w:val="24"/>
          <w:szCs w:val="24"/>
        </w:rPr>
        <w:t>se revisará</w:t>
      </w:r>
      <w:r w:rsidR="004E79FE">
        <w:rPr>
          <w:rFonts w:ascii="Times New Roman" w:hAnsi="Times New Roman" w:cs="Times New Roman"/>
          <w:sz w:val="24"/>
          <w:szCs w:val="24"/>
        </w:rPr>
        <w:t xml:space="preserve"> </w:t>
      </w:r>
      <w:r w:rsidR="002A1E0D">
        <w:rPr>
          <w:rFonts w:ascii="Times New Roman" w:hAnsi="Times New Roman" w:cs="Times New Roman"/>
          <w:sz w:val="24"/>
          <w:szCs w:val="24"/>
        </w:rPr>
        <w:t>el número de proyectos o recursos para un mismo municipio</w:t>
      </w:r>
      <w:r w:rsidR="004E79FE">
        <w:rPr>
          <w:rFonts w:ascii="Times New Roman" w:hAnsi="Times New Roman" w:cs="Times New Roman"/>
          <w:sz w:val="24"/>
          <w:szCs w:val="24"/>
        </w:rPr>
        <w:t>, a lo largo del tiempo</w:t>
      </w:r>
      <w:r w:rsidR="002A1E0D">
        <w:rPr>
          <w:rFonts w:ascii="Times New Roman" w:hAnsi="Times New Roman" w:cs="Times New Roman"/>
          <w:sz w:val="24"/>
          <w:szCs w:val="24"/>
        </w:rPr>
        <w:t xml:space="preserve">. </w:t>
      </w:r>
    </w:p>
    <w:p w14:paraId="598E2BAA" w14:textId="2D2111EE" w:rsidR="00FE28B6" w:rsidRPr="00960858" w:rsidRDefault="00960858" w:rsidP="00F97C59">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Por su parte, el nivel dos </w:t>
      </w:r>
      <w:r w:rsidR="001F31DE">
        <w:rPr>
          <w:rFonts w:ascii="Times New Roman" w:hAnsi="Times New Roman" w:cs="Times New Roman"/>
          <w:sz w:val="24"/>
          <w:szCs w:val="24"/>
        </w:rPr>
        <w:t xml:space="preserve">se </w:t>
      </w:r>
      <w:proofErr w:type="gramStart"/>
      <w:r w:rsidR="001F31DE">
        <w:rPr>
          <w:rFonts w:ascii="Times New Roman" w:hAnsi="Times New Roman" w:cs="Times New Roman"/>
          <w:sz w:val="24"/>
          <w:szCs w:val="24"/>
        </w:rPr>
        <w:t>refiere</w:t>
      </w:r>
      <w:proofErr w:type="gramEnd"/>
      <w:r w:rsidR="001F31DE">
        <w:rPr>
          <w:rFonts w:ascii="Times New Roman" w:hAnsi="Times New Roman" w:cs="Times New Roman"/>
          <w:sz w:val="24"/>
          <w:szCs w:val="24"/>
        </w:rPr>
        <w:t xml:space="preserve"> a </w:t>
      </w:r>
      <w:r>
        <w:rPr>
          <w:rFonts w:ascii="Times New Roman" w:hAnsi="Times New Roman" w:cs="Times New Roman"/>
          <w:sz w:val="24"/>
          <w:szCs w:val="24"/>
        </w:rPr>
        <w:t xml:space="preserve">la agregación de las distintas observaciones en el tiempo por cada municipio, es decir la diferencia entre </w:t>
      </w:r>
      <w:r w:rsidR="001F31DE">
        <w:rPr>
          <w:rFonts w:ascii="Times New Roman" w:hAnsi="Times New Roman" w:cs="Times New Roman"/>
          <w:sz w:val="24"/>
          <w:szCs w:val="24"/>
        </w:rPr>
        <w:t>un</w:t>
      </w:r>
      <w:r>
        <w:rPr>
          <w:rFonts w:ascii="Times New Roman" w:hAnsi="Times New Roman" w:cs="Times New Roman"/>
          <w:sz w:val="24"/>
          <w:szCs w:val="24"/>
        </w:rPr>
        <w:t xml:space="preserve"> municipio i y </w:t>
      </w:r>
      <w:r w:rsidR="001F31DE">
        <w:rPr>
          <w:rFonts w:ascii="Times New Roman" w:hAnsi="Times New Roman" w:cs="Times New Roman"/>
          <w:sz w:val="24"/>
          <w:szCs w:val="24"/>
        </w:rPr>
        <w:t xml:space="preserve">otro </w:t>
      </w:r>
      <w:r>
        <w:rPr>
          <w:rFonts w:ascii="Times New Roman" w:hAnsi="Times New Roman" w:cs="Times New Roman"/>
          <w:sz w:val="24"/>
          <w:szCs w:val="24"/>
        </w:rPr>
        <w:t>municipio j.</w:t>
      </w:r>
      <w:r w:rsidR="00116DCA">
        <w:rPr>
          <w:rFonts w:ascii="Times New Roman" w:hAnsi="Times New Roman" w:cs="Times New Roman"/>
          <w:sz w:val="24"/>
          <w:szCs w:val="24"/>
        </w:rPr>
        <w:t xml:space="preserve"> L</w:t>
      </w:r>
      <w:r w:rsidR="00915C3E">
        <w:rPr>
          <w:rFonts w:ascii="Times New Roman" w:hAnsi="Times New Roman" w:cs="Times New Roman"/>
          <w:sz w:val="24"/>
          <w:szCs w:val="24"/>
        </w:rPr>
        <w:t xml:space="preserve">a inserción de este segundo nivel </w:t>
      </w:r>
      <w:r w:rsidR="001F31DE">
        <w:rPr>
          <w:rFonts w:ascii="Times New Roman" w:hAnsi="Times New Roman" w:cs="Times New Roman"/>
          <w:sz w:val="24"/>
          <w:szCs w:val="24"/>
        </w:rPr>
        <w:t xml:space="preserve">permite </w:t>
      </w:r>
      <w:r w:rsidR="00915C3E">
        <w:rPr>
          <w:rFonts w:ascii="Times New Roman" w:hAnsi="Times New Roman" w:cs="Times New Roman"/>
          <w:sz w:val="24"/>
          <w:szCs w:val="24"/>
        </w:rPr>
        <w:t>identificar las características que hacen que encontremos observaciones distintas para dos municipios y así poder conocer los determinantes de asignación de los recursos.</w:t>
      </w:r>
      <w:r w:rsidR="00533266">
        <w:rPr>
          <w:rFonts w:ascii="Times New Roman" w:hAnsi="Times New Roman" w:cs="Times New Roman"/>
          <w:sz w:val="24"/>
          <w:szCs w:val="24"/>
        </w:rPr>
        <w:t xml:space="preserve"> Por último, el nivel 3 se compone por</w:t>
      </w:r>
      <w:r>
        <w:rPr>
          <w:rFonts w:ascii="Times New Roman" w:hAnsi="Times New Roman" w:cs="Times New Roman"/>
          <w:sz w:val="24"/>
          <w:szCs w:val="24"/>
        </w:rPr>
        <w:t xml:space="preserve"> las entidades federativas, que en este caso son Chiapas, Guerrero y Oaxaca.</w:t>
      </w:r>
      <w:r w:rsidR="00F922A2">
        <w:rPr>
          <w:rFonts w:ascii="Times New Roman" w:hAnsi="Times New Roman" w:cs="Times New Roman"/>
          <w:sz w:val="24"/>
          <w:szCs w:val="24"/>
        </w:rPr>
        <w:t xml:space="preserve"> A pesar de ser entidades con niveles de desarrollo similares, existen diferencias notables </w:t>
      </w:r>
      <w:r w:rsidR="00533266">
        <w:rPr>
          <w:rFonts w:ascii="Times New Roman" w:hAnsi="Times New Roman" w:cs="Times New Roman"/>
          <w:sz w:val="24"/>
          <w:szCs w:val="24"/>
        </w:rPr>
        <w:t xml:space="preserve">entre ellas </w:t>
      </w:r>
      <w:r w:rsidR="00F922A2">
        <w:rPr>
          <w:rFonts w:ascii="Times New Roman" w:hAnsi="Times New Roman" w:cs="Times New Roman"/>
          <w:sz w:val="24"/>
          <w:szCs w:val="24"/>
        </w:rPr>
        <w:t>que hacen plausible pensar que la variación entre observaciones individuales pueda tener relación con la entidad federativa a la que pertenecen.</w:t>
      </w:r>
    </w:p>
    <w:p w14:paraId="3E2DF96A" w14:textId="1EEE4F20" w:rsidR="00FE28B6" w:rsidRPr="00ED5691" w:rsidRDefault="00FE28B6" w:rsidP="00120BF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960858">
        <w:rPr>
          <w:rFonts w:ascii="Times New Roman" w:hAnsi="Times New Roman" w:cs="Times New Roman"/>
          <w:sz w:val="24"/>
          <w:szCs w:val="24"/>
        </w:rPr>
        <w:t xml:space="preserve">Antes de presentar el modelo multinivel </w:t>
      </w:r>
      <w:r w:rsidR="00A44FE6">
        <w:rPr>
          <w:rFonts w:ascii="Times New Roman" w:hAnsi="Times New Roman" w:cs="Times New Roman"/>
          <w:sz w:val="24"/>
          <w:szCs w:val="24"/>
        </w:rPr>
        <w:t>de forma matemática</w:t>
      </w:r>
      <w:r w:rsidR="00533266">
        <w:rPr>
          <w:rFonts w:ascii="Times New Roman" w:hAnsi="Times New Roman" w:cs="Times New Roman"/>
          <w:sz w:val="24"/>
          <w:szCs w:val="24"/>
        </w:rPr>
        <w:t>,</w:t>
      </w:r>
      <w:r w:rsidR="00A44FE6">
        <w:rPr>
          <w:rFonts w:ascii="Times New Roman" w:hAnsi="Times New Roman" w:cs="Times New Roman"/>
          <w:sz w:val="24"/>
          <w:szCs w:val="24"/>
        </w:rPr>
        <w:t xml:space="preserve"> </w:t>
      </w:r>
      <w:r w:rsidR="00960858">
        <w:rPr>
          <w:rFonts w:ascii="Times New Roman" w:hAnsi="Times New Roman" w:cs="Times New Roman"/>
          <w:sz w:val="24"/>
          <w:szCs w:val="24"/>
        </w:rPr>
        <w:t xml:space="preserve">conviene tener claras las variables que </w:t>
      </w:r>
      <w:r w:rsidR="00A44FE6">
        <w:rPr>
          <w:rFonts w:ascii="Times New Roman" w:hAnsi="Times New Roman" w:cs="Times New Roman"/>
          <w:sz w:val="24"/>
          <w:szCs w:val="24"/>
        </w:rPr>
        <w:t>decidí incluir</w:t>
      </w:r>
      <w:r w:rsidR="001F31DE">
        <w:rPr>
          <w:rFonts w:ascii="Times New Roman" w:hAnsi="Times New Roman" w:cs="Times New Roman"/>
          <w:sz w:val="24"/>
          <w:szCs w:val="24"/>
        </w:rPr>
        <w:t xml:space="preserve"> en el mismo. </w:t>
      </w:r>
      <w:r>
        <w:rPr>
          <w:rFonts w:ascii="Times New Roman" w:hAnsi="Times New Roman" w:cs="Times New Roman"/>
          <w:sz w:val="24"/>
          <w:szCs w:val="24"/>
        </w:rPr>
        <w:t xml:space="preserve">En la Tabla 1 presento las </w:t>
      </w:r>
      <w:r w:rsidR="00960858">
        <w:rPr>
          <w:rFonts w:ascii="Times New Roman" w:hAnsi="Times New Roman" w:cs="Times New Roman"/>
          <w:sz w:val="24"/>
          <w:szCs w:val="24"/>
        </w:rPr>
        <w:t xml:space="preserve">variables </w:t>
      </w:r>
      <w:r w:rsidR="004E79FE">
        <w:rPr>
          <w:rFonts w:ascii="Times New Roman" w:hAnsi="Times New Roman" w:cs="Times New Roman"/>
          <w:sz w:val="24"/>
          <w:szCs w:val="24"/>
        </w:rPr>
        <w:t>d</w:t>
      </w:r>
      <w:r w:rsidR="00960858">
        <w:rPr>
          <w:rFonts w:ascii="Times New Roman" w:hAnsi="Times New Roman" w:cs="Times New Roman"/>
          <w:sz w:val="24"/>
          <w:szCs w:val="24"/>
        </w:rPr>
        <w:t>el modelo</w:t>
      </w:r>
      <w:r w:rsidR="00A44FE6">
        <w:rPr>
          <w:rFonts w:ascii="Times New Roman" w:hAnsi="Times New Roman" w:cs="Times New Roman"/>
          <w:sz w:val="24"/>
          <w:szCs w:val="24"/>
        </w:rPr>
        <w:t xml:space="preserve">, las cuales tienen relación con la literatura </w:t>
      </w:r>
      <w:r w:rsidR="005623A1">
        <w:rPr>
          <w:rFonts w:ascii="Times New Roman" w:hAnsi="Times New Roman" w:cs="Times New Roman"/>
          <w:sz w:val="24"/>
          <w:szCs w:val="24"/>
        </w:rPr>
        <w:t>expuesta</w:t>
      </w:r>
      <w:r w:rsidR="00A44FE6">
        <w:rPr>
          <w:rFonts w:ascii="Times New Roman" w:hAnsi="Times New Roman" w:cs="Times New Roman"/>
          <w:sz w:val="24"/>
          <w:szCs w:val="24"/>
        </w:rPr>
        <w:t xml:space="preserve"> en la sección II de esta tesina.</w:t>
      </w:r>
      <w:r w:rsidR="004217DF">
        <w:rPr>
          <w:rFonts w:ascii="Times New Roman" w:hAnsi="Times New Roman" w:cs="Times New Roman"/>
          <w:sz w:val="24"/>
          <w:szCs w:val="24"/>
        </w:rPr>
        <w:t xml:space="preserve"> Incluyo el número de observaciones para cada variable, la media, desviación estándar y los </w:t>
      </w:r>
      <w:r w:rsidR="004217DF">
        <w:rPr>
          <w:rFonts w:ascii="Times New Roman" w:hAnsi="Times New Roman" w:cs="Times New Roman"/>
          <w:sz w:val="24"/>
          <w:szCs w:val="24"/>
        </w:rPr>
        <w:lastRenderedPageBreak/>
        <w:t>valores mínimo y máximo.</w:t>
      </w:r>
      <w:r w:rsidR="00A44FE6">
        <w:rPr>
          <w:rFonts w:ascii="Times New Roman" w:hAnsi="Times New Roman" w:cs="Times New Roman"/>
          <w:sz w:val="24"/>
          <w:szCs w:val="24"/>
        </w:rPr>
        <w:t xml:space="preserve"> </w:t>
      </w:r>
      <w:r w:rsidR="00EC0EA4">
        <w:rPr>
          <w:rFonts w:ascii="Times New Roman" w:hAnsi="Times New Roman" w:cs="Times New Roman"/>
          <w:sz w:val="24"/>
          <w:szCs w:val="24"/>
        </w:rPr>
        <w:t>Como anteriormente especifiqué, tendré dos variables dependientes en esta tesina, para correr dos modelos distintos. La primera es el monto per cápita (</w:t>
      </w:r>
      <w:proofErr w:type="spellStart"/>
      <w:r w:rsidR="00EC0EA4" w:rsidRPr="00EC0EA4">
        <w:rPr>
          <w:rFonts w:ascii="Times New Roman" w:hAnsi="Times New Roman" w:cs="Times New Roman"/>
          <w:i/>
          <w:sz w:val="24"/>
          <w:szCs w:val="24"/>
        </w:rPr>
        <w:t>montopc</w:t>
      </w:r>
      <w:proofErr w:type="spellEnd"/>
      <w:r w:rsidR="00EC0EA4">
        <w:rPr>
          <w:rFonts w:ascii="Times New Roman" w:hAnsi="Times New Roman" w:cs="Times New Roman"/>
          <w:sz w:val="24"/>
          <w:szCs w:val="24"/>
        </w:rPr>
        <w:t xml:space="preserve">) </w:t>
      </w:r>
      <w:r w:rsidR="00ED5691">
        <w:rPr>
          <w:rFonts w:ascii="Times New Roman" w:hAnsi="Times New Roman" w:cs="Times New Roman"/>
          <w:sz w:val="24"/>
          <w:szCs w:val="24"/>
        </w:rPr>
        <w:t xml:space="preserve">que se refiere a la cantidad de recursos que recibió cada municipio en determinado año con recursos del </w:t>
      </w:r>
      <w:proofErr w:type="spellStart"/>
      <w:r w:rsidR="00ED5691">
        <w:rPr>
          <w:rFonts w:ascii="Times New Roman" w:hAnsi="Times New Roman" w:cs="Times New Roman"/>
          <w:sz w:val="24"/>
          <w:szCs w:val="24"/>
        </w:rPr>
        <w:t>Fonregión</w:t>
      </w:r>
      <w:proofErr w:type="spellEnd"/>
      <w:r w:rsidR="00ED5691">
        <w:rPr>
          <w:rFonts w:ascii="Times New Roman" w:hAnsi="Times New Roman" w:cs="Times New Roman"/>
          <w:sz w:val="24"/>
          <w:szCs w:val="24"/>
        </w:rPr>
        <w:t xml:space="preserve">, dividida entre la población del municipio. La fuente de esta variable fueron las carteras de proyectos del </w:t>
      </w:r>
      <w:proofErr w:type="spellStart"/>
      <w:r w:rsidR="00ED5691">
        <w:rPr>
          <w:rFonts w:ascii="Times New Roman" w:hAnsi="Times New Roman" w:cs="Times New Roman"/>
          <w:sz w:val="24"/>
          <w:szCs w:val="24"/>
        </w:rPr>
        <w:t>Fonregión</w:t>
      </w:r>
      <w:proofErr w:type="spellEnd"/>
      <w:r w:rsidR="00ED5691">
        <w:rPr>
          <w:rFonts w:ascii="Times New Roman" w:hAnsi="Times New Roman" w:cs="Times New Roman"/>
          <w:sz w:val="24"/>
          <w:szCs w:val="24"/>
        </w:rPr>
        <w:t xml:space="preserve"> que obtuve </w:t>
      </w:r>
      <w:r w:rsidR="001F31DE">
        <w:rPr>
          <w:rFonts w:ascii="Times New Roman" w:hAnsi="Times New Roman" w:cs="Times New Roman"/>
          <w:sz w:val="24"/>
          <w:szCs w:val="24"/>
        </w:rPr>
        <w:t xml:space="preserve">de </w:t>
      </w:r>
      <w:r w:rsidR="00A12FD2">
        <w:rPr>
          <w:rFonts w:ascii="Times New Roman" w:hAnsi="Times New Roman" w:cs="Times New Roman"/>
          <w:sz w:val="24"/>
          <w:szCs w:val="24"/>
        </w:rPr>
        <w:t>la</w:t>
      </w:r>
      <w:r w:rsidR="00ED5691">
        <w:rPr>
          <w:rFonts w:ascii="Times New Roman" w:hAnsi="Times New Roman" w:cs="Times New Roman"/>
          <w:sz w:val="24"/>
          <w:szCs w:val="24"/>
        </w:rPr>
        <w:t xml:space="preserve"> Unidad de Política y Control Presupuestario de la SHCP</w:t>
      </w:r>
      <w:r w:rsidR="00A12FD2">
        <w:rPr>
          <w:rFonts w:ascii="Times New Roman" w:hAnsi="Times New Roman" w:cs="Times New Roman"/>
          <w:sz w:val="24"/>
          <w:szCs w:val="24"/>
        </w:rPr>
        <w:t xml:space="preserve"> a través de una solicitud de acceso a la información</w:t>
      </w:r>
      <w:r w:rsidR="00ED5691">
        <w:rPr>
          <w:rFonts w:ascii="Times New Roman" w:hAnsi="Times New Roman" w:cs="Times New Roman"/>
          <w:sz w:val="24"/>
          <w:szCs w:val="24"/>
        </w:rPr>
        <w:t xml:space="preserve">. Por su parte, la población municipal </w:t>
      </w:r>
      <w:r w:rsidR="001F31DE">
        <w:rPr>
          <w:rFonts w:ascii="Times New Roman" w:hAnsi="Times New Roman" w:cs="Times New Roman"/>
          <w:sz w:val="24"/>
          <w:szCs w:val="24"/>
        </w:rPr>
        <w:t xml:space="preserve">para 2010 </w:t>
      </w:r>
      <w:r w:rsidR="00ED5691">
        <w:rPr>
          <w:rFonts w:ascii="Times New Roman" w:hAnsi="Times New Roman" w:cs="Times New Roman"/>
          <w:sz w:val="24"/>
          <w:szCs w:val="24"/>
        </w:rPr>
        <w:t>la obtuve</w:t>
      </w:r>
      <w:r w:rsidR="001F31DE">
        <w:rPr>
          <w:rFonts w:ascii="Times New Roman" w:hAnsi="Times New Roman" w:cs="Times New Roman"/>
          <w:sz w:val="24"/>
          <w:szCs w:val="24"/>
        </w:rPr>
        <w:t xml:space="preserve"> </w:t>
      </w:r>
      <w:r w:rsidR="00ED5691">
        <w:rPr>
          <w:rFonts w:ascii="Times New Roman" w:hAnsi="Times New Roman" w:cs="Times New Roman"/>
          <w:sz w:val="24"/>
          <w:szCs w:val="24"/>
        </w:rPr>
        <w:t xml:space="preserve">del </w:t>
      </w:r>
      <w:r w:rsidR="00ED5691" w:rsidRPr="00ED5691">
        <w:rPr>
          <w:rFonts w:ascii="Times New Roman" w:hAnsi="Times New Roman" w:cs="Times New Roman"/>
          <w:sz w:val="24"/>
          <w:szCs w:val="24"/>
        </w:rPr>
        <w:t>Sistema Estatal y Municipal de Bases de Datos (SIMBAD)</w:t>
      </w:r>
      <w:r w:rsidR="00ED5691">
        <w:rPr>
          <w:rFonts w:ascii="Times New Roman" w:hAnsi="Times New Roman" w:cs="Times New Roman"/>
          <w:sz w:val="24"/>
          <w:szCs w:val="24"/>
        </w:rPr>
        <w:t xml:space="preserve"> de INEGI. Mi segunda variable dependiente fue el número de proyectos (</w:t>
      </w:r>
      <w:proofErr w:type="spellStart"/>
      <w:r w:rsidR="00ED5691">
        <w:rPr>
          <w:rFonts w:ascii="Times New Roman" w:hAnsi="Times New Roman" w:cs="Times New Roman"/>
          <w:i/>
          <w:sz w:val="24"/>
          <w:szCs w:val="24"/>
        </w:rPr>
        <w:t>numproy</w:t>
      </w:r>
      <w:proofErr w:type="spellEnd"/>
      <w:r w:rsidR="00ED5691">
        <w:rPr>
          <w:rFonts w:ascii="Times New Roman" w:hAnsi="Times New Roman" w:cs="Times New Roman"/>
          <w:sz w:val="24"/>
          <w:szCs w:val="24"/>
        </w:rPr>
        <w:t>) que también obtuve de las carteras de proyectos del Fondo.</w:t>
      </w:r>
      <w:r w:rsidR="004217DF">
        <w:rPr>
          <w:rFonts w:ascii="Times New Roman" w:hAnsi="Times New Roman" w:cs="Times New Roman"/>
          <w:sz w:val="24"/>
          <w:szCs w:val="24"/>
        </w:rPr>
        <w:t xml:space="preserve"> Como se puede observar, el número máximo de proyectos que recibió un municipio para un determinado año fue 21. Tal fue el caso del municipio Oaxaca de Juárez para el año 2011</w:t>
      </w:r>
      <w:r w:rsidR="00A12FD2">
        <w:rPr>
          <w:rFonts w:ascii="Times New Roman" w:hAnsi="Times New Roman" w:cs="Times New Roman"/>
          <w:sz w:val="24"/>
          <w:szCs w:val="24"/>
        </w:rPr>
        <w:t>.</w:t>
      </w:r>
    </w:p>
    <w:p w14:paraId="04C63D7D" w14:textId="77777777" w:rsidR="003E079F" w:rsidRPr="00FE28B6" w:rsidRDefault="00A21DAA" w:rsidP="00243294">
      <w:pPr>
        <w:spacing w:line="240" w:lineRule="auto"/>
        <w:jc w:val="center"/>
        <w:rPr>
          <w:rFonts w:ascii="Times New Roman" w:hAnsi="Times New Roman" w:cs="Times New Roman"/>
          <w:b/>
          <w:sz w:val="24"/>
          <w:szCs w:val="24"/>
        </w:rPr>
      </w:pPr>
      <w:r w:rsidRPr="00FE28B6">
        <w:rPr>
          <w:rFonts w:ascii="Times New Roman" w:hAnsi="Times New Roman" w:cs="Times New Roman"/>
          <w:b/>
          <w:sz w:val="24"/>
          <w:szCs w:val="24"/>
        </w:rPr>
        <w:t xml:space="preserve">Tabla 1. </w:t>
      </w:r>
      <w:r w:rsidR="00FE28B6" w:rsidRPr="00FE28B6">
        <w:rPr>
          <w:rFonts w:ascii="Times New Roman" w:hAnsi="Times New Roman" w:cs="Times New Roman"/>
          <w:b/>
          <w:sz w:val="24"/>
          <w:szCs w:val="24"/>
        </w:rPr>
        <w:t>Características de las variables del modelo</w:t>
      </w:r>
    </w:p>
    <w:tbl>
      <w:tblPr>
        <w:tblStyle w:val="Sombreadomedio1"/>
        <w:tblW w:w="9054" w:type="dxa"/>
        <w:tblLook w:val="04A0" w:firstRow="1" w:lastRow="0" w:firstColumn="1" w:lastColumn="0" w:noHBand="0" w:noVBand="1"/>
      </w:tblPr>
      <w:tblGrid>
        <w:gridCol w:w="1864"/>
        <w:gridCol w:w="1687"/>
        <w:gridCol w:w="1235"/>
        <w:gridCol w:w="1920"/>
        <w:gridCol w:w="1119"/>
        <w:gridCol w:w="1229"/>
      </w:tblGrid>
      <w:tr w:rsidR="009610CE" w:rsidRPr="00002382" w14:paraId="54D81E40" w14:textId="77777777" w:rsidTr="0054791E">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864" w:type="dxa"/>
            <w:noWrap/>
            <w:vAlign w:val="center"/>
          </w:tcPr>
          <w:p w14:paraId="4431A00E" w14:textId="77777777" w:rsidR="00E7103E" w:rsidRPr="00504A43" w:rsidRDefault="00A21DAA" w:rsidP="0054791E">
            <w:pPr>
              <w:jc w:val="center"/>
              <w:rPr>
                <w:rFonts w:ascii="Times New Roman" w:eastAsia="Times New Roman" w:hAnsi="Times New Roman" w:cs="Times New Roman"/>
                <w:b w:val="0"/>
                <w:bCs w:val="0"/>
                <w:color w:val="auto"/>
                <w:sz w:val="24"/>
                <w:szCs w:val="24"/>
              </w:rPr>
            </w:pPr>
            <w:r w:rsidRPr="00504A43">
              <w:rPr>
                <w:rFonts w:ascii="Times New Roman" w:eastAsia="Times New Roman" w:hAnsi="Times New Roman" w:cs="Times New Roman"/>
                <w:bCs w:val="0"/>
                <w:sz w:val="24"/>
                <w:szCs w:val="24"/>
              </w:rPr>
              <w:t>Variable</w:t>
            </w:r>
          </w:p>
        </w:tc>
        <w:tc>
          <w:tcPr>
            <w:tcW w:w="1687" w:type="dxa"/>
            <w:vAlign w:val="center"/>
          </w:tcPr>
          <w:p w14:paraId="3ED6030A" w14:textId="77777777" w:rsidR="00E7103E" w:rsidRDefault="00A21DAA" w:rsidP="0054791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auto"/>
                <w:sz w:val="24"/>
                <w:szCs w:val="24"/>
              </w:rPr>
            </w:pPr>
            <w:r w:rsidRPr="00A21DAA">
              <w:rPr>
                <w:rFonts w:ascii="Calibri" w:eastAsia="Times New Roman" w:hAnsi="Calibri" w:cs="Calibri"/>
                <w:bCs w:val="0"/>
                <w:sz w:val="24"/>
                <w:szCs w:val="24"/>
              </w:rPr>
              <w:t># observaciones</w:t>
            </w:r>
          </w:p>
        </w:tc>
        <w:tc>
          <w:tcPr>
            <w:tcW w:w="1235" w:type="dxa"/>
            <w:noWrap/>
            <w:vAlign w:val="center"/>
          </w:tcPr>
          <w:p w14:paraId="333F7B30" w14:textId="77777777" w:rsidR="00E7103E" w:rsidRDefault="00A21DAA" w:rsidP="0054791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auto"/>
                <w:sz w:val="24"/>
                <w:szCs w:val="24"/>
              </w:rPr>
            </w:pPr>
            <w:r w:rsidRPr="00A21DAA">
              <w:rPr>
                <w:rFonts w:ascii="Calibri" w:eastAsia="Times New Roman" w:hAnsi="Calibri" w:cs="Calibri"/>
                <w:bCs w:val="0"/>
                <w:sz w:val="24"/>
                <w:szCs w:val="24"/>
              </w:rPr>
              <w:t>Media</w:t>
            </w:r>
          </w:p>
        </w:tc>
        <w:tc>
          <w:tcPr>
            <w:tcW w:w="1920" w:type="dxa"/>
            <w:noWrap/>
            <w:vAlign w:val="center"/>
          </w:tcPr>
          <w:p w14:paraId="2565B123" w14:textId="77777777" w:rsidR="00E7103E" w:rsidRDefault="00A21DAA" w:rsidP="0054791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auto"/>
                <w:sz w:val="24"/>
                <w:szCs w:val="24"/>
              </w:rPr>
            </w:pPr>
            <w:r w:rsidRPr="00A21DAA">
              <w:rPr>
                <w:rFonts w:ascii="Calibri" w:eastAsia="Times New Roman" w:hAnsi="Calibri" w:cs="Calibri"/>
                <w:bCs w:val="0"/>
                <w:sz w:val="24"/>
                <w:szCs w:val="24"/>
              </w:rPr>
              <w:t>Desviación estándar</w:t>
            </w:r>
          </w:p>
        </w:tc>
        <w:tc>
          <w:tcPr>
            <w:tcW w:w="1119" w:type="dxa"/>
            <w:noWrap/>
            <w:vAlign w:val="center"/>
          </w:tcPr>
          <w:p w14:paraId="4949573E" w14:textId="77777777" w:rsidR="00E7103E" w:rsidRDefault="00A21DAA" w:rsidP="0054791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auto"/>
                <w:sz w:val="24"/>
                <w:szCs w:val="24"/>
              </w:rPr>
            </w:pPr>
            <w:proofErr w:type="spellStart"/>
            <w:r w:rsidRPr="00A21DAA">
              <w:rPr>
                <w:rFonts w:ascii="Calibri" w:eastAsia="Times New Roman" w:hAnsi="Calibri" w:cs="Calibri"/>
                <w:bCs w:val="0"/>
                <w:sz w:val="24"/>
                <w:szCs w:val="24"/>
              </w:rPr>
              <w:t>Mín</w:t>
            </w:r>
            <w:proofErr w:type="spellEnd"/>
          </w:p>
        </w:tc>
        <w:tc>
          <w:tcPr>
            <w:tcW w:w="1229" w:type="dxa"/>
            <w:noWrap/>
            <w:vAlign w:val="center"/>
          </w:tcPr>
          <w:p w14:paraId="1DA4C2F6" w14:textId="77777777" w:rsidR="00E7103E" w:rsidRDefault="00A21DAA" w:rsidP="0054791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auto"/>
                <w:sz w:val="24"/>
                <w:szCs w:val="24"/>
              </w:rPr>
            </w:pPr>
            <w:r w:rsidRPr="00A21DAA">
              <w:rPr>
                <w:rFonts w:ascii="Calibri" w:eastAsia="Times New Roman" w:hAnsi="Calibri" w:cs="Calibri"/>
                <w:bCs w:val="0"/>
                <w:sz w:val="24"/>
                <w:szCs w:val="24"/>
              </w:rPr>
              <w:t>Max</w:t>
            </w:r>
          </w:p>
        </w:tc>
      </w:tr>
      <w:tr w:rsidR="009610CE" w:rsidRPr="00002382" w14:paraId="6461DA75" w14:textId="77777777" w:rsidTr="005479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4" w:type="dxa"/>
            <w:noWrap/>
          </w:tcPr>
          <w:p w14:paraId="020D50A6" w14:textId="77777777" w:rsidR="00E7103E" w:rsidRPr="00504A43" w:rsidRDefault="00EF4E1A" w:rsidP="00B60F59">
            <w:pPr>
              <w:rPr>
                <w:rFonts w:ascii="Times New Roman" w:eastAsia="Times New Roman" w:hAnsi="Times New Roman" w:cs="Times New Roman"/>
                <w:b w:val="0"/>
                <w:bCs w:val="0"/>
                <w:color w:val="000000"/>
              </w:rPr>
            </w:pPr>
            <w:r w:rsidRPr="00504A43">
              <w:rPr>
                <w:rFonts w:ascii="Times New Roman" w:eastAsia="Times New Roman" w:hAnsi="Times New Roman" w:cs="Times New Roman"/>
                <w:bCs w:val="0"/>
                <w:color w:val="000000"/>
              </w:rPr>
              <w:t>C</w:t>
            </w:r>
            <w:r w:rsidR="00A21DAA" w:rsidRPr="00504A43">
              <w:rPr>
                <w:rFonts w:ascii="Times New Roman" w:eastAsia="Times New Roman" w:hAnsi="Times New Roman" w:cs="Times New Roman"/>
                <w:bCs w:val="0"/>
                <w:color w:val="000000"/>
              </w:rPr>
              <w:t>lave</w:t>
            </w:r>
            <w:r w:rsidRPr="00504A43">
              <w:rPr>
                <w:rFonts w:ascii="Times New Roman" w:eastAsia="Times New Roman" w:hAnsi="Times New Roman" w:cs="Times New Roman"/>
                <w:bCs w:val="0"/>
                <w:color w:val="000000"/>
              </w:rPr>
              <w:t xml:space="preserve"> de la </w:t>
            </w:r>
            <w:r w:rsidR="00A21DAA" w:rsidRPr="00504A43">
              <w:rPr>
                <w:rFonts w:ascii="Times New Roman" w:eastAsia="Times New Roman" w:hAnsi="Times New Roman" w:cs="Times New Roman"/>
                <w:bCs w:val="0"/>
                <w:color w:val="000000"/>
              </w:rPr>
              <w:t>ent</w:t>
            </w:r>
            <w:r w:rsidRPr="00504A43">
              <w:rPr>
                <w:rFonts w:ascii="Times New Roman" w:eastAsia="Times New Roman" w:hAnsi="Times New Roman" w:cs="Times New Roman"/>
                <w:bCs w:val="0"/>
                <w:color w:val="000000"/>
              </w:rPr>
              <w:t>idad</w:t>
            </w:r>
          </w:p>
        </w:tc>
        <w:tc>
          <w:tcPr>
            <w:tcW w:w="1687" w:type="dxa"/>
            <w:noWrap/>
          </w:tcPr>
          <w:p w14:paraId="53DBAA26" w14:textId="77777777" w:rsidR="00E7103E" w:rsidRDefault="00A21DAA" w:rsidP="00B60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4614</w:t>
            </w:r>
          </w:p>
        </w:tc>
        <w:tc>
          <w:tcPr>
            <w:tcW w:w="1235" w:type="dxa"/>
            <w:noWrap/>
          </w:tcPr>
          <w:p w14:paraId="2D1B5657" w14:textId="77777777" w:rsidR="00E7103E" w:rsidRDefault="00A21DAA" w:rsidP="00B60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17.16255</w:t>
            </w:r>
          </w:p>
        </w:tc>
        <w:tc>
          <w:tcPr>
            <w:tcW w:w="1920" w:type="dxa"/>
            <w:noWrap/>
          </w:tcPr>
          <w:p w14:paraId="0CCC0C9E" w14:textId="77777777" w:rsidR="00E7103E" w:rsidRDefault="00A21DAA" w:rsidP="00B60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4.962641</w:t>
            </w:r>
          </w:p>
        </w:tc>
        <w:tc>
          <w:tcPr>
            <w:tcW w:w="1119" w:type="dxa"/>
            <w:noWrap/>
          </w:tcPr>
          <w:p w14:paraId="0B0CC80B" w14:textId="77777777" w:rsidR="00E7103E" w:rsidRDefault="00A21DAA" w:rsidP="00B60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7</w:t>
            </w:r>
          </w:p>
        </w:tc>
        <w:tc>
          <w:tcPr>
            <w:tcW w:w="1229" w:type="dxa"/>
            <w:noWrap/>
          </w:tcPr>
          <w:p w14:paraId="0462FBC8" w14:textId="77777777" w:rsidR="00E7103E" w:rsidRDefault="00A21DAA" w:rsidP="00B60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20</w:t>
            </w:r>
          </w:p>
        </w:tc>
      </w:tr>
      <w:tr w:rsidR="009610CE" w:rsidRPr="00002382" w14:paraId="280990E4" w14:textId="77777777" w:rsidTr="005479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4" w:type="dxa"/>
            <w:noWrap/>
          </w:tcPr>
          <w:p w14:paraId="19069A31" w14:textId="77777777" w:rsidR="00E7103E" w:rsidRPr="00504A43" w:rsidRDefault="00EF4E1A" w:rsidP="00B60F59">
            <w:pPr>
              <w:rPr>
                <w:rFonts w:ascii="Times New Roman" w:eastAsia="Times New Roman" w:hAnsi="Times New Roman" w:cs="Times New Roman"/>
                <w:b w:val="0"/>
                <w:bCs w:val="0"/>
                <w:color w:val="000000"/>
              </w:rPr>
            </w:pPr>
            <w:r w:rsidRPr="00504A43">
              <w:rPr>
                <w:rFonts w:ascii="Times New Roman" w:eastAsia="Times New Roman" w:hAnsi="Times New Roman" w:cs="Times New Roman"/>
                <w:bCs w:val="0"/>
                <w:color w:val="000000"/>
              </w:rPr>
              <w:t>G</w:t>
            </w:r>
            <w:r w:rsidR="00A21DAA" w:rsidRPr="00504A43">
              <w:rPr>
                <w:rFonts w:ascii="Times New Roman" w:eastAsia="Times New Roman" w:hAnsi="Times New Roman" w:cs="Times New Roman"/>
                <w:bCs w:val="0"/>
                <w:color w:val="000000"/>
              </w:rPr>
              <w:t>uerrero</w:t>
            </w:r>
          </w:p>
        </w:tc>
        <w:tc>
          <w:tcPr>
            <w:tcW w:w="1687" w:type="dxa"/>
            <w:noWrap/>
          </w:tcPr>
          <w:p w14:paraId="2D55FB8E" w14:textId="77777777" w:rsidR="00E7103E" w:rsidRDefault="00A21DAA" w:rsidP="00B60F5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4614</w:t>
            </w:r>
          </w:p>
        </w:tc>
        <w:tc>
          <w:tcPr>
            <w:tcW w:w="1235" w:type="dxa"/>
            <w:noWrap/>
          </w:tcPr>
          <w:p w14:paraId="56A04170" w14:textId="77777777" w:rsidR="00E7103E" w:rsidRDefault="00A21DAA" w:rsidP="00B60F5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0.1053316</w:t>
            </w:r>
          </w:p>
        </w:tc>
        <w:tc>
          <w:tcPr>
            <w:tcW w:w="1920" w:type="dxa"/>
            <w:noWrap/>
          </w:tcPr>
          <w:p w14:paraId="5CFB5122" w14:textId="77777777" w:rsidR="00E7103E" w:rsidRDefault="00A21DAA" w:rsidP="00B60F5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0.3070135</w:t>
            </w:r>
          </w:p>
        </w:tc>
        <w:tc>
          <w:tcPr>
            <w:tcW w:w="1119" w:type="dxa"/>
            <w:noWrap/>
          </w:tcPr>
          <w:p w14:paraId="30647153" w14:textId="77777777" w:rsidR="00E7103E" w:rsidRDefault="00A21DAA" w:rsidP="00B60F5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0</w:t>
            </w:r>
          </w:p>
        </w:tc>
        <w:tc>
          <w:tcPr>
            <w:tcW w:w="1229" w:type="dxa"/>
            <w:noWrap/>
          </w:tcPr>
          <w:p w14:paraId="185C4D2E" w14:textId="77777777" w:rsidR="00E7103E" w:rsidRDefault="00A21DAA" w:rsidP="00B60F5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1</w:t>
            </w:r>
          </w:p>
        </w:tc>
      </w:tr>
      <w:tr w:rsidR="009610CE" w:rsidRPr="00002382" w14:paraId="208E9C8B" w14:textId="77777777" w:rsidTr="005479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4" w:type="dxa"/>
            <w:noWrap/>
          </w:tcPr>
          <w:p w14:paraId="120830A1" w14:textId="77777777" w:rsidR="00E7103E" w:rsidRPr="00504A43" w:rsidRDefault="00EF4E1A" w:rsidP="00B60F59">
            <w:pPr>
              <w:rPr>
                <w:rFonts w:ascii="Times New Roman" w:eastAsia="Times New Roman" w:hAnsi="Times New Roman" w:cs="Times New Roman"/>
                <w:b w:val="0"/>
                <w:bCs w:val="0"/>
                <w:color w:val="000000"/>
              </w:rPr>
            </w:pPr>
            <w:r w:rsidRPr="00504A43">
              <w:rPr>
                <w:rFonts w:ascii="Times New Roman" w:eastAsia="Times New Roman" w:hAnsi="Times New Roman" w:cs="Times New Roman"/>
                <w:bCs w:val="0"/>
                <w:color w:val="000000"/>
              </w:rPr>
              <w:t>O</w:t>
            </w:r>
            <w:r w:rsidR="007B6609" w:rsidRPr="00504A43">
              <w:rPr>
                <w:rFonts w:ascii="Times New Roman" w:eastAsia="Times New Roman" w:hAnsi="Times New Roman" w:cs="Times New Roman"/>
                <w:bCs w:val="0"/>
                <w:color w:val="000000"/>
              </w:rPr>
              <w:t>axaca</w:t>
            </w:r>
          </w:p>
        </w:tc>
        <w:tc>
          <w:tcPr>
            <w:tcW w:w="1687" w:type="dxa"/>
            <w:noWrap/>
          </w:tcPr>
          <w:p w14:paraId="5F3E53FF" w14:textId="77777777" w:rsidR="00E7103E" w:rsidRDefault="00A21DAA" w:rsidP="00B60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4614</w:t>
            </w:r>
          </w:p>
        </w:tc>
        <w:tc>
          <w:tcPr>
            <w:tcW w:w="1235" w:type="dxa"/>
            <w:noWrap/>
          </w:tcPr>
          <w:p w14:paraId="752950B9" w14:textId="77777777" w:rsidR="00E7103E" w:rsidRDefault="00A21DAA" w:rsidP="00B60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0.7412224</w:t>
            </w:r>
          </w:p>
        </w:tc>
        <w:tc>
          <w:tcPr>
            <w:tcW w:w="1920" w:type="dxa"/>
            <w:noWrap/>
          </w:tcPr>
          <w:p w14:paraId="4D0AC969" w14:textId="77777777" w:rsidR="00E7103E" w:rsidRDefault="00A21DAA" w:rsidP="00B60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0.4380107</w:t>
            </w:r>
          </w:p>
        </w:tc>
        <w:tc>
          <w:tcPr>
            <w:tcW w:w="1119" w:type="dxa"/>
            <w:noWrap/>
          </w:tcPr>
          <w:p w14:paraId="31DD92E4" w14:textId="77777777" w:rsidR="00E7103E" w:rsidRDefault="00A21DAA" w:rsidP="00B60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0</w:t>
            </w:r>
          </w:p>
        </w:tc>
        <w:tc>
          <w:tcPr>
            <w:tcW w:w="1229" w:type="dxa"/>
            <w:noWrap/>
          </w:tcPr>
          <w:p w14:paraId="1C591530" w14:textId="77777777" w:rsidR="00E7103E" w:rsidRDefault="00A21DAA" w:rsidP="00B60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1</w:t>
            </w:r>
          </w:p>
        </w:tc>
      </w:tr>
      <w:tr w:rsidR="009610CE" w:rsidRPr="00002382" w14:paraId="7C7269E0" w14:textId="77777777" w:rsidTr="005479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4" w:type="dxa"/>
            <w:noWrap/>
          </w:tcPr>
          <w:p w14:paraId="1A184CA0" w14:textId="77777777" w:rsidR="00E7103E" w:rsidRPr="00504A43" w:rsidRDefault="00EF4E1A" w:rsidP="00B60F59">
            <w:pPr>
              <w:rPr>
                <w:rFonts w:ascii="Times New Roman" w:eastAsia="Times New Roman" w:hAnsi="Times New Roman" w:cs="Times New Roman"/>
                <w:b w:val="0"/>
                <w:bCs w:val="0"/>
                <w:color w:val="000000"/>
              </w:rPr>
            </w:pPr>
            <w:r w:rsidRPr="00504A43">
              <w:rPr>
                <w:rFonts w:ascii="Times New Roman" w:eastAsia="Times New Roman" w:hAnsi="Times New Roman" w:cs="Times New Roman"/>
                <w:bCs w:val="0"/>
                <w:color w:val="000000"/>
              </w:rPr>
              <w:t>C</w:t>
            </w:r>
            <w:r w:rsidR="007B6609" w:rsidRPr="00504A43">
              <w:rPr>
                <w:rFonts w:ascii="Times New Roman" w:eastAsia="Times New Roman" w:hAnsi="Times New Roman" w:cs="Times New Roman"/>
                <w:bCs w:val="0"/>
                <w:color w:val="000000"/>
              </w:rPr>
              <w:t>hiapas</w:t>
            </w:r>
          </w:p>
        </w:tc>
        <w:tc>
          <w:tcPr>
            <w:tcW w:w="1687" w:type="dxa"/>
            <w:noWrap/>
          </w:tcPr>
          <w:p w14:paraId="31405E95" w14:textId="77777777" w:rsidR="00E7103E" w:rsidRDefault="00A21DAA" w:rsidP="00B60F5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4614</w:t>
            </w:r>
          </w:p>
        </w:tc>
        <w:tc>
          <w:tcPr>
            <w:tcW w:w="1235" w:type="dxa"/>
            <w:noWrap/>
          </w:tcPr>
          <w:p w14:paraId="0D794669" w14:textId="77777777" w:rsidR="00E7103E" w:rsidRDefault="00A21DAA" w:rsidP="00B60F5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0.153446</w:t>
            </w:r>
          </w:p>
        </w:tc>
        <w:tc>
          <w:tcPr>
            <w:tcW w:w="1920" w:type="dxa"/>
            <w:noWrap/>
          </w:tcPr>
          <w:p w14:paraId="008EDA2E" w14:textId="77777777" w:rsidR="00E7103E" w:rsidRDefault="00A21DAA" w:rsidP="00B60F5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0.360456</w:t>
            </w:r>
          </w:p>
        </w:tc>
        <w:tc>
          <w:tcPr>
            <w:tcW w:w="1119" w:type="dxa"/>
            <w:noWrap/>
          </w:tcPr>
          <w:p w14:paraId="0354B463" w14:textId="77777777" w:rsidR="00E7103E" w:rsidRDefault="00A21DAA" w:rsidP="00B60F5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0</w:t>
            </w:r>
          </w:p>
        </w:tc>
        <w:tc>
          <w:tcPr>
            <w:tcW w:w="1229" w:type="dxa"/>
            <w:noWrap/>
          </w:tcPr>
          <w:p w14:paraId="6398EABE" w14:textId="77777777" w:rsidR="00E7103E" w:rsidRDefault="00A21DAA" w:rsidP="00B60F5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1</w:t>
            </w:r>
          </w:p>
        </w:tc>
      </w:tr>
      <w:tr w:rsidR="009610CE" w:rsidRPr="00002382" w14:paraId="5E22C5EF" w14:textId="77777777" w:rsidTr="005479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4" w:type="dxa"/>
            <w:noWrap/>
          </w:tcPr>
          <w:p w14:paraId="4C54A8B7" w14:textId="77777777" w:rsidR="00E7103E" w:rsidRPr="00504A43" w:rsidRDefault="00EF4E1A" w:rsidP="00B60F59">
            <w:pPr>
              <w:rPr>
                <w:rFonts w:ascii="Times New Roman" w:eastAsia="Times New Roman" w:hAnsi="Times New Roman" w:cs="Times New Roman"/>
                <w:b w:val="0"/>
                <w:bCs w:val="0"/>
                <w:color w:val="000000"/>
              </w:rPr>
            </w:pPr>
            <w:r w:rsidRPr="00504A43">
              <w:rPr>
                <w:rFonts w:ascii="Times New Roman" w:eastAsia="Times New Roman" w:hAnsi="Times New Roman" w:cs="Times New Roman"/>
                <w:bCs w:val="0"/>
                <w:color w:val="000000"/>
              </w:rPr>
              <w:t>C</w:t>
            </w:r>
            <w:r w:rsidR="00A21DAA" w:rsidRPr="00504A43">
              <w:rPr>
                <w:rFonts w:ascii="Times New Roman" w:eastAsia="Times New Roman" w:hAnsi="Times New Roman" w:cs="Times New Roman"/>
                <w:bCs w:val="0"/>
                <w:color w:val="000000"/>
              </w:rPr>
              <w:t>lave</w:t>
            </w:r>
            <w:r w:rsidRPr="00504A43">
              <w:rPr>
                <w:rFonts w:ascii="Times New Roman" w:eastAsia="Times New Roman" w:hAnsi="Times New Roman" w:cs="Times New Roman"/>
                <w:bCs w:val="0"/>
                <w:color w:val="000000"/>
              </w:rPr>
              <w:t xml:space="preserve"> del </w:t>
            </w:r>
            <w:r w:rsidR="00A21DAA" w:rsidRPr="00504A43">
              <w:rPr>
                <w:rFonts w:ascii="Times New Roman" w:eastAsia="Times New Roman" w:hAnsi="Times New Roman" w:cs="Times New Roman"/>
                <w:bCs w:val="0"/>
                <w:color w:val="000000"/>
              </w:rPr>
              <w:t>mun</w:t>
            </w:r>
            <w:r w:rsidRPr="00504A43">
              <w:rPr>
                <w:rFonts w:ascii="Times New Roman" w:eastAsia="Times New Roman" w:hAnsi="Times New Roman" w:cs="Times New Roman"/>
                <w:bCs w:val="0"/>
                <w:color w:val="000000"/>
              </w:rPr>
              <w:t>icipio</w:t>
            </w:r>
          </w:p>
        </w:tc>
        <w:tc>
          <w:tcPr>
            <w:tcW w:w="1687" w:type="dxa"/>
            <w:noWrap/>
          </w:tcPr>
          <w:p w14:paraId="66D95583" w14:textId="77777777" w:rsidR="00E7103E" w:rsidRDefault="00A21DAA" w:rsidP="00B60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4614</w:t>
            </w:r>
          </w:p>
        </w:tc>
        <w:tc>
          <w:tcPr>
            <w:tcW w:w="1235" w:type="dxa"/>
            <w:noWrap/>
          </w:tcPr>
          <w:p w14:paraId="3AB2650C" w14:textId="77777777" w:rsidR="00E7103E" w:rsidRDefault="00E7103E" w:rsidP="00B60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rPr>
            </w:pPr>
          </w:p>
        </w:tc>
        <w:tc>
          <w:tcPr>
            <w:tcW w:w="1920" w:type="dxa"/>
            <w:noWrap/>
          </w:tcPr>
          <w:p w14:paraId="68DB4AC2" w14:textId="77777777" w:rsidR="00E7103E" w:rsidRDefault="00E7103E" w:rsidP="00B60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rPr>
            </w:pPr>
          </w:p>
        </w:tc>
        <w:tc>
          <w:tcPr>
            <w:tcW w:w="1119" w:type="dxa"/>
            <w:noWrap/>
          </w:tcPr>
          <w:p w14:paraId="3FCFE6AB" w14:textId="77777777" w:rsidR="00E7103E" w:rsidRDefault="00E7103E" w:rsidP="00B60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rPr>
            </w:pPr>
          </w:p>
        </w:tc>
        <w:tc>
          <w:tcPr>
            <w:tcW w:w="1229" w:type="dxa"/>
            <w:noWrap/>
          </w:tcPr>
          <w:p w14:paraId="25D10112" w14:textId="77777777" w:rsidR="00E7103E" w:rsidRDefault="00E7103E" w:rsidP="00B60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rPr>
            </w:pPr>
          </w:p>
        </w:tc>
      </w:tr>
      <w:tr w:rsidR="009610CE" w:rsidRPr="00002382" w14:paraId="625BC0BC" w14:textId="77777777" w:rsidTr="005479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4" w:type="dxa"/>
            <w:noWrap/>
          </w:tcPr>
          <w:p w14:paraId="77105D14" w14:textId="77777777" w:rsidR="00E7103E" w:rsidRPr="00504A43" w:rsidRDefault="00EF4E1A" w:rsidP="00B60F59">
            <w:pPr>
              <w:rPr>
                <w:rFonts w:ascii="Times New Roman" w:eastAsia="Times New Roman" w:hAnsi="Times New Roman" w:cs="Times New Roman"/>
                <w:b w:val="0"/>
                <w:bCs w:val="0"/>
                <w:color w:val="000000"/>
              </w:rPr>
            </w:pPr>
            <w:r w:rsidRPr="00504A43">
              <w:rPr>
                <w:rFonts w:ascii="Times New Roman" w:eastAsia="Times New Roman" w:hAnsi="Times New Roman" w:cs="Times New Roman"/>
                <w:bCs w:val="0"/>
                <w:color w:val="000000"/>
              </w:rPr>
              <w:t>Año</w:t>
            </w:r>
          </w:p>
        </w:tc>
        <w:tc>
          <w:tcPr>
            <w:tcW w:w="1687" w:type="dxa"/>
            <w:noWrap/>
          </w:tcPr>
          <w:p w14:paraId="49CFC0C0" w14:textId="77777777" w:rsidR="00E7103E" w:rsidRDefault="00A21DAA" w:rsidP="00B60F5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4614</w:t>
            </w:r>
          </w:p>
        </w:tc>
        <w:tc>
          <w:tcPr>
            <w:tcW w:w="1235" w:type="dxa"/>
            <w:noWrap/>
          </w:tcPr>
          <w:p w14:paraId="42226296" w14:textId="77777777" w:rsidR="00E7103E" w:rsidRDefault="00E7103E" w:rsidP="00B60F5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b/>
                <w:bCs/>
                <w:color w:val="000000"/>
                <w:sz w:val="28"/>
                <w:szCs w:val="28"/>
              </w:rPr>
            </w:pPr>
          </w:p>
        </w:tc>
        <w:tc>
          <w:tcPr>
            <w:tcW w:w="1920" w:type="dxa"/>
            <w:noWrap/>
          </w:tcPr>
          <w:p w14:paraId="3C2CF05B" w14:textId="77777777" w:rsidR="00E7103E" w:rsidRDefault="00E7103E" w:rsidP="00B60F5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b/>
                <w:bCs/>
                <w:color w:val="000000"/>
                <w:sz w:val="28"/>
                <w:szCs w:val="28"/>
              </w:rPr>
            </w:pPr>
          </w:p>
        </w:tc>
        <w:tc>
          <w:tcPr>
            <w:tcW w:w="1119" w:type="dxa"/>
            <w:noWrap/>
          </w:tcPr>
          <w:p w14:paraId="230DA110" w14:textId="77777777" w:rsidR="00E7103E" w:rsidRDefault="00A21DAA" w:rsidP="00B60F5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2007</w:t>
            </w:r>
          </w:p>
        </w:tc>
        <w:tc>
          <w:tcPr>
            <w:tcW w:w="1229" w:type="dxa"/>
            <w:noWrap/>
          </w:tcPr>
          <w:p w14:paraId="5CE899A9" w14:textId="77777777" w:rsidR="00E7103E" w:rsidRDefault="00A21DAA" w:rsidP="00B60F5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2012</w:t>
            </w:r>
          </w:p>
        </w:tc>
      </w:tr>
      <w:tr w:rsidR="009610CE" w:rsidRPr="00002382" w14:paraId="1FCEF53D" w14:textId="77777777" w:rsidTr="005479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4" w:type="dxa"/>
            <w:noWrap/>
          </w:tcPr>
          <w:p w14:paraId="74FDCC0D" w14:textId="77777777" w:rsidR="00E7103E" w:rsidRPr="00504A43" w:rsidRDefault="00EF4E1A" w:rsidP="00B60F59">
            <w:pPr>
              <w:rPr>
                <w:rFonts w:ascii="Times New Roman" w:eastAsia="Times New Roman" w:hAnsi="Times New Roman" w:cs="Times New Roman"/>
                <w:b w:val="0"/>
                <w:bCs w:val="0"/>
                <w:color w:val="000000"/>
              </w:rPr>
            </w:pPr>
            <w:r w:rsidRPr="00504A43">
              <w:rPr>
                <w:rFonts w:ascii="Times New Roman" w:eastAsia="Times New Roman" w:hAnsi="Times New Roman" w:cs="Times New Roman"/>
                <w:bCs w:val="0"/>
                <w:color w:val="000000"/>
              </w:rPr>
              <w:t>Número de proyectos</w:t>
            </w:r>
          </w:p>
        </w:tc>
        <w:tc>
          <w:tcPr>
            <w:tcW w:w="1687" w:type="dxa"/>
            <w:noWrap/>
          </w:tcPr>
          <w:p w14:paraId="478A142B" w14:textId="77777777" w:rsidR="00E7103E" w:rsidRDefault="00A21DAA" w:rsidP="00B60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4613</w:t>
            </w:r>
          </w:p>
        </w:tc>
        <w:tc>
          <w:tcPr>
            <w:tcW w:w="1235" w:type="dxa"/>
            <w:noWrap/>
          </w:tcPr>
          <w:p w14:paraId="1734A2CB" w14:textId="77777777" w:rsidR="00E7103E" w:rsidRDefault="00A21DAA" w:rsidP="00B60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0.2102753</w:t>
            </w:r>
          </w:p>
        </w:tc>
        <w:tc>
          <w:tcPr>
            <w:tcW w:w="1920" w:type="dxa"/>
            <w:noWrap/>
          </w:tcPr>
          <w:p w14:paraId="5956122C" w14:textId="77777777" w:rsidR="00E7103E" w:rsidRDefault="00A21DAA" w:rsidP="00B60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0.8261806</w:t>
            </w:r>
          </w:p>
        </w:tc>
        <w:tc>
          <w:tcPr>
            <w:tcW w:w="1119" w:type="dxa"/>
            <w:noWrap/>
          </w:tcPr>
          <w:p w14:paraId="56040650" w14:textId="77777777" w:rsidR="00E7103E" w:rsidRDefault="00A21DAA" w:rsidP="00B60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0</w:t>
            </w:r>
          </w:p>
        </w:tc>
        <w:tc>
          <w:tcPr>
            <w:tcW w:w="1229" w:type="dxa"/>
            <w:noWrap/>
          </w:tcPr>
          <w:p w14:paraId="73730D37" w14:textId="77777777" w:rsidR="00E7103E" w:rsidRDefault="00A21DAA" w:rsidP="00B60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21</w:t>
            </w:r>
          </w:p>
        </w:tc>
      </w:tr>
      <w:tr w:rsidR="009610CE" w:rsidRPr="00002382" w14:paraId="4E2F256A" w14:textId="77777777" w:rsidTr="005479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4" w:type="dxa"/>
            <w:noWrap/>
          </w:tcPr>
          <w:p w14:paraId="61A2DB2F" w14:textId="77777777" w:rsidR="00E7103E" w:rsidRPr="00504A43" w:rsidRDefault="00EF4E1A" w:rsidP="00B60F59">
            <w:pPr>
              <w:rPr>
                <w:rFonts w:ascii="Times New Roman" w:eastAsia="Times New Roman" w:hAnsi="Times New Roman" w:cs="Times New Roman"/>
                <w:b w:val="0"/>
                <w:bCs w:val="0"/>
                <w:color w:val="000000"/>
              </w:rPr>
            </w:pPr>
            <w:r w:rsidRPr="00504A43">
              <w:rPr>
                <w:rFonts w:ascii="Times New Roman" w:eastAsia="Times New Roman" w:hAnsi="Times New Roman" w:cs="Times New Roman"/>
                <w:bCs w:val="0"/>
                <w:color w:val="000000"/>
              </w:rPr>
              <w:t>Monto del proyecto</w:t>
            </w:r>
          </w:p>
        </w:tc>
        <w:tc>
          <w:tcPr>
            <w:tcW w:w="1687" w:type="dxa"/>
            <w:noWrap/>
          </w:tcPr>
          <w:p w14:paraId="3FBF727D" w14:textId="77777777" w:rsidR="00E7103E" w:rsidRDefault="00A21DAA" w:rsidP="00B60F5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4614</w:t>
            </w:r>
          </w:p>
        </w:tc>
        <w:tc>
          <w:tcPr>
            <w:tcW w:w="1235" w:type="dxa"/>
            <w:noWrap/>
          </w:tcPr>
          <w:p w14:paraId="2E980C23" w14:textId="77777777" w:rsidR="00E7103E" w:rsidRDefault="00A21DAA" w:rsidP="00B60F5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2797463</w:t>
            </w:r>
          </w:p>
        </w:tc>
        <w:tc>
          <w:tcPr>
            <w:tcW w:w="1920" w:type="dxa"/>
            <w:noWrap/>
          </w:tcPr>
          <w:p w14:paraId="1A1675AE" w14:textId="77777777" w:rsidR="00E7103E" w:rsidRDefault="00A21DAA" w:rsidP="00B60F5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19900000</w:t>
            </w:r>
          </w:p>
        </w:tc>
        <w:tc>
          <w:tcPr>
            <w:tcW w:w="1119" w:type="dxa"/>
            <w:noWrap/>
          </w:tcPr>
          <w:p w14:paraId="6AAD5B51" w14:textId="77777777" w:rsidR="00E7103E" w:rsidRDefault="00A21DAA" w:rsidP="00B60F5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0</w:t>
            </w:r>
          </w:p>
        </w:tc>
        <w:tc>
          <w:tcPr>
            <w:tcW w:w="1229" w:type="dxa"/>
            <w:noWrap/>
          </w:tcPr>
          <w:p w14:paraId="17951ABB" w14:textId="77777777" w:rsidR="00E7103E" w:rsidRDefault="00A21DAA" w:rsidP="00B60F5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800000000</w:t>
            </w:r>
          </w:p>
        </w:tc>
      </w:tr>
      <w:tr w:rsidR="009610CE" w:rsidRPr="00002382" w14:paraId="5D8E56AF" w14:textId="77777777" w:rsidTr="005479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4" w:type="dxa"/>
            <w:noWrap/>
          </w:tcPr>
          <w:p w14:paraId="01BB372B" w14:textId="77777777" w:rsidR="00E7103E" w:rsidRPr="00504A43" w:rsidRDefault="00EF4E1A" w:rsidP="00B60F59">
            <w:pPr>
              <w:rPr>
                <w:rFonts w:ascii="Times New Roman" w:eastAsia="Times New Roman" w:hAnsi="Times New Roman" w:cs="Times New Roman"/>
                <w:b w:val="0"/>
                <w:bCs w:val="0"/>
                <w:color w:val="000000"/>
              </w:rPr>
            </w:pPr>
            <w:r w:rsidRPr="00504A43">
              <w:rPr>
                <w:rFonts w:ascii="Times New Roman" w:eastAsia="Times New Roman" w:hAnsi="Times New Roman" w:cs="Times New Roman"/>
                <w:bCs w:val="0"/>
                <w:color w:val="000000"/>
              </w:rPr>
              <w:t>Población</w:t>
            </w:r>
          </w:p>
        </w:tc>
        <w:tc>
          <w:tcPr>
            <w:tcW w:w="1687" w:type="dxa"/>
            <w:noWrap/>
          </w:tcPr>
          <w:p w14:paraId="06401011" w14:textId="77777777" w:rsidR="00E7103E" w:rsidRDefault="00A21DAA" w:rsidP="00B60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4614</w:t>
            </w:r>
          </w:p>
        </w:tc>
        <w:tc>
          <w:tcPr>
            <w:tcW w:w="1235" w:type="dxa"/>
            <w:noWrap/>
          </w:tcPr>
          <w:p w14:paraId="62B50C6E" w14:textId="77777777" w:rsidR="00E7103E" w:rsidRDefault="00A21DAA" w:rsidP="00B60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78818.72</w:t>
            </w:r>
          </w:p>
        </w:tc>
        <w:tc>
          <w:tcPr>
            <w:tcW w:w="1920" w:type="dxa"/>
            <w:noWrap/>
          </w:tcPr>
          <w:p w14:paraId="56AAC7E5" w14:textId="77777777" w:rsidR="00E7103E" w:rsidRDefault="00A21DAA" w:rsidP="00B60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1764578</w:t>
            </w:r>
          </w:p>
        </w:tc>
        <w:tc>
          <w:tcPr>
            <w:tcW w:w="1119" w:type="dxa"/>
            <w:noWrap/>
          </w:tcPr>
          <w:p w14:paraId="70C374FB" w14:textId="77777777" w:rsidR="00E7103E" w:rsidRDefault="00A21DAA" w:rsidP="00B60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102</w:t>
            </w:r>
          </w:p>
        </w:tc>
        <w:tc>
          <w:tcPr>
            <w:tcW w:w="1229" w:type="dxa"/>
            <w:noWrap/>
          </w:tcPr>
          <w:p w14:paraId="156BA464" w14:textId="77777777" w:rsidR="00E7103E" w:rsidRDefault="00A21DAA" w:rsidP="00B60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49000000</w:t>
            </w:r>
          </w:p>
        </w:tc>
      </w:tr>
      <w:tr w:rsidR="009610CE" w:rsidRPr="00002382" w14:paraId="35FC47AB" w14:textId="77777777" w:rsidTr="005479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4" w:type="dxa"/>
            <w:noWrap/>
          </w:tcPr>
          <w:p w14:paraId="38A066EB" w14:textId="77777777" w:rsidR="00E7103E" w:rsidRPr="00504A43" w:rsidRDefault="00EF4E1A" w:rsidP="00B60F59">
            <w:pPr>
              <w:rPr>
                <w:rFonts w:ascii="Times New Roman" w:eastAsia="Times New Roman" w:hAnsi="Times New Roman" w:cs="Times New Roman"/>
                <w:b w:val="0"/>
                <w:bCs w:val="0"/>
                <w:color w:val="000000"/>
              </w:rPr>
            </w:pPr>
            <w:r w:rsidRPr="00504A43">
              <w:rPr>
                <w:rFonts w:ascii="Times New Roman" w:eastAsia="Times New Roman" w:hAnsi="Times New Roman" w:cs="Times New Roman"/>
                <w:bCs w:val="0"/>
                <w:color w:val="000000"/>
              </w:rPr>
              <w:t>Monto per cápita de los proyectos</w:t>
            </w:r>
          </w:p>
        </w:tc>
        <w:tc>
          <w:tcPr>
            <w:tcW w:w="1687" w:type="dxa"/>
            <w:noWrap/>
          </w:tcPr>
          <w:p w14:paraId="7C991C0F" w14:textId="77777777" w:rsidR="00E7103E" w:rsidRDefault="00A21DAA" w:rsidP="00B60F5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4614</w:t>
            </w:r>
          </w:p>
        </w:tc>
        <w:tc>
          <w:tcPr>
            <w:tcW w:w="1235" w:type="dxa"/>
            <w:noWrap/>
          </w:tcPr>
          <w:p w14:paraId="18D671B9" w14:textId="77777777" w:rsidR="00E7103E" w:rsidRDefault="00A21DAA" w:rsidP="00B60F5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189.4934</w:t>
            </w:r>
          </w:p>
        </w:tc>
        <w:tc>
          <w:tcPr>
            <w:tcW w:w="1920" w:type="dxa"/>
            <w:noWrap/>
          </w:tcPr>
          <w:p w14:paraId="75D58CDD" w14:textId="77777777" w:rsidR="00E7103E" w:rsidRDefault="00A21DAA" w:rsidP="00B60F5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2114.332</w:t>
            </w:r>
          </w:p>
        </w:tc>
        <w:tc>
          <w:tcPr>
            <w:tcW w:w="1119" w:type="dxa"/>
            <w:noWrap/>
          </w:tcPr>
          <w:p w14:paraId="1C89DF24" w14:textId="77777777" w:rsidR="00E7103E" w:rsidRDefault="00A21DAA" w:rsidP="00B60F5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0</w:t>
            </w:r>
          </w:p>
        </w:tc>
        <w:tc>
          <w:tcPr>
            <w:tcW w:w="1229" w:type="dxa"/>
            <w:noWrap/>
          </w:tcPr>
          <w:p w14:paraId="70422E6F" w14:textId="77777777" w:rsidR="00E7103E" w:rsidRDefault="00A21DAA" w:rsidP="00B60F5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88397.79</w:t>
            </w:r>
          </w:p>
        </w:tc>
      </w:tr>
      <w:tr w:rsidR="009610CE" w:rsidRPr="00002382" w14:paraId="06D79E18" w14:textId="77777777" w:rsidTr="005479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4" w:type="dxa"/>
            <w:noWrap/>
          </w:tcPr>
          <w:p w14:paraId="2A5641F7" w14:textId="77777777" w:rsidR="00E7103E" w:rsidRPr="00504A43" w:rsidRDefault="00EF4E1A" w:rsidP="00B60F59">
            <w:pPr>
              <w:rPr>
                <w:rFonts w:ascii="Times New Roman" w:eastAsia="Times New Roman" w:hAnsi="Times New Roman" w:cs="Times New Roman"/>
                <w:b w:val="0"/>
                <w:bCs w:val="0"/>
                <w:color w:val="000000"/>
              </w:rPr>
            </w:pPr>
            <w:r w:rsidRPr="00504A43">
              <w:rPr>
                <w:rFonts w:ascii="Times New Roman" w:eastAsia="Times New Roman" w:hAnsi="Times New Roman" w:cs="Times New Roman"/>
                <w:bCs w:val="0"/>
                <w:color w:val="000000"/>
              </w:rPr>
              <w:t>IDH</w:t>
            </w:r>
          </w:p>
        </w:tc>
        <w:tc>
          <w:tcPr>
            <w:tcW w:w="1687" w:type="dxa"/>
            <w:noWrap/>
          </w:tcPr>
          <w:p w14:paraId="4A2D6836" w14:textId="77777777" w:rsidR="00E7103E" w:rsidRDefault="00A21DAA" w:rsidP="00B60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4614</w:t>
            </w:r>
          </w:p>
        </w:tc>
        <w:tc>
          <w:tcPr>
            <w:tcW w:w="1235" w:type="dxa"/>
            <w:noWrap/>
          </w:tcPr>
          <w:p w14:paraId="4B03C465" w14:textId="77777777" w:rsidR="00E7103E" w:rsidRDefault="00A21DAA" w:rsidP="00B60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0.7193355</w:t>
            </w:r>
          </w:p>
        </w:tc>
        <w:tc>
          <w:tcPr>
            <w:tcW w:w="1920" w:type="dxa"/>
            <w:noWrap/>
          </w:tcPr>
          <w:p w14:paraId="6A923C4B" w14:textId="77777777" w:rsidR="00E7103E" w:rsidRDefault="00A21DAA" w:rsidP="00B60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0.0647836</w:t>
            </w:r>
          </w:p>
        </w:tc>
        <w:tc>
          <w:tcPr>
            <w:tcW w:w="1119" w:type="dxa"/>
            <w:noWrap/>
          </w:tcPr>
          <w:p w14:paraId="071FEEC7" w14:textId="77777777" w:rsidR="00E7103E" w:rsidRDefault="00A21DAA" w:rsidP="00B60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0.4354</w:t>
            </w:r>
          </w:p>
        </w:tc>
        <w:tc>
          <w:tcPr>
            <w:tcW w:w="1229" w:type="dxa"/>
            <w:noWrap/>
          </w:tcPr>
          <w:p w14:paraId="6F18007D" w14:textId="77777777" w:rsidR="00E7103E" w:rsidRDefault="00A21DAA" w:rsidP="00B60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0.9204</w:t>
            </w:r>
          </w:p>
        </w:tc>
      </w:tr>
      <w:tr w:rsidR="009610CE" w:rsidRPr="00002382" w14:paraId="64FCA0BC" w14:textId="77777777" w:rsidTr="005479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4" w:type="dxa"/>
            <w:noWrap/>
          </w:tcPr>
          <w:p w14:paraId="18D8BABD" w14:textId="77777777" w:rsidR="00E7103E" w:rsidRPr="00504A43" w:rsidRDefault="00EF4E1A" w:rsidP="00B60F59">
            <w:pPr>
              <w:rPr>
                <w:rFonts w:ascii="Times New Roman" w:eastAsia="Times New Roman" w:hAnsi="Times New Roman" w:cs="Times New Roman"/>
                <w:b w:val="0"/>
                <w:bCs w:val="0"/>
                <w:color w:val="000000"/>
              </w:rPr>
            </w:pPr>
            <w:r w:rsidRPr="00504A43">
              <w:rPr>
                <w:rFonts w:ascii="Times New Roman" w:eastAsia="Times New Roman" w:hAnsi="Times New Roman" w:cs="Times New Roman"/>
                <w:bCs w:val="0"/>
                <w:color w:val="000000"/>
              </w:rPr>
              <w:t>Cambio en IDH</w:t>
            </w:r>
          </w:p>
        </w:tc>
        <w:tc>
          <w:tcPr>
            <w:tcW w:w="1687" w:type="dxa"/>
            <w:noWrap/>
          </w:tcPr>
          <w:p w14:paraId="4D80AB18" w14:textId="77777777" w:rsidR="00E7103E" w:rsidRDefault="00A21DAA" w:rsidP="00B60F5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4524</w:t>
            </w:r>
          </w:p>
        </w:tc>
        <w:tc>
          <w:tcPr>
            <w:tcW w:w="1235" w:type="dxa"/>
            <w:noWrap/>
          </w:tcPr>
          <w:p w14:paraId="5C3087AA" w14:textId="77777777" w:rsidR="00E7103E" w:rsidRDefault="00A21DAA" w:rsidP="00B60F5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10.3771</w:t>
            </w:r>
          </w:p>
        </w:tc>
        <w:tc>
          <w:tcPr>
            <w:tcW w:w="1920" w:type="dxa"/>
            <w:noWrap/>
          </w:tcPr>
          <w:p w14:paraId="4CD17DB1" w14:textId="77777777" w:rsidR="00E7103E" w:rsidRDefault="00A21DAA" w:rsidP="00B60F5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4.366576</w:t>
            </w:r>
          </w:p>
        </w:tc>
        <w:tc>
          <w:tcPr>
            <w:tcW w:w="1119" w:type="dxa"/>
            <w:noWrap/>
          </w:tcPr>
          <w:p w14:paraId="1BCFCF96" w14:textId="77777777" w:rsidR="00E7103E" w:rsidRDefault="00A21DAA" w:rsidP="00B60F5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0.46</w:t>
            </w:r>
          </w:p>
        </w:tc>
        <w:tc>
          <w:tcPr>
            <w:tcW w:w="1229" w:type="dxa"/>
            <w:noWrap/>
          </w:tcPr>
          <w:p w14:paraId="0E5B70A2" w14:textId="77777777" w:rsidR="00E7103E" w:rsidRDefault="00A21DAA" w:rsidP="00B60F5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36.37</w:t>
            </w:r>
          </w:p>
        </w:tc>
      </w:tr>
      <w:tr w:rsidR="009610CE" w:rsidRPr="00002382" w14:paraId="31639C24" w14:textId="77777777" w:rsidTr="005479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4" w:type="dxa"/>
            <w:noWrap/>
          </w:tcPr>
          <w:p w14:paraId="4AAF3ABE" w14:textId="77777777" w:rsidR="00E7103E" w:rsidRPr="00504A43" w:rsidRDefault="00EF4E1A" w:rsidP="00B60F59">
            <w:pPr>
              <w:rPr>
                <w:rFonts w:ascii="Times New Roman" w:eastAsia="Times New Roman" w:hAnsi="Times New Roman" w:cs="Times New Roman"/>
                <w:b w:val="0"/>
                <w:bCs w:val="0"/>
                <w:color w:val="000000"/>
              </w:rPr>
            </w:pPr>
            <w:r w:rsidRPr="00504A43">
              <w:rPr>
                <w:rFonts w:ascii="Times New Roman" w:eastAsia="Times New Roman" w:hAnsi="Times New Roman" w:cs="Times New Roman"/>
                <w:bCs w:val="0"/>
                <w:color w:val="000000"/>
              </w:rPr>
              <w:t xml:space="preserve">Margen de </w:t>
            </w:r>
            <w:r w:rsidRPr="00504A43">
              <w:rPr>
                <w:rFonts w:ascii="Times New Roman" w:eastAsia="Times New Roman" w:hAnsi="Times New Roman" w:cs="Times New Roman"/>
                <w:bCs w:val="0"/>
                <w:color w:val="000000"/>
              </w:rPr>
              <w:lastRenderedPageBreak/>
              <w:t>victoria</w:t>
            </w:r>
          </w:p>
        </w:tc>
        <w:tc>
          <w:tcPr>
            <w:tcW w:w="1687" w:type="dxa"/>
            <w:noWrap/>
          </w:tcPr>
          <w:p w14:paraId="3F6D5AD3" w14:textId="77777777" w:rsidR="00E7103E" w:rsidRDefault="00A21DAA" w:rsidP="00B60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lastRenderedPageBreak/>
              <w:t>4584</w:t>
            </w:r>
          </w:p>
        </w:tc>
        <w:tc>
          <w:tcPr>
            <w:tcW w:w="1235" w:type="dxa"/>
            <w:noWrap/>
          </w:tcPr>
          <w:p w14:paraId="61421549" w14:textId="77777777" w:rsidR="00E7103E" w:rsidRDefault="00A21DAA" w:rsidP="009610C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21.</w:t>
            </w:r>
            <w:r w:rsidR="009610CE">
              <w:rPr>
                <w:rFonts w:ascii="Calibri" w:eastAsia="Times New Roman" w:hAnsi="Calibri" w:cs="Calibri"/>
                <w:color w:val="000000"/>
              </w:rPr>
              <w:t>15921</w:t>
            </w:r>
          </w:p>
        </w:tc>
        <w:tc>
          <w:tcPr>
            <w:tcW w:w="1920" w:type="dxa"/>
            <w:noWrap/>
          </w:tcPr>
          <w:p w14:paraId="3F377A0B" w14:textId="77777777" w:rsidR="00E7103E" w:rsidRDefault="00A21DAA" w:rsidP="009610C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18.</w:t>
            </w:r>
            <w:r w:rsidR="009610CE" w:rsidRPr="00002382">
              <w:rPr>
                <w:rFonts w:ascii="Calibri" w:eastAsia="Times New Roman" w:hAnsi="Calibri" w:cs="Calibri"/>
                <w:color w:val="000000"/>
              </w:rPr>
              <w:t>8</w:t>
            </w:r>
            <w:r w:rsidR="009610CE">
              <w:rPr>
                <w:rFonts w:ascii="Calibri" w:eastAsia="Times New Roman" w:hAnsi="Calibri" w:cs="Calibri"/>
                <w:color w:val="000000"/>
              </w:rPr>
              <w:t>1167</w:t>
            </w:r>
          </w:p>
        </w:tc>
        <w:tc>
          <w:tcPr>
            <w:tcW w:w="1119" w:type="dxa"/>
            <w:noWrap/>
          </w:tcPr>
          <w:p w14:paraId="4E51E0BF" w14:textId="77777777" w:rsidR="00E7103E" w:rsidRDefault="00A21DAA" w:rsidP="00B60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0</w:t>
            </w:r>
            <w:r w:rsidR="009610CE">
              <w:rPr>
                <w:rFonts w:ascii="Calibri" w:eastAsia="Times New Roman" w:hAnsi="Calibri" w:cs="Calibri"/>
                <w:color w:val="000000"/>
              </w:rPr>
              <w:t>.08</w:t>
            </w:r>
          </w:p>
        </w:tc>
        <w:tc>
          <w:tcPr>
            <w:tcW w:w="1229" w:type="dxa"/>
            <w:noWrap/>
          </w:tcPr>
          <w:p w14:paraId="3627D6AE" w14:textId="77777777" w:rsidR="00E7103E" w:rsidRDefault="00A21DAA" w:rsidP="00B60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95.92</w:t>
            </w:r>
          </w:p>
        </w:tc>
      </w:tr>
      <w:tr w:rsidR="009610CE" w:rsidRPr="00002382" w14:paraId="6B36CCC6" w14:textId="77777777" w:rsidTr="005479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4" w:type="dxa"/>
            <w:noWrap/>
          </w:tcPr>
          <w:p w14:paraId="5569DD21" w14:textId="77777777" w:rsidR="00E7103E" w:rsidRPr="00504A43" w:rsidRDefault="009716DD" w:rsidP="00B60F59">
            <w:pPr>
              <w:rPr>
                <w:rFonts w:ascii="Times New Roman" w:eastAsia="Times New Roman" w:hAnsi="Times New Roman" w:cs="Times New Roman"/>
                <w:b w:val="0"/>
                <w:bCs w:val="0"/>
                <w:color w:val="000000"/>
              </w:rPr>
            </w:pPr>
            <w:r w:rsidRPr="00504A43">
              <w:rPr>
                <w:rFonts w:ascii="Times New Roman" w:eastAsia="Times New Roman" w:hAnsi="Times New Roman" w:cs="Times New Roman"/>
                <w:bCs w:val="0"/>
                <w:color w:val="000000"/>
              </w:rPr>
              <w:lastRenderedPageBreak/>
              <w:t>Mismo partido</w:t>
            </w:r>
          </w:p>
        </w:tc>
        <w:tc>
          <w:tcPr>
            <w:tcW w:w="1687" w:type="dxa"/>
            <w:noWrap/>
          </w:tcPr>
          <w:p w14:paraId="595522D6" w14:textId="77777777" w:rsidR="00E7103E" w:rsidRDefault="00A21DAA" w:rsidP="00B60F5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4584</w:t>
            </w:r>
          </w:p>
        </w:tc>
        <w:tc>
          <w:tcPr>
            <w:tcW w:w="1235" w:type="dxa"/>
            <w:noWrap/>
          </w:tcPr>
          <w:p w14:paraId="32266281" w14:textId="77777777" w:rsidR="00E7103E" w:rsidRDefault="00A21DAA" w:rsidP="009610CE">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0.</w:t>
            </w:r>
            <w:r w:rsidR="009610CE" w:rsidRPr="00002382">
              <w:rPr>
                <w:rFonts w:ascii="Calibri" w:eastAsia="Times New Roman" w:hAnsi="Calibri" w:cs="Calibri"/>
                <w:color w:val="000000"/>
              </w:rPr>
              <w:t>6</w:t>
            </w:r>
            <w:r w:rsidR="009610CE">
              <w:rPr>
                <w:rFonts w:ascii="Calibri" w:eastAsia="Times New Roman" w:hAnsi="Calibri" w:cs="Calibri"/>
                <w:color w:val="000000"/>
              </w:rPr>
              <w:t>112565</w:t>
            </w:r>
          </w:p>
        </w:tc>
        <w:tc>
          <w:tcPr>
            <w:tcW w:w="1920" w:type="dxa"/>
            <w:noWrap/>
          </w:tcPr>
          <w:p w14:paraId="059DC4E3" w14:textId="77777777" w:rsidR="00E7103E" w:rsidRDefault="00A21DAA" w:rsidP="009610CE">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0.</w:t>
            </w:r>
            <w:r w:rsidR="009610CE" w:rsidRPr="00002382">
              <w:rPr>
                <w:rFonts w:ascii="Calibri" w:eastAsia="Times New Roman" w:hAnsi="Calibri" w:cs="Calibri"/>
                <w:color w:val="000000"/>
              </w:rPr>
              <w:t>48</w:t>
            </w:r>
            <w:r w:rsidR="009610CE">
              <w:rPr>
                <w:rFonts w:ascii="Calibri" w:eastAsia="Times New Roman" w:hAnsi="Calibri" w:cs="Calibri"/>
                <w:color w:val="000000"/>
              </w:rPr>
              <w:t>7518</w:t>
            </w:r>
          </w:p>
        </w:tc>
        <w:tc>
          <w:tcPr>
            <w:tcW w:w="1119" w:type="dxa"/>
            <w:noWrap/>
          </w:tcPr>
          <w:p w14:paraId="1096D9A9" w14:textId="77777777" w:rsidR="00E7103E" w:rsidRDefault="00A21DAA" w:rsidP="00B60F5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0</w:t>
            </w:r>
          </w:p>
        </w:tc>
        <w:tc>
          <w:tcPr>
            <w:tcW w:w="1229" w:type="dxa"/>
            <w:noWrap/>
          </w:tcPr>
          <w:p w14:paraId="0628EDC8" w14:textId="77777777" w:rsidR="00E7103E" w:rsidRDefault="00A21DAA" w:rsidP="00B60F5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1</w:t>
            </w:r>
          </w:p>
        </w:tc>
      </w:tr>
      <w:tr w:rsidR="009610CE" w:rsidRPr="00002382" w14:paraId="7782BD59" w14:textId="77777777" w:rsidTr="005479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4" w:type="dxa"/>
            <w:noWrap/>
          </w:tcPr>
          <w:p w14:paraId="305AADD5" w14:textId="77777777" w:rsidR="00E7103E" w:rsidRPr="00504A43" w:rsidRDefault="009716DD" w:rsidP="009610CE">
            <w:pPr>
              <w:ind w:right="-166"/>
              <w:rPr>
                <w:rFonts w:ascii="Times New Roman" w:eastAsia="Times New Roman" w:hAnsi="Times New Roman" w:cs="Times New Roman"/>
                <w:b w:val="0"/>
                <w:bCs w:val="0"/>
                <w:color w:val="000000"/>
              </w:rPr>
            </w:pPr>
            <w:r w:rsidRPr="00504A43">
              <w:rPr>
                <w:rFonts w:ascii="Times New Roman" w:eastAsia="Times New Roman" w:hAnsi="Times New Roman" w:cs="Times New Roman"/>
                <w:bCs w:val="0"/>
                <w:color w:val="000000"/>
              </w:rPr>
              <w:t>Año electoral municipal</w:t>
            </w:r>
          </w:p>
        </w:tc>
        <w:tc>
          <w:tcPr>
            <w:tcW w:w="1687" w:type="dxa"/>
            <w:noWrap/>
          </w:tcPr>
          <w:p w14:paraId="21CB9F6B" w14:textId="77777777" w:rsidR="00E7103E" w:rsidRDefault="009610CE" w:rsidP="00B60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2106</w:t>
            </w:r>
          </w:p>
        </w:tc>
        <w:tc>
          <w:tcPr>
            <w:tcW w:w="1235" w:type="dxa"/>
            <w:noWrap/>
          </w:tcPr>
          <w:p w14:paraId="1BAF99F3" w14:textId="77777777" w:rsidR="00E7103E" w:rsidRDefault="00A21DAA" w:rsidP="00B60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0.3333333</w:t>
            </w:r>
          </w:p>
        </w:tc>
        <w:tc>
          <w:tcPr>
            <w:tcW w:w="1920" w:type="dxa"/>
            <w:noWrap/>
          </w:tcPr>
          <w:p w14:paraId="3AB1BD18" w14:textId="77777777" w:rsidR="00E7103E" w:rsidRDefault="00A21DAA" w:rsidP="009610C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0.47</w:t>
            </w:r>
            <w:r w:rsidR="009610CE">
              <w:rPr>
                <w:rFonts w:ascii="Calibri" w:eastAsia="Times New Roman" w:hAnsi="Calibri" w:cs="Calibri"/>
                <w:color w:val="000000"/>
              </w:rPr>
              <w:t>15</w:t>
            </w:r>
            <w:r w:rsidRPr="00002382">
              <w:rPr>
                <w:rFonts w:ascii="Calibri" w:eastAsia="Times New Roman" w:hAnsi="Calibri" w:cs="Calibri"/>
                <w:color w:val="000000"/>
              </w:rPr>
              <w:t>16</w:t>
            </w:r>
            <w:r w:rsidR="009610CE">
              <w:rPr>
                <w:rFonts w:ascii="Calibri" w:eastAsia="Times New Roman" w:hAnsi="Calibri" w:cs="Calibri"/>
                <w:color w:val="000000"/>
              </w:rPr>
              <w:t>5</w:t>
            </w:r>
          </w:p>
        </w:tc>
        <w:tc>
          <w:tcPr>
            <w:tcW w:w="1119" w:type="dxa"/>
            <w:noWrap/>
          </w:tcPr>
          <w:p w14:paraId="4FB015F0" w14:textId="77777777" w:rsidR="00E7103E" w:rsidRDefault="00A21DAA" w:rsidP="00B60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0</w:t>
            </w:r>
          </w:p>
        </w:tc>
        <w:tc>
          <w:tcPr>
            <w:tcW w:w="1229" w:type="dxa"/>
            <w:noWrap/>
          </w:tcPr>
          <w:p w14:paraId="31467852" w14:textId="77777777" w:rsidR="00E7103E" w:rsidRDefault="00A21DAA" w:rsidP="00B60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1</w:t>
            </w:r>
          </w:p>
        </w:tc>
      </w:tr>
      <w:tr w:rsidR="009610CE" w:rsidRPr="00002382" w14:paraId="267FE41F" w14:textId="77777777" w:rsidTr="005479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4" w:type="dxa"/>
            <w:noWrap/>
          </w:tcPr>
          <w:p w14:paraId="6DA6FE2F" w14:textId="77777777" w:rsidR="00E7103E" w:rsidRPr="00504A43" w:rsidRDefault="009716DD" w:rsidP="00B60F59">
            <w:pPr>
              <w:rPr>
                <w:rFonts w:ascii="Times New Roman" w:eastAsia="Times New Roman" w:hAnsi="Times New Roman" w:cs="Times New Roman"/>
                <w:b w:val="0"/>
                <w:bCs w:val="0"/>
                <w:color w:val="000000"/>
              </w:rPr>
            </w:pPr>
            <w:r w:rsidRPr="00504A43">
              <w:rPr>
                <w:rFonts w:ascii="Times New Roman" w:eastAsia="Times New Roman" w:hAnsi="Times New Roman" w:cs="Times New Roman"/>
                <w:bCs w:val="0"/>
                <w:color w:val="000000"/>
              </w:rPr>
              <w:t>Año electoral para gobernador</w:t>
            </w:r>
          </w:p>
        </w:tc>
        <w:tc>
          <w:tcPr>
            <w:tcW w:w="1687" w:type="dxa"/>
            <w:noWrap/>
          </w:tcPr>
          <w:p w14:paraId="3A723ED8" w14:textId="77777777" w:rsidR="00E7103E" w:rsidRDefault="00A21DAA" w:rsidP="00B60F5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4614</w:t>
            </w:r>
          </w:p>
        </w:tc>
        <w:tc>
          <w:tcPr>
            <w:tcW w:w="1235" w:type="dxa"/>
            <w:noWrap/>
          </w:tcPr>
          <w:p w14:paraId="4BE1C25A" w14:textId="77777777" w:rsidR="00E7103E" w:rsidRDefault="00A21DAA" w:rsidP="00B60F5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0.1666667</w:t>
            </w:r>
          </w:p>
        </w:tc>
        <w:tc>
          <w:tcPr>
            <w:tcW w:w="1920" w:type="dxa"/>
            <w:noWrap/>
          </w:tcPr>
          <w:p w14:paraId="2EE9E764" w14:textId="77777777" w:rsidR="00E7103E" w:rsidRDefault="00A21DAA" w:rsidP="00B60F5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0.3727184</w:t>
            </w:r>
          </w:p>
        </w:tc>
        <w:tc>
          <w:tcPr>
            <w:tcW w:w="1119" w:type="dxa"/>
            <w:noWrap/>
          </w:tcPr>
          <w:p w14:paraId="5E5EA1FF" w14:textId="77777777" w:rsidR="00E7103E" w:rsidRDefault="00A21DAA" w:rsidP="00B60F5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0</w:t>
            </w:r>
          </w:p>
        </w:tc>
        <w:tc>
          <w:tcPr>
            <w:tcW w:w="1229" w:type="dxa"/>
            <w:noWrap/>
          </w:tcPr>
          <w:p w14:paraId="6F799617" w14:textId="77777777" w:rsidR="00E7103E" w:rsidRDefault="00A21DAA" w:rsidP="00B60F5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1</w:t>
            </w:r>
          </w:p>
        </w:tc>
      </w:tr>
      <w:tr w:rsidR="009610CE" w:rsidRPr="00002382" w14:paraId="7B15B484" w14:textId="77777777" w:rsidTr="005479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4" w:type="dxa"/>
            <w:noWrap/>
          </w:tcPr>
          <w:p w14:paraId="135F452B" w14:textId="77777777" w:rsidR="00E7103E" w:rsidRPr="00504A43" w:rsidRDefault="009716DD" w:rsidP="00B60F59">
            <w:pPr>
              <w:rPr>
                <w:rFonts w:ascii="Times New Roman" w:eastAsia="Times New Roman" w:hAnsi="Times New Roman" w:cs="Times New Roman"/>
                <w:b w:val="0"/>
                <w:bCs w:val="0"/>
                <w:color w:val="000000"/>
              </w:rPr>
            </w:pPr>
            <w:r w:rsidRPr="00504A43">
              <w:rPr>
                <w:rFonts w:ascii="Times New Roman" w:eastAsia="Times New Roman" w:hAnsi="Times New Roman" w:cs="Times New Roman"/>
                <w:bCs w:val="0"/>
                <w:color w:val="000000"/>
              </w:rPr>
              <w:t>Año previo a elección municipal</w:t>
            </w:r>
          </w:p>
        </w:tc>
        <w:tc>
          <w:tcPr>
            <w:tcW w:w="1687" w:type="dxa"/>
            <w:noWrap/>
          </w:tcPr>
          <w:p w14:paraId="48ED362C" w14:textId="77777777" w:rsidR="00E7103E" w:rsidRDefault="009610CE" w:rsidP="00B60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2106</w:t>
            </w:r>
          </w:p>
        </w:tc>
        <w:tc>
          <w:tcPr>
            <w:tcW w:w="1235" w:type="dxa"/>
            <w:noWrap/>
          </w:tcPr>
          <w:p w14:paraId="4F440EA0" w14:textId="77777777" w:rsidR="00E7103E" w:rsidRDefault="00A21DAA" w:rsidP="00B60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0.3333333</w:t>
            </w:r>
          </w:p>
        </w:tc>
        <w:tc>
          <w:tcPr>
            <w:tcW w:w="1920" w:type="dxa"/>
            <w:noWrap/>
          </w:tcPr>
          <w:p w14:paraId="00F1E566" w14:textId="77777777" w:rsidR="00E7103E" w:rsidRDefault="009610CE" w:rsidP="00B60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0.47</w:t>
            </w:r>
            <w:r>
              <w:rPr>
                <w:rFonts w:ascii="Calibri" w:eastAsia="Times New Roman" w:hAnsi="Calibri" w:cs="Calibri"/>
                <w:color w:val="000000"/>
              </w:rPr>
              <w:t>15</w:t>
            </w:r>
            <w:r w:rsidRPr="00002382">
              <w:rPr>
                <w:rFonts w:ascii="Calibri" w:eastAsia="Times New Roman" w:hAnsi="Calibri" w:cs="Calibri"/>
                <w:color w:val="000000"/>
              </w:rPr>
              <w:t>16</w:t>
            </w:r>
            <w:r>
              <w:rPr>
                <w:rFonts w:ascii="Calibri" w:eastAsia="Times New Roman" w:hAnsi="Calibri" w:cs="Calibri"/>
                <w:color w:val="000000"/>
              </w:rPr>
              <w:t>5</w:t>
            </w:r>
          </w:p>
        </w:tc>
        <w:tc>
          <w:tcPr>
            <w:tcW w:w="1119" w:type="dxa"/>
            <w:noWrap/>
          </w:tcPr>
          <w:p w14:paraId="5AFA224A" w14:textId="77777777" w:rsidR="00E7103E" w:rsidRDefault="00A21DAA" w:rsidP="00B60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0</w:t>
            </w:r>
          </w:p>
        </w:tc>
        <w:tc>
          <w:tcPr>
            <w:tcW w:w="1229" w:type="dxa"/>
            <w:noWrap/>
          </w:tcPr>
          <w:p w14:paraId="49025F7A" w14:textId="77777777" w:rsidR="00E7103E" w:rsidRDefault="00A21DAA" w:rsidP="00B60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1</w:t>
            </w:r>
          </w:p>
        </w:tc>
      </w:tr>
      <w:tr w:rsidR="009610CE" w:rsidRPr="00002382" w14:paraId="2A221CEA" w14:textId="77777777" w:rsidTr="005479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4" w:type="dxa"/>
            <w:noWrap/>
          </w:tcPr>
          <w:p w14:paraId="0ABB2D0F" w14:textId="77777777" w:rsidR="00E7103E" w:rsidRPr="00504A43" w:rsidRDefault="009716DD" w:rsidP="00B60F59">
            <w:pPr>
              <w:rPr>
                <w:rFonts w:ascii="Times New Roman" w:eastAsia="Times New Roman" w:hAnsi="Times New Roman" w:cs="Times New Roman"/>
                <w:b w:val="0"/>
                <w:bCs w:val="0"/>
                <w:color w:val="000000"/>
              </w:rPr>
            </w:pPr>
            <w:r w:rsidRPr="00504A43">
              <w:rPr>
                <w:rFonts w:ascii="Times New Roman" w:eastAsia="Times New Roman" w:hAnsi="Times New Roman" w:cs="Times New Roman"/>
                <w:bCs w:val="0"/>
                <w:color w:val="000000"/>
              </w:rPr>
              <w:t>Año previo a elección de gobernador</w:t>
            </w:r>
          </w:p>
        </w:tc>
        <w:tc>
          <w:tcPr>
            <w:tcW w:w="1687" w:type="dxa"/>
            <w:noWrap/>
          </w:tcPr>
          <w:p w14:paraId="49BC4ABA" w14:textId="77777777" w:rsidR="00E7103E" w:rsidRDefault="00A21DAA" w:rsidP="00B60F5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4614</w:t>
            </w:r>
          </w:p>
        </w:tc>
        <w:tc>
          <w:tcPr>
            <w:tcW w:w="1235" w:type="dxa"/>
            <w:noWrap/>
          </w:tcPr>
          <w:p w14:paraId="578B96D6" w14:textId="77777777" w:rsidR="00E7103E" w:rsidRDefault="00A21DAA" w:rsidP="00B60F5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0.1666667</w:t>
            </w:r>
          </w:p>
        </w:tc>
        <w:tc>
          <w:tcPr>
            <w:tcW w:w="1920" w:type="dxa"/>
            <w:noWrap/>
          </w:tcPr>
          <w:p w14:paraId="212684B5" w14:textId="77777777" w:rsidR="00E7103E" w:rsidRDefault="00A21DAA" w:rsidP="00B60F5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0.3727184</w:t>
            </w:r>
          </w:p>
        </w:tc>
        <w:tc>
          <w:tcPr>
            <w:tcW w:w="1119" w:type="dxa"/>
            <w:noWrap/>
          </w:tcPr>
          <w:p w14:paraId="5DBDDBFC" w14:textId="77777777" w:rsidR="00E7103E" w:rsidRDefault="00A21DAA" w:rsidP="00B60F5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0</w:t>
            </w:r>
          </w:p>
        </w:tc>
        <w:tc>
          <w:tcPr>
            <w:tcW w:w="1229" w:type="dxa"/>
            <w:noWrap/>
          </w:tcPr>
          <w:p w14:paraId="57AD3048" w14:textId="77777777" w:rsidR="00E7103E" w:rsidRDefault="00A21DAA" w:rsidP="00B60F5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1</w:t>
            </w:r>
          </w:p>
        </w:tc>
      </w:tr>
      <w:tr w:rsidR="009610CE" w:rsidRPr="00002382" w14:paraId="0DB0E42D" w14:textId="77777777" w:rsidTr="005479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4" w:type="dxa"/>
            <w:noWrap/>
          </w:tcPr>
          <w:p w14:paraId="79BBFFEA" w14:textId="77777777" w:rsidR="00E7103E" w:rsidRDefault="00F43942" w:rsidP="00B60F59">
            <w:pPr>
              <w:rPr>
                <w:rFonts w:ascii="Calibri" w:eastAsia="Times New Roman" w:hAnsi="Calibri" w:cs="Calibri"/>
                <w:b w:val="0"/>
                <w:bCs w:val="0"/>
                <w:color w:val="000000"/>
              </w:rPr>
            </w:pPr>
            <w:r>
              <w:rPr>
                <w:rFonts w:ascii="Calibri" w:eastAsia="Times New Roman" w:hAnsi="Calibri" w:cs="Calibri"/>
                <w:bCs w:val="0"/>
                <w:color w:val="000000"/>
              </w:rPr>
              <w:t>Urbanización</w:t>
            </w:r>
          </w:p>
        </w:tc>
        <w:tc>
          <w:tcPr>
            <w:tcW w:w="1687" w:type="dxa"/>
            <w:noWrap/>
          </w:tcPr>
          <w:p w14:paraId="3C55BC14" w14:textId="77777777" w:rsidR="00E7103E" w:rsidRDefault="009610CE" w:rsidP="009610C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46</w:t>
            </w:r>
            <w:r>
              <w:rPr>
                <w:rFonts w:ascii="Calibri" w:eastAsia="Times New Roman" w:hAnsi="Calibri" w:cs="Calibri"/>
                <w:color w:val="000000"/>
              </w:rPr>
              <w:t>14</w:t>
            </w:r>
          </w:p>
        </w:tc>
        <w:tc>
          <w:tcPr>
            <w:tcW w:w="1235" w:type="dxa"/>
            <w:noWrap/>
          </w:tcPr>
          <w:p w14:paraId="401D1FB6" w14:textId="77777777" w:rsidR="00E7103E" w:rsidRDefault="00A21DAA" w:rsidP="009610C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0.</w:t>
            </w:r>
            <w:r w:rsidR="009610CE" w:rsidRPr="00002382">
              <w:rPr>
                <w:rFonts w:ascii="Calibri" w:eastAsia="Times New Roman" w:hAnsi="Calibri" w:cs="Calibri"/>
                <w:color w:val="000000"/>
              </w:rPr>
              <w:t>31</w:t>
            </w:r>
            <w:r w:rsidR="009610CE">
              <w:rPr>
                <w:rFonts w:ascii="Calibri" w:eastAsia="Times New Roman" w:hAnsi="Calibri" w:cs="Calibri"/>
                <w:color w:val="000000"/>
              </w:rPr>
              <w:t>59948</w:t>
            </w:r>
          </w:p>
        </w:tc>
        <w:tc>
          <w:tcPr>
            <w:tcW w:w="1920" w:type="dxa"/>
            <w:noWrap/>
          </w:tcPr>
          <w:p w14:paraId="385657CB" w14:textId="77777777" w:rsidR="00E7103E" w:rsidRDefault="00A21DAA" w:rsidP="009610C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0.</w:t>
            </w:r>
            <w:r w:rsidR="009610CE" w:rsidRPr="00002382">
              <w:rPr>
                <w:rFonts w:ascii="Calibri" w:eastAsia="Times New Roman" w:hAnsi="Calibri" w:cs="Calibri"/>
                <w:color w:val="000000"/>
              </w:rPr>
              <w:t>77</w:t>
            </w:r>
            <w:r w:rsidR="009610CE">
              <w:rPr>
                <w:rFonts w:ascii="Calibri" w:eastAsia="Times New Roman" w:hAnsi="Calibri" w:cs="Calibri"/>
                <w:color w:val="000000"/>
              </w:rPr>
              <w:t>87108</w:t>
            </w:r>
          </w:p>
        </w:tc>
        <w:tc>
          <w:tcPr>
            <w:tcW w:w="1119" w:type="dxa"/>
            <w:noWrap/>
          </w:tcPr>
          <w:p w14:paraId="6372D5F2" w14:textId="77777777" w:rsidR="00E7103E" w:rsidRDefault="00A21DAA" w:rsidP="00B60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0</w:t>
            </w:r>
          </w:p>
        </w:tc>
        <w:tc>
          <w:tcPr>
            <w:tcW w:w="1229" w:type="dxa"/>
            <w:noWrap/>
          </w:tcPr>
          <w:p w14:paraId="47867E87" w14:textId="77777777" w:rsidR="00E7103E" w:rsidRDefault="00A21DAA" w:rsidP="00B60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382">
              <w:rPr>
                <w:rFonts w:ascii="Calibri" w:eastAsia="Times New Roman" w:hAnsi="Calibri" w:cs="Calibri"/>
                <w:color w:val="000000"/>
              </w:rPr>
              <w:t>4</w:t>
            </w:r>
          </w:p>
        </w:tc>
      </w:tr>
    </w:tbl>
    <w:p w14:paraId="562E51BC" w14:textId="77777777" w:rsidR="00A018D9" w:rsidRDefault="00A018D9" w:rsidP="00064F02">
      <w:pPr>
        <w:spacing w:line="480" w:lineRule="auto"/>
        <w:jc w:val="both"/>
        <w:rPr>
          <w:rFonts w:ascii="Times New Roman" w:hAnsi="Times New Roman" w:cs="Times New Roman"/>
          <w:sz w:val="24"/>
          <w:szCs w:val="24"/>
        </w:rPr>
      </w:pPr>
    </w:p>
    <w:p w14:paraId="4A028CC3" w14:textId="56ECC30F" w:rsidR="00F12D18" w:rsidRDefault="00F12D18" w:rsidP="00064F0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Las principales variables independientes, que tienen que ver con los modelos de </w:t>
      </w:r>
      <w:r>
        <w:rPr>
          <w:rFonts w:ascii="Times New Roman" w:hAnsi="Times New Roman" w:cs="Times New Roman"/>
          <w:i/>
          <w:sz w:val="24"/>
          <w:szCs w:val="24"/>
        </w:rPr>
        <w:t>swing</w:t>
      </w:r>
      <w:r>
        <w:rPr>
          <w:rFonts w:ascii="Times New Roman" w:hAnsi="Times New Roman" w:cs="Times New Roman"/>
          <w:sz w:val="24"/>
          <w:szCs w:val="24"/>
        </w:rPr>
        <w:t xml:space="preserve"> y</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core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voters</w:t>
      </w:r>
      <w:proofErr w:type="spellEnd"/>
      <w:r w:rsidRPr="00F12D18">
        <w:rPr>
          <w:rFonts w:ascii="Times New Roman" w:hAnsi="Times New Roman" w:cs="Times New Roman"/>
          <w:sz w:val="24"/>
          <w:szCs w:val="24"/>
        </w:rPr>
        <w:t>, fueron</w:t>
      </w:r>
      <w:r>
        <w:rPr>
          <w:rFonts w:ascii="Times New Roman" w:hAnsi="Times New Roman" w:cs="Times New Roman"/>
          <w:i/>
          <w:sz w:val="24"/>
          <w:szCs w:val="24"/>
        </w:rPr>
        <w:t xml:space="preserve"> </w:t>
      </w:r>
      <w:r>
        <w:rPr>
          <w:rFonts w:ascii="Times New Roman" w:hAnsi="Times New Roman" w:cs="Times New Roman"/>
          <w:sz w:val="24"/>
          <w:szCs w:val="24"/>
        </w:rPr>
        <w:t>el margen de victoria (</w:t>
      </w:r>
      <w:r>
        <w:rPr>
          <w:rFonts w:ascii="Times New Roman" w:hAnsi="Times New Roman" w:cs="Times New Roman"/>
          <w:i/>
          <w:sz w:val="24"/>
          <w:szCs w:val="24"/>
        </w:rPr>
        <w:t>margen</w:t>
      </w:r>
      <w:r>
        <w:rPr>
          <w:rFonts w:ascii="Times New Roman" w:hAnsi="Times New Roman" w:cs="Times New Roman"/>
          <w:sz w:val="24"/>
          <w:szCs w:val="24"/>
        </w:rPr>
        <w:t xml:space="preserve">) y que en el municipio haya ganado </w:t>
      </w:r>
      <w:r w:rsidR="00AC7095">
        <w:rPr>
          <w:rFonts w:ascii="Times New Roman" w:hAnsi="Times New Roman" w:cs="Times New Roman"/>
          <w:sz w:val="24"/>
          <w:szCs w:val="24"/>
        </w:rPr>
        <w:t>el candidato que resultó electo</w:t>
      </w:r>
      <w:r>
        <w:rPr>
          <w:rFonts w:ascii="Times New Roman" w:hAnsi="Times New Roman" w:cs="Times New Roman"/>
          <w:sz w:val="24"/>
          <w:szCs w:val="24"/>
        </w:rPr>
        <w:t xml:space="preserve"> gobernador (</w:t>
      </w:r>
      <w:r>
        <w:rPr>
          <w:rFonts w:ascii="Times New Roman" w:hAnsi="Times New Roman" w:cs="Times New Roman"/>
          <w:i/>
          <w:sz w:val="24"/>
          <w:szCs w:val="24"/>
        </w:rPr>
        <w:t>mismo)</w:t>
      </w:r>
      <w:r>
        <w:rPr>
          <w:rFonts w:ascii="Times New Roman" w:hAnsi="Times New Roman" w:cs="Times New Roman"/>
          <w:sz w:val="24"/>
          <w:szCs w:val="24"/>
        </w:rPr>
        <w:t>. Para ambas variables tomé en cuenta las elecciones anteriores inmediatas a la introducción del Fondo a nivel de gobernador</w:t>
      </w:r>
      <w:r w:rsidR="00446F75">
        <w:rPr>
          <w:rFonts w:ascii="Times New Roman" w:hAnsi="Times New Roman" w:cs="Times New Roman"/>
          <w:sz w:val="24"/>
          <w:szCs w:val="24"/>
        </w:rPr>
        <w:t>, es decir, la elección de 2004 en Oaxaca, 2005 en Guerrero y 2006 en Chiapas.</w:t>
      </w:r>
      <w:r w:rsidR="001F31DE">
        <w:rPr>
          <w:rFonts w:ascii="Times New Roman" w:hAnsi="Times New Roman" w:cs="Times New Roman"/>
          <w:sz w:val="24"/>
          <w:szCs w:val="24"/>
        </w:rPr>
        <w:t xml:space="preserve"> Para determinar el margen de victoria se utilizó la siguiente fórmula:</w:t>
      </w:r>
    </w:p>
    <w:p w14:paraId="5EDEEB28" w14:textId="77777777" w:rsidR="0058197B" w:rsidRDefault="0058197B" w:rsidP="0058197B">
      <w:pPr>
        <w:spacing w:line="480" w:lineRule="auto"/>
        <w:jc w:val="center"/>
        <w:rPr>
          <w:rFonts w:ascii="Times New Roman" w:hAnsi="Times New Roman" w:cs="Times New Roman"/>
          <w:sz w:val="24"/>
          <w:szCs w:val="24"/>
        </w:rPr>
      </w:pPr>
      <w:r>
        <w:rPr>
          <w:rFonts w:ascii="Times New Roman" w:hAnsi="Times New Roman" w:cs="Times New Roman"/>
          <w:sz w:val="24"/>
          <w:szCs w:val="24"/>
        </w:rPr>
        <w:t>MV = V1 – V2,</w:t>
      </w:r>
    </w:p>
    <w:p w14:paraId="28F040F6" w14:textId="4DE9B740" w:rsidR="0058197B" w:rsidRDefault="0058197B" w:rsidP="0058197B">
      <w:pPr>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donde</w:t>
      </w:r>
      <w:proofErr w:type="gramEnd"/>
      <w:r>
        <w:rPr>
          <w:rFonts w:ascii="Times New Roman" w:hAnsi="Times New Roman" w:cs="Times New Roman"/>
          <w:sz w:val="24"/>
          <w:szCs w:val="24"/>
        </w:rPr>
        <w:t xml:space="preserve"> MV es el margen de victoria entre los dos partidos principales, V1 es el porcentaje de votos del partido con mayor cantidad de votos y V2 el porcentaje del partido en segundo lugar. A mayor margen de victoria, quiere decir que el partido ganador tiene muy poca oposición en ese municipio, por lo que se puede hablar de </w:t>
      </w:r>
      <w:r w:rsidR="00BE71BB">
        <w:rPr>
          <w:rFonts w:ascii="Times New Roman" w:hAnsi="Times New Roman" w:cs="Times New Roman"/>
          <w:sz w:val="24"/>
          <w:szCs w:val="24"/>
        </w:rPr>
        <w:t xml:space="preserve">una </w:t>
      </w:r>
      <w:r>
        <w:rPr>
          <w:rFonts w:ascii="Times New Roman" w:hAnsi="Times New Roman" w:cs="Times New Roman"/>
          <w:sz w:val="24"/>
          <w:szCs w:val="24"/>
        </w:rPr>
        <w:t>alta concentración de votantes duros. Si bien con esta variable no podemos diferenciar los cambios en el apoyo duro de determinado municipio en el tiempo –como sí e</w:t>
      </w:r>
      <w:r w:rsidR="00CA6A50">
        <w:rPr>
          <w:rFonts w:ascii="Times New Roman" w:hAnsi="Times New Roman" w:cs="Times New Roman"/>
          <w:sz w:val="24"/>
          <w:szCs w:val="24"/>
        </w:rPr>
        <w:t>s posible con</w:t>
      </w:r>
      <w:r>
        <w:rPr>
          <w:rFonts w:ascii="Times New Roman" w:hAnsi="Times New Roman" w:cs="Times New Roman"/>
          <w:sz w:val="24"/>
          <w:szCs w:val="24"/>
        </w:rPr>
        <w:t xml:space="preserve"> el modelo de Díaz-</w:t>
      </w:r>
      <w:proofErr w:type="spellStart"/>
      <w:r>
        <w:rPr>
          <w:rFonts w:ascii="Times New Roman" w:hAnsi="Times New Roman" w:cs="Times New Roman"/>
          <w:sz w:val="24"/>
          <w:szCs w:val="24"/>
        </w:rPr>
        <w:t>Cayeros</w:t>
      </w:r>
      <w:proofErr w:type="spellEnd"/>
      <w:r>
        <w:rPr>
          <w:rFonts w:ascii="Times New Roman" w:hAnsi="Times New Roman" w:cs="Times New Roman"/>
          <w:sz w:val="24"/>
          <w:szCs w:val="24"/>
        </w:rPr>
        <w:t xml:space="preserve">, Estévez y </w:t>
      </w:r>
      <w:proofErr w:type="spellStart"/>
      <w:r>
        <w:rPr>
          <w:rFonts w:ascii="Times New Roman" w:hAnsi="Times New Roman" w:cs="Times New Roman"/>
          <w:sz w:val="24"/>
          <w:szCs w:val="24"/>
        </w:rPr>
        <w:t>Magaloni</w:t>
      </w:r>
      <w:proofErr w:type="spellEnd"/>
      <w:r>
        <w:rPr>
          <w:rFonts w:ascii="Times New Roman" w:hAnsi="Times New Roman" w:cs="Times New Roman"/>
          <w:sz w:val="24"/>
          <w:szCs w:val="24"/>
        </w:rPr>
        <w:t xml:space="preserve">—sí permite tener una imagen del apoyo que tuvieron los </w:t>
      </w:r>
      <w:r>
        <w:rPr>
          <w:rFonts w:ascii="Times New Roman" w:hAnsi="Times New Roman" w:cs="Times New Roman"/>
          <w:sz w:val="24"/>
          <w:szCs w:val="24"/>
        </w:rPr>
        <w:lastRenderedPageBreak/>
        <w:t xml:space="preserve">gobernadores para llegar al cargo, por lo que puede ser un criterio importante que los propios gobernadores utilicen para la distribución del </w:t>
      </w:r>
      <w:proofErr w:type="spellStart"/>
      <w:r>
        <w:rPr>
          <w:rFonts w:ascii="Times New Roman" w:hAnsi="Times New Roman" w:cs="Times New Roman"/>
          <w:i/>
          <w:sz w:val="24"/>
          <w:szCs w:val="24"/>
        </w:rPr>
        <w:t>pork</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barrel</w:t>
      </w:r>
      <w:proofErr w:type="spellEnd"/>
      <w:r>
        <w:rPr>
          <w:rFonts w:ascii="Times New Roman" w:hAnsi="Times New Roman" w:cs="Times New Roman"/>
          <w:sz w:val="24"/>
          <w:szCs w:val="24"/>
        </w:rPr>
        <w:t>.</w:t>
      </w:r>
    </w:p>
    <w:p w14:paraId="23F8F8A2" w14:textId="06F55AB1" w:rsidR="00EB1453" w:rsidRDefault="00446F75" w:rsidP="00446F75">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Las tres entidades federativas que estudio en esta tesina resultan casos interesantes para probar el manejo político de los recursos, debido a las transiciones que se dieron en cada uno </w:t>
      </w:r>
      <w:r w:rsidR="0048404C">
        <w:rPr>
          <w:rFonts w:ascii="Times New Roman" w:hAnsi="Times New Roman" w:cs="Times New Roman"/>
          <w:sz w:val="24"/>
          <w:szCs w:val="24"/>
        </w:rPr>
        <w:t xml:space="preserve">de ellos </w:t>
      </w:r>
      <w:r>
        <w:rPr>
          <w:rFonts w:ascii="Times New Roman" w:hAnsi="Times New Roman" w:cs="Times New Roman"/>
          <w:sz w:val="24"/>
          <w:szCs w:val="24"/>
        </w:rPr>
        <w:t>mientras el Fondo operaba. La transic</w:t>
      </w:r>
      <w:r w:rsidR="0048404C">
        <w:rPr>
          <w:rFonts w:ascii="Times New Roman" w:hAnsi="Times New Roman" w:cs="Times New Roman"/>
          <w:sz w:val="24"/>
          <w:szCs w:val="24"/>
        </w:rPr>
        <w:t>ión más duradera que incluso existe actualmente</w:t>
      </w:r>
      <w:r>
        <w:rPr>
          <w:rFonts w:ascii="Times New Roman" w:hAnsi="Times New Roman" w:cs="Times New Roman"/>
          <w:sz w:val="24"/>
          <w:szCs w:val="24"/>
        </w:rPr>
        <w:t xml:space="preserve"> la podemos encontrar en Guerrero, en donde, en términos estrictos,</w:t>
      </w:r>
      <w:r w:rsidR="0096687D">
        <w:rPr>
          <w:rFonts w:ascii="Times New Roman" w:hAnsi="Times New Roman" w:cs="Times New Roman"/>
          <w:sz w:val="24"/>
          <w:szCs w:val="24"/>
        </w:rPr>
        <w:t xml:space="preserve"> </w:t>
      </w:r>
      <w:r>
        <w:rPr>
          <w:rFonts w:ascii="Times New Roman" w:hAnsi="Times New Roman" w:cs="Times New Roman"/>
          <w:sz w:val="24"/>
          <w:szCs w:val="24"/>
        </w:rPr>
        <w:t>el PRD se ha mantenido por dos períodos consecutivos en el poder. Por su parte, Chiapas es distinto porque, aunque también tuvo transición al PRD por dos períodos consecutivos (en uno aliado con el PAN), el PRI volvió al poder</w:t>
      </w:r>
      <w:r w:rsidR="00741455">
        <w:rPr>
          <w:rFonts w:ascii="Times New Roman" w:hAnsi="Times New Roman" w:cs="Times New Roman"/>
          <w:sz w:val="24"/>
          <w:szCs w:val="24"/>
        </w:rPr>
        <w:t xml:space="preserve"> en 2012</w:t>
      </w:r>
      <w:r>
        <w:rPr>
          <w:rFonts w:ascii="Times New Roman" w:hAnsi="Times New Roman" w:cs="Times New Roman"/>
          <w:sz w:val="24"/>
          <w:szCs w:val="24"/>
        </w:rPr>
        <w:t xml:space="preserve"> en coalición con el P</w:t>
      </w:r>
      <w:r w:rsidR="0048404C">
        <w:rPr>
          <w:rFonts w:ascii="Times New Roman" w:hAnsi="Times New Roman" w:cs="Times New Roman"/>
          <w:sz w:val="24"/>
          <w:szCs w:val="24"/>
        </w:rPr>
        <w:t>VEM y Nueva Alianza en la figura de</w:t>
      </w:r>
      <w:r>
        <w:rPr>
          <w:rFonts w:ascii="Times New Roman" w:hAnsi="Times New Roman" w:cs="Times New Roman"/>
          <w:sz w:val="24"/>
          <w:szCs w:val="24"/>
        </w:rPr>
        <w:t xml:space="preserve"> Manuel Velasco. Por último, en Oaxaca encontramos la transición más reciente gracias al gobierno de Gabino </w:t>
      </w:r>
      <w:proofErr w:type="spellStart"/>
      <w:r>
        <w:rPr>
          <w:rFonts w:ascii="Times New Roman" w:hAnsi="Times New Roman" w:cs="Times New Roman"/>
          <w:sz w:val="24"/>
          <w:szCs w:val="24"/>
        </w:rPr>
        <w:t>Cué</w:t>
      </w:r>
      <w:proofErr w:type="spellEnd"/>
      <w:r>
        <w:rPr>
          <w:rFonts w:ascii="Times New Roman" w:hAnsi="Times New Roman" w:cs="Times New Roman"/>
          <w:sz w:val="24"/>
          <w:szCs w:val="24"/>
        </w:rPr>
        <w:t>. Así pues, con cambios de gobierno en dist</w:t>
      </w:r>
      <w:r w:rsidR="0048404C">
        <w:rPr>
          <w:rFonts w:ascii="Times New Roman" w:hAnsi="Times New Roman" w:cs="Times New Roman"/>
          <w:sz w:val="24"/>
          <w:szCs w:val="24"/>
        </w:rPr>
        <w:t>intos períodos, pero la mayoría</w:t>
      </w:r>
      <w:r>
        <w:rPr>
          <w:rFonts w:ascii="Times New Roman" w:hAnsi="Times New Roman" w:cs="Times New Roman"/>
          <w:sz w:val="24"/>
          <w:szCs w:val="24"/>
        </w:rPr>
        <w:t xml:space="preserve"> mientras el </w:t>
      </w:r>
      <w:proofErr w:type="spellStart"/>
      <w:r>
        <w:rPr>
          <w:rFonts w:ascii="Times New Roman" w:hAnsi="Times New Roman" w:cs="Times New Roman"/>
          <w:sz w:val="24"/>
          <w:szCs w:val="24"/>
        </w:rPr>
        <w:t>Fonregión</w:t>
      </w:r>
      <w:proofErr w:type="spellEnd"/>
      <w:r>
        <w:rPr>
          <w:rFonts w:ascii="Times New Roman" w:hAnsi="Times New Roman" w:cs="Times New Roman"/>
          <w:sz w:val="24"/>
          <w:szCs w:val="24"/>
        </w:rPr>
        <w:t xml:space="preserve"> se encuentra en operación, resulta interesante conocer si hay algún cambio en la lógica de distribución de los proyectos y recursos, o de destinatarios a nivel local. </w:t>
      </w:r>
    </w:p>
    <w:p w14:paraId="21671B79" w14:textId="2E321C71" w:rsidR="00EB1453" w:rsidRPr="00F12D18" w:rsidRDefault="00446F75" w:rsidP="006D256B">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También el presente estudio se torna más interesante por el hecho de que algunos de los gobernadores tienen claras asociaciones con los partidos de la oposición. El caso más notorio quizá es el de Ángel Aguirre Rivero, electo en 2011 gobernador de Guerrero mediante una coalición de izquierda (PRD, PT y Convergencia), pero</w:t>
      </w:r>
      <w:r w:rsidR="0096687D">
        <w:rPr>
          <w:rFonts w:ascii="Times New Roman" w:hAnsi="Times New Roman" w:cs="Times New Roman"/>
          <w:sz w:val="24"/>
          <w:szCs w:val="24"/>
        </w:rPr>
        <w:t xml:space="preserve"> </w:t>
      </w:r>
      <w:r>
        <w:rPr>
          <w:rFonts w:ascii="Times New Roman" w:hAnsi="Times New Roman" w:cs="Times New Roman"/>
          <w:sz w:val="24"/>
          <w:szCs w:val="24"/>
        </w:rPr>
        <w:t>quien previamente había sido gobernador de la entidad por el PRI. Así, no queda claro si sus bases se encontrarán en municipios con mayoría de votantes duros priistas, perredistas o si, más bien, premiará a los votantes indecisos. Para distinguir el efecto no tomé la yuxtaposición entre el gobierno estatal y municipal, es decir que el presidente municipal pertenezca o no pertenezca al mismo partido político que el gobernador</w:t>
      </w:r>
      <w:r w:rsidR="00E72C74">
        <w:rPr>
          <w:rFonts w:ascii="Times New Roman" w:hAnsi="Times New Roman" w:cs="Times New Roman"/>
          <w:sz w:val="24"/>
          <w:szCs w:val="24"/>
        </w:rPr>
        <w:t xml:space="preserve">, como suele hacerse en este tipo de </w:t>
      </w:r>
      <w:r w:rsidR="00E72C74">
        <w:rPr>
          <w:rFonts w:ascii="Times New Roman" w:hAnsi="Times New Roman" w:cs="Times New Roman"/>
          <w:sz w:val="24"/>
          <w:szCs w:val="24"/>
        </w:rPr>
        <w:lastRenderedPageBreak/>
        <w:t>modelos.</w:t>
      </w:r>
      <w:r>
        <w:rPr>
          <w:rFonts w:ascii="Times New Roman" w:hAnsi="Times New Roman" w:cs="Times New Roman"/>
          <w:sz w:val="24"/>
          <w:szCs w:val="24"/>
        </w:rPr>
        <w:t xml:space="preserve"> En cambio, tomé </w:t>
      </w:r>
      <w:r w:rsidR="00EB1453">
        <w:rPr>
          <w:rFonts w:ascii="Times New Roman" w:hAnsi="Times New Roman" w:cs="Times New Roman"/>
          <w:sz w:val="24"/>
          <w:szCs w:val="24"/>
        </w:rPr>
        <w:t xml:space="preserve">la variable </w:t>
      </w:r>
      <w:proofErr w:type="gramStart"/>
      <w:r w:rsidR="00EB1453" w:rsidRPr="00EB1453">
        <w:rPr>
          <w:rFonts w:ascii="Times New Roman" w:hAnsi="Times New Roman" w:cs="Times New Roman"/>
          <w:i/>
          <w:sz w:val="24"/>
          <w:szCs w:val="24"/>
        </w:rPr>
        <w:t>mismo</w:t>
      </w:r>
      <w:proofErr w:type="gramEnd"/>
      <w:r w:rsidR="00EB1453" w:rsidRPr="00EB1453">
        <w:rPr>
          <w:rFonts w:ascii="Times New Roman" w:hAnsi="Times New Roman" w:cs="Times New Roman"/>
          <w:i/>
          <w:sz w:val="24"/>
          <w:szCs w:val="24"/>
        </w:rPr>
        <w:t xml:space="preserve"> </w:t>
      </w:r>
      <w:r w:rsidR="00EB1453">
        <w:rPr>
          <w:rFonts w:ascii="Times New Roman" w:hAnsi="Times New Roman" w:cs="Times New Roman"/>
          <w:sz w:val="24"/>
          <w:szCs w:val="24"/>
        </w:rPr>
        <w:t xml:space="preserve">como </w:t>
      </w:r>
      <w:r w:rsidRPr="00EB1453">
        <w:rPr>
          <w:rFonts w:ascii="Times New Roman" w:hAnsi="Times New Roman" w:cs="Times New Roman"/>
          <w:sz w:val="24"/>
          <w:szCs w:val="24"/>
        </w:rPr>
        <w:t>un</w:t>
      </w:r>
      <w:r>
        <w:rPr>
          <w:rFonts w:ascii="Times New Roman" w:hAnsi="Times New Roman" w:cs="Times New Roman"/>
          <w:sz w:val="24"/>
          <w:szCs w:val="24"/>
        </w:rPr>
        <w:t xml:space="preserve"> indicador más directo </w:t>
      </w:r>
      <w:r w:rsidR="00EB1453">
        <w:rPr>
          <w:rFonts w:ascii="Times New Roman" w:hAnsi="Times New Roman" w:cs="Times New Roman"/>
          <w:sz w:val="24"/>
          <w:szCs w:val="24"/>
        </w:rPr>
        <w:t xml:space="preserve">al contabilizar a los municipios que votaron directamente por el gobernador en la elección que lo hizo ganar. </w:t>
      </w:r>
    </w:p>
    <w:p w14:paraId="0B95A26A" w14:textId="38E133A0" w:rsidR="00446F75" w:rsidRDefault="00EB1453" w:rsidP="00446F75">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Respecto a las demás variables independientes que introduzco para explicar la asignación de recursos y proyectos del </w:t>
      </w:r>
      <w:proofErr w:type="spellStart"/>
      <w:r>
        <w:rPr>
          <w:rFonts w:ascii="Times New Roman" w:hAnsi="Times New Roman" w:cs="Times New Roman"/>
          <w:sz w:val="24"/>
          <w:szCs w:val="24"/>
        </w:rPr>
        <w:t>Fonregión</w:t>
      </w:r>
      <w:proofErr w:type="spellEnd"/>
      <w:r>
        <w:rPr>
          <w:rFonts w:ascii="Times New Roman" w:hAnsi="Times New Roman" w:cs="Times New Roman"/>
          <w:sz w:val="24"/>
          <w:szCs w:val="24"/>
        </w:rPr>
        <w:t xml:space="preserve"> a los municipios</w:t>
      </w:r>
      <w:r w:rsidR="00BC3414">
        <w:rPr>
          <w:rFonts w:ascii="Times New Roman" w:hAnsi="Times New Roman" w:cs="Times New Roman"/>
          <w:sz w:val="24"/>
          <w:szCs w:val="24"/>
        </w:rPr>
        <w:t>, utilizo tres</w:t>
      </w:r>
      <w:r w:rsidR="002E55D9">
        <w:rPr>
          <w:rFonts w:ascii="Times New Roman" w:hAnsi="Times New Roman" w:cs="Times New Roman"/>
          <w:sz w:val="24"/>
          <w:szCs w:val="24"/>
        </w:rPr>
        <w:t xml:space="preserve"> variables soc</w:t>
      </w:r>
      <w:r w:rsidR="0048404C">
        <w:rPr>
          <w:rFonts w:ascii="Times New Roman" w:hAnsi="Times New Roman" w:cs="Times New Roman"/>
          <w:sz w:val="24"/>
          <w:szCs w:val="24"/>
        </w:rPr>
        <w:t>ioeconómicas. La primera es el Índice de Desarrollo H</w:t>
      </w:r>
      <w:r w:rsidR="002E55D9">
        <w:rPr>
          <w:rFonts w:ascii="Times New Roman" w:hAnsi="Times New Roman" w:cs="Times New Roman"/>
          <w:sz w:val="24"/>
          <w:szCs w:val="24"/>
        </w:rPr>
        <w:t xml:space="preserve">umano municipal </w:t>
      </w:r>
      <w:r w:rsidR="006D256B">
        <w:rPr>
          <w:rFonts w:ascii="Times New Roman" w:hAnsi="Times New Roman" w:cs="Times New Roman"/>
          <w:sz w:val="24"/>
          <w:szCs w:val="24"/>
        </w:rPr>
        <w:t>(</w:t>
      </w:r>
      <w:r w:rsidR="004719DA">
        <w:rPr>
          <w:rFonts w:ascii="Times New Roman" w:hAnsi="Times New Roman" w:cs="Times New Roman"/>
          <w:i/>
          <w:sz w:val="24"/>
          <w:szCs w:val="24"/>
        </w:rPr>
        <w:t>IDH</w:t>
      </w:r>
      <w:r w:rsidR="006D256B">
        <w:rPr>
          <w:rFonts w:ascii="Times New Roman" w:hAnsi="Times New Roman" w:cs="Times New Roman"/>
          <w:sz w:val="24"/>
          <w:szCs w:val="24"/>
        </w:rPr>
        <w:t xml:space="preserve">) </w:t>
      </w:r>
      <w:r w:rsidR="002E55D9" w:rsidRPr="006D256B">
        <w:rPr>
          <w:rFonts w:ascii="Times New Roman" w:hAnsi="Times New Roman" w:cs="Times New Roman"/>
          <w:sz w:val="24"/>
          <w:szCs w:val="24"/>
        </w:rPr>
        <w:t>presentado</w:t>
      </w:r>
      <w:r w:rsidR="002E55D9">
        <w:rPr>
          <w:rFonts w:ascii="Times New Roman" w:hAnsi="Times New Roman" w:cs="Times New Roman"/>
          <w:sz w:val="24"/>
          <w:szCs w:val="24"/>
        </w:rPr>
        <w:t xml:space="preserve"> por el Programa de las Naciones Unidas para el Desarrollo (PNUD). Utilizo los datos de 2005 porque, al momento de esc</w:t>
      </w:r>
      <w:r w:rsidR="0048404C">
        <w:rPr>
          <w:rFonts w:ascii="Times New Roman" w:hAnsi="Times New Roman" w:cs="Times New Roman"/>
          <w:sz w:val="24"/>
          <w:szCs w:val="24"/>
        </w:rPr>
        <w:t>ribir esta tesina, aún no se generaban</w:t>
      </w:r>
      <w:r w:rsidR="002E55D9">
        <w:rPr>
          <w:rFonts w:ascii="Times New Roman" w:hAnsi="Times New Roman" w:cs="Times New Roman"/>
          <w:sz w:val="24"/>
          <w:szCs w:val="24"/>
        </w:rPr>
        <w:t xml:space="preserve"> los resultados de 2010.</w:t>
      </w:r>
      <w:r w:rsidR="009E2455">
        <w:rPr>
          <w:rFonts w:ascii="Times New Roman" w:hAnsi="Times New Roman" w:cs="Times New Roman"/>
          <w:sz w:val="24"/>
          <w:szCs w:val="24"/>
        </w:rPr>
        <w:t xml:space="preserve"> </w:t>
      </w:r>
      <w:r w:rsidR="002E55D9">
        <w:rPr>
          <w:rFonts w:ascii="Times New Roman" w:hAnsi="Times New Roman" w:cs="Times New Roman"/>
          <w:sz w:val="24"/>
          <w:szCs w:val="24"/>
        </w:rPr>
        <w:t>La segunda variable</w:t>
      </w:r>
      <w:r w:rsidR="008E638F">
        <w:rPr>
          <w:rFonts w:ascii="Times New Roman" w:hAnsi="Times New Roman" w:cs="Times New Roman"/>
          <w:sz w:val="24"/>
          <w:szCs w:val="24"/>
        </w:rPr>
        <w:t xml:space="preserve"> es el </w:t>
      </w:r>
      <w:r w:rsidR="006D256B">
        <w:rPr>
          <w:rFonts w:ascii="Times New Roman" w:hAnsi="Times New Roman" w:cs="Times New Roman"/>
          <w:sz w:val="24"/>
          <w:szCs w:val="24"/>
        </w:rPr>
        <w:t>(</w:t>
      </w:r>
      <w:r w:rsidR="006D256B">
        <w:rPr>
          <w:rFonts w:ascii="Times New Roman" w:hAnsi="Times New Roman" w:cs="Times New Roman"/>
          <w:i/>
          <w:sz w:val="24"/>
          <w:szCs w:val="24"/>
        </w:rPr>
        <w:t>cambio</w:t>
      </w:r>
      <w:r w:rsidR="006D256B">
        <w:rPr>
          <w:rFonts w:ascii="Times New Roman" w:hAnsi="Times New Roman" w:cs="Times New Roman"/>
          <w:sz w:val="24"/>
          <w:szCs w:val="24"/>
        </w:rPr>
        <w:t>)</w:t>
      </w:r>
      <w:r w:rsidR="008E638F">
        <w:rPr>
          <w:rFonts w:ascii="Times New Roman" w:hAnsi="Times New Roman" w:cs="Times New Roman"/>
          <w:sz w:val="24"/>
          <w:szCs w:val="24"/>
        </w:rPr>
        <w:t xml:space="preserve"> en dicho índice que hubo de 2000 a 2005. </w:t>
      </w:r>
      <w:r w:rsidR="006D256B">
        <w:rPr>
          <w:rFonts w:ascii="Times New Roman" w:hAnsi="Times New Roman" w:cs="Times New Roman"/>
          <w:sz w:val="24"/>
          <w:szCs w:val="24"/>
        </w:rPr>
        <w:t xml:space="preserve">Incorporo ambas variables porque, aunque ambas capturan el desarrollo humano de los municipios –supuestamente criterio principal para asignar los recursos—tienen lógicas distintas. Mientras que el IDH mide las condiciones en que se encontraban los municipios al iniciar el Fondo, el cambio </w:t>
      </w:r>
      <w:r w:rsidR="00B31E76">
        <w:rPr>
          <w:rFonts w:ascii="Times New Roman" w:hAnsi="Times New Roman" w:cs="Times New Roman"/>
          <w:sz w:val="24"/>
          <w:szCs w:val="24"/>
        </w:rPr>
        <w:t>muestra qué municipios han tenido progresos en su situación, por lo que se podría premiar a aquellos que están haciendo buen uso de los recursos para salir adelante.</w:t>
      </w:r>
    </w:p>
    <w:p w14:paraId="06846B7E" w14:textId="4EFFAB44" w:rsidR="00BC3414" w:rsidRDefault="00BC3414" w:rsidP="00446F75">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La tercera variable que muestra las condiciones socioeconómicas del municipio es la de </w:t>
      </w:r>
      <w:r w:rsidR="00F43942">
        <w:rPr>
          <w:rFonts w:ascii="Times New Roman" w:hAnsi="Times New Roman" w:cs="Times New Roman"/>
          <w:i/>
          <w:sz w:val="24"/>
          <w:szCs w:val="24"/>
        </w:rPr>
        <w:t>urbanización</w:t>
      </w:r>
      <w:r>
        <w:rPr>
          <w:rFonts w:ascii="Times New Roman" w:hAnsi="Times New Roman" w:cs="Times New Roman"/>
          <w:sz w:val="24"/>
          <w:szCs w:val="24"/>
        </w:rPr>
        <w:t xml:space="preserve">. Dicha variable </w:t>
      </w:r>
      <w:r w:rsidR="002A1E0D">
        <w:rPr>
          <w:rFonts w:ascii="Times New Roman" w:hAnsi="Times New Roman" w:cs="Times New Roman"/>
          <w:sz w:val="24"/>
          <w:szCs w:val="24"/>
        </w:rPr>
        <w:t>sería</w:t>
      </w:r>
      <w:r w:rsidR="006A5C71">
        <w:rPr>
          <w:rFonts w:ascii="Times New Roman" w:hAnsi="Times New Roman" w:cs="Times New Roman"/>
          <w:sz w:val="24"/>
          <w:szCs w:val="24"/>
        </w:rPr>
        <w:t xml:space="preserve"> el cociente de localización por categoría</w:t>
      </w:r>
      <w:r w:rsidR="009334D4">
        <w:rPr>
          <w:rFonts w:ascii="Times New Roman" w:hAnsi="Times New Roman" w:cs="Times New Roman"/>
          <w:sz w:val="24"/>
          <w:szCs w:val="24"/>
        </w:rPr>
        <w:t>:</w:t>
      </w:r>
      <w:r w:rsidR="006A5C71">
        <w:rPr>
          <w:rFonts w:ascii="Times New Roman" w:hAnsi="Times New Roman" w:cs="Times New Roman"/>
          <w:sz w:val="24"/>
          <w:szCs w:val="24"/>
        </w:rPr>
        <w:t xml:space="preserve"> rural (menores a 5,000 habitantes), mixta (de 5,000 a 14,999) y u</w:t>
      </w:r>
      <w:r w:rsidR="009334D4">
        <w:rPr>
          <w:rFonts w:ascii="Times New Roman" w:hAnsi="Times New Roman" w:cs="Times New Roman"/>
          <w:sz w:val="24"/>
          <w:szCs w:val="24"/>
        </w:rPr>
        <w:t>rbana (</w:t>
      </w:r>
      <w:r w:rsidR="00741455">
        <w:rPr>
          <w:rFonts w:ascii="Times New Roman" w:hAnsi="Times New Roman" w:cs="Times New Roman"/>
          <w:sz w:val="24"/>
          <w:szCs w:val="24"/>
        </w:rPr>
        <w:t>mayores a</w:t>
      </w:r>
      <w:r w:rsidR="009334D4">
        <w:rPr>
          <w:rFonts w:ascii="Times New Roman" w:hAnsi="Times New Roman" w:cs="Times New Roman"/>
          <w:sz w:val="24"/>
          <w:szCs w:val="24"/>
        </w:rPr>
        <w:t xml:space="preserve"> 15,000). Es decir, </w:t>
      </w:r>
      <w:r w:rsidR="009334D4" w:rsidRPr="009334D4">
        <w:rPr>
          <w:rFonts w:ascii="Times New Roman" w:hAnsi="Times New Roman" w:cs="Times New Roman"/>
          <w:sz w:val="24"/>
          <w:szCs w:val="24"/>
        </w:rPr>
        <w:t>l</w:t>
      </w:r>
      <w:r w:rsidR="009334D4">
        <w:rPr>
          <w:rFonts w:ascii="Times New Roman" w:hAnsi="Times New Roman" w:cs="Times New Roman"/>
          <w:sz w:val="24"/>
          <w:szCs w:val="24"/>
        </w:rPr>
        <w:t>a variable genera</w:t>
      </w:r>
      <w:r w:rsidR="002A1E0D">
        <w:rPr>
          <w:rFonts w:ascii="Times New Roman" w:hAnsi="Times New Roman" w:cs="Times New Roman"/>
          <w:sz w:val="24"/>
          <w:szCs w:val="24"/>
        </w:rPr>
        <w:t>ría</w:t>
      </w:r>
      <w:r w:rsidR="006A5C71">
        <w:rPr>
          <w:rFonts w:ascii="Times New Roman" w:hAnsi="Times New Roman" w:cs="Times New Roman"/>
          <w:sz w:val="24"/>
          <w:szCs w:val="24"/>
        </w:rPr>
        <w:t xml:space="preserve"> un ponderador por las localidades que tiene cada municipio y arroja</w:t>
      </w:r>
      <w:r w:rsidR="002A1E0D">
        <w:rPr>
          <w:rFonts w:ascii="Times New Roman" w:hAnsi="Times New Roman" w:cs="Times New Roman"/>
          <w:sz w:val="24"/>
          <w:szCs w:val="24"/>
        </w:rPr>
        <w:t>ría</w:t>
      </w:r>
      <w:r w:rsidR="006A5C71">
        <w:rPr>
          <w:rFonts w:ascii="Times New Roman" w:hAnsi="Times New Roman" w:cs="Times New Roman"/>
          <w:sz w:val="24"/>
          <w:szCs w:val="24"/>
        </w:rPr>
        <w:t xml:space="preserve"> el predominio de la población bajo las categorías rural, rural-mixta, mixta, mixta-urbana y urbana, las cuales yo codifiqué de 0 a </w:t>
      </w:r>
      <w:r w:rsidR="00741455">
        <w:rPr>
          <w:rFonts w:ascii="Times New Roman" w:hAnsi="Times New Roman" w:cs="Times New Roman"/>
          <w:sz w:val="24"/>
          <w:szCs w:val="24"/>
        </w:rPr>
        <w:t>4</w:t>
      </w:r>
      <w:r w:rsidR="006A5C71">
        <w:rPr>
          <w:rFonts w:ascii="Times New Roman" w:hAnsi="Times New Roman" w:cs="Times New Roman"/>
          <w:sz w:val="24"/>
          <w:szCs w:val="24"/>
        </w:rPr>
        <w:t xml:space="preserve">, siendo 0 el predominio de población rural </w:t>
      </w:r>
      <w:r w:rsidR="006A5C71">
        <w:rPr>
          <w:rFonts w:ascii="Times New Roman" w:hAnsi="Times New Roman" w:cs="Times New Roman"/>
          <w:sz w:val="24"/>
          <w:szCs w:val="24"/>
        </w:rPr>
        <w:lastRenderedPageBreak/>
        <w:t xml:space="preserve">y </w:t>
      </w:r>
      <w:r w:rsidR="00741455">
        <w:rPr>
          <w:rFonts w:ascii="Times New Roman" w:hAnsi="Times New Roman" w:cs="Times New Roman"/>
          <w:sz w:val="24"/>
          <w:szCs w:val="24"/>
        </w:rPr>
        <w:t xml:space="preserve">4 </w:t>
      </w:r>
      <w:r w:rsidR="006A5C71">
        <w:rPr>
          <w:rFonts w:ascii="Times New Roman" w:hAnsi="Times New Roman" w:cs="Times New Roman"/>
          <w:sz w:val="24"/>
          <w:szCs w:val="24"/>
        </w:rPr>
        <w:t>urbana.</w:t>
      </w:r>
      <w:r w:rsidR="00DE546F">
        <w:rPr>
          <w:rStyle w:val="Refdenotaalpie"/>
          <w:rFonts w:ascii="Times New Roman" w:hAnsi="Times New Roman" w:cs="Times New Roman"/>
          <w:sz w:val="24"/>
          <w:szCs w:val="24"/>
        </w:rPr>
        <w:footnoteReference w:id="45"/>
      </w:r>
      <w:r w:rsidR="002A1E0D">
        <w:rPr>
          <w:rFonts w:ascii="Times New Roman" w:hAnsi="Times New Roman" w:cs="Times New Roman"/>
          <w:sz w:val="24"/>
          <w:szCs w:val="24"/>
        </w:rPr>
        <w:t xml:space="preserve"> Sin embargo, como se verá más adelante, dicha variable tuvo que excluirse del modelo final, al presentar similitudes importantes con lo que ya medían otras variables.</w:t>
      </w:r>
      <w:r w:rsidR="003234DB">
        <w:rPr>
          <w:rFonts w:ascii="Times New Roman" w:hAnsi="Times New Roman" w:cs="Times New Roman"/>
          <w:sz w:val="24"/>
          <w:szCs w:val="24"/>
        </w:rPr>
        <w:t xml:space="preserve"> </w:t>
      </w:r>
    </w:p>
    <w:p w14:paraId="211C6FFB" w14:textId="5D35A453" w:rsidR="004B1DD0" w:rsidRDefault="0048404C" w:rsidP="00FA6332">
      <w:pPr>
        <w:spacing w:line="480" w:lineRule="auto"/>
        <w:ind w:firstLine="708"/>
        <w:jc w:val="both"/>
        <w:rPr>
          <w:rFonts w:ascii="Times New Roman" w:eastAsia="Times New Roman" w:hAnsi="Times New Roman" w:cs="Times New Roman"/>
          <w:color w:val="000000"/>
          <w:sz w:val="24"/>
          <w:szCs w:val="24"/>
        </w:rPr>
      </w:pPr>
      <w:r>
        <w:rPr>
          <w:rFonts w:ascii="Times New Roman" w:hAnsi="Times New Roman" w:cs="Times New Roman"/>
          <w:sz w:val="24"/>
          <w:szCs w:val="24"/>
        </w:rPr>
        <w:t>Algunas o</w:t>
      </w:r>
      <w:r w:rsidR="009334D4">
        <w:rPr>
          <w:rFonts w:ascii="Times New Roman" w:hAnsi="Times New Roman" w:cs="Times New Roman"/>
          <w:sz w:val="24"/>
          <w:szCs w:val="24"/>
        </w:rPr>
        <w:t>tras variab</w:t>
      </w:r>
      <w:r w:rsidR="009334D4" w:rsidRPr="009334D4">
        <w:rPr>
          <w:rFonts w:ascii="Times New Roman" w:hAnsi="Times New Roman" w:cs="Times New Roman"/>
          <w:sz w:val="24"/>
          <w:szCs w:val="24"/>
        </w:rPr>
        <w:t>l</w:t>
      </w:r>
      <w:r w:rsidR="009334D4">
        <w:rPr>
          <w:rFonts w:ascii="Times New Roman" w:hAnsi="Times New Roman" w:cs="Times New Roman"/>
          <w:sz w:val="24"/>
          <w:szCs w:val="24"/>
        </w:rPr>
        <w:t>es po</w:t>
      </w:r>
      <w:r w:rsidR="009334D4" w:rsidRPr="009334D4">
        <w:rPr>
          <w:rFonts w:ascii="Times New Roman" w:hAnsi="Times New Roman" w:cs="Times New Roman"/>
          <w:sz w:val="24"/>
          <w:szCs w:val="24"/>
        </w:rPr>
        <w:t>l</w:t>
      </w:r>
      <w:r w:rsidR="009334D4">
        <w:rPr>
          <w:rFonts w:ascii="Times New Roman" w:hAnsi="Times New Roman" w:cs="Times New Roman"/>
          <w:sz w:val="24"/>
          <w:szCs w:val="24"/>
        </w:rPr>
        <w:t>íticas que incorporé a</w:t>
      </w:r>
      <w:r w:rsidR="009334D4" w:rsidRPr="009334D4">
        <w:rPr>
          <w:rFonts w:ascii="Times New Roman" w:hAnsi="Times New Roman" w:cs="Times New Roman"/>
          <w:sz w:val="24"/>
          <w:szCs w:val="24"/>
        </w:rPr>
        <w:t>l</w:t>
      </w:r>
      <w:r w:rsidR="009334D4">
        <w:rPr>
          <w:rFonts w:ascii="Times New Roman" w:hAnsi="Times New Roman" w:cs="Times New Roman"/>
          <w:sz w:val="24"/>
          <w:szCs w:val="24"/>
        </w:rPr>
        <w:t xml:space="preserve"> mode</w:t>
      </w:r>
      <w:r w:rsidR="009334D4" w:rsidRPr="009334D4">
        <w:rPr>
          <w:rFonts w:ascii="Times New Roman" w:hAnsi="Times New Roman" w:cs="Times New Roman"/>
          <w:sz w:val="24"/>
          <w:szCs w:val="24"/>
        </w:rPr>
        <w:t>l</w:t>
      </w:r>
      <w:r w:rsidR="009334D4">
        <w:rPr>
          <w:rFonts w:ascii="Times New Roman" w:hAnsi="Times New Roman" w:cs="Times New Roman"/>
          <w:sz w:val="24"/>
          <w:szCs w:val="24"/>
        </w:rPr>
        <w:t>o</w:t>
      </w:r>
      <w:r w:rsidR="00C92FB5">
        <w:rPr>
          <w:rFonts w:ascii="Times New Roman" w:hAnsi="Times New Roman" w:cs="Times New Roman"/>
          <w:sz w:val="24"/>
          <w:szCs w:val="24"/>
        </w:rPr>
        <w:t xml:space="preserve"> se refieren al año electoral, tanto para e</w:t>
      </w:r>
      <w:r w:rsidR="00C92FB5" w:rsidRPr="00C92FB5">
        <w:rPr>
          <w:rFonts w:ascii="Times New Roman" w:hAnsi="Times New Roman" w:cs="Times New Roman"/>
          <w:sz w:val="24"/>
          <w:szCs w:val="24"/>
        </w:rPr>
        <w:t>l</w:t>
      </w:r>
      <w:r w:rsidR="00C92FB5">
        <w:rPr>
          <w:rFonts w:ascii="Times New Roman" w:hAnsi="Times New Roman" w:cs="Times New Roman"/>
          <w:sz w:val="24"/>
          <w:szCs w:val="24"/>
        </w:rPr>
        <w:t>ecciones de ayuntamientos (</w:t>
      </w:r>
      <w:proofErr w:type="spellStart"/>
      <w:r w:rsidR="00C92FB5">
        <w:rPr>
          <w:rFonts w:ascii="Times New Roman" w:hAnsi="Times New Roman" w:cs="Times New Roman"/>
          <w:i/>
          <w:sz w:val="24"/>
          <w:szCs w:val="24"/>
        </w:rPr>
        <w:t>ane</w:t>
      </w:r>
      <w:r w:rsidR="00C92FB5" w:rsidRPr="00C92FB5">
        <w:rPr>
          <w:rFonts w:ascii="Times New Roman" w:hAnsi="Times New Roman" w:cs="Times New Roman"/>
          <w:i/>
          <w:sz w:val="24"/>
          <w:szCs w:val="24"/>
        </w:rPr>
        <w:t>l</w:t>
      </w:r>
      <w:r w:rsidR="00C92FB5">
        <w:rPr>
          <w:rFonts w:ascii="Times New Roman" w:hAnsi="Times New Roman" w:cs="Times New Roman"/>
          <w:i/>
          <w:sz w:val="24"/>
          <w:szCs w:val="24"/>
        </w:rPr>
        <w:t>ectmun</w:t>
      </w:r>
      <w:proofErr w:type="spellEnd"/>
      <w:r w:rsidR="00C92FB5">
        <w:rPr>
          <w:rFonts w:ascii="Times New Roman" w:hAnsi="Times New Roman" w:cs="Times New Roman"/>
          <w:sz w:val="24"/>
          <w:szCs w:val="24"/>
        </w:rPr>
        <w:t>), como de gobernador (</w:t>
      </w:r>
      <w:proofErr w:type="spellStart"/>
      <w:r w:rsidR="00C92FB5">
        <w:rPr>
          <w:rFonts w:ascii="Times New Roman" w:hAnsi="Times New Roman" w:cs="Times New Roman"/>
          <w:i/>
          <w:sz w:val="24"/>
          <w:szCs w:val="24"/>
        </w:rPr>
        <w:t>ane</w:t>
      </w:r>
      <w:r w:rsidR="00C92FB5" w:rsidRPr="00C92FB5">
        <w:rPr>
          <w:rFonts w:ascii="Times New Roman" w:hAnsi="Times New Roman" w:cs="Times New Roman"/>
          <w:i/>
          <w:sz w:val="24"/>
          <w:szCs w:val="24"/>
        </w:rPr>
        <w:t>l</w:t>
      </w:r>
      <w:r w:rsidR="00C92FB5">
        <w:rPr>
          <w:rFonts w:ascii="Times New Roman" w:hAnsi="Times New Roman" w:cs="Times New Roman"/>
          <w:i/>
          <w:sz w:val="24"/>
          <w:szCs w:val="24"/>
        </w:rPr>
        <w:t>ectgob</w:t>
      </w:r>
      <w:proofErr w:type="spellEnd"/>
      <w:r w:rsidR="00C92FB5">
        <w:rPr>
          <w:rFonts w:ascii="Times New Roman" w:hAnsi="Times New Roman" w:cs="Times New Roman"/>
          <w:sz w:val="24"/>
          <w:szCs w:val="24"/>
        </w:rPr>
        <w:t xml:space="preserve">). Como se observa en </w:t>
      </w:r>
      <w:r w:rsidR="00C92FB5" w:rsidRPr="00C92FB5">
        <w:rPr>
          <w:rFonts w:ascii="Times New Roman" w:hAnsi="Times New Roman" w:cs="Times New Roman"/>
          <w:sz w:val="24"/>
          <w:szCs w:val="24"/>
        </w:rPr>
        <w:t>l</w:t>
      </w:r>
      <w:r w:rsidR="00C92FB5">
        <w:rPr>
          <w:rFonts w:ascii="Times New Roman" w:hAnsi="Times New Roman" w:cs="Times New Roman"/>
          <w:sz w:val="24"/>
          <w:szCs w:val="24"/>
        </w:rPr>
        <w:t>a tab</w:t>
      </w:r>
      <w:r w:rsidR="00C92FB5" w:rsidRPr="00C92FB5">
        <w:rPr>
          <w:rFonts w:ascii="Times New Roman" w:hAnsi="Times New Roman" w:cs="Times New Roman"/>
          <w:sz w:val="24"/>
          <w:szCs w:val="24"/>
        </w:rPr>
        <w:t>l</w:t>
      </w:r>
      <w:r w:rsidR="00C92FB5">
        <w:rPr>
          <w:rFonts w:ascii="Times New Roman" w:hAnsi="Times New Roman" w:cs="Times New Roman"/>
          <w:sz w:val="24"/>
          <w:szCs w:val="24"/>
        </w:rPr>
        <w:t>a, e</w:t>
      </w:r>
      <w:r w:rsidR="00C92FB5" w:rsidRPr="00C92FB5">
        <w:rPr>
          <w:rFonts w:ascii="Times New Roman" w:hAnsi="Times New Roman" w:cs="Times New Roman"/>
          <w:sz w:val="24"/>
          <w:szCs w:val="24"/>
        </w:rPr>
        <w:t>l</w:t>
      </w:r>
      <w:r w:rsidR="00C92FB5">
        <w:rPr>
          <w:rFonts w:ascii="Times New Roman" w:hAnsi="Times New Roman" w:cs="Times New Roman"/>
          <w:sz w:val="24"/>
          <w:szCs w:val="24"/>
        </w:rPr>
        <w:t xml:space="preserve"> número de observaciones se reduce drásticamente de </w:t>
      </w:r>
      <w:r w:rsidR="00F152D6">
        <w:rPr>
          <w:rFonts w:ascii="Times New Roman" w:hAnsi="Times New Roman" w:cs="Times New Roman"/>
          <w:sz w:val="24"/>
          <w:szCs w:val="24"/>
        </w:rPr>
        <w:t xml:space="preserve">4,614 a </w:t>
      </w:r>
      <w:r w:rsidR="009610CE">
        <w:rPr>
          <w:rFonts w:ascii="Times New Roman" w:hAnsi="Times New Roman" w:cs="Times New Roman"/>
          <w:sz w:val="24"/>
          <w:szCs w:val="24"/>
        </w:rPr>
        <w:t>2</w:t>
      </w:r>
      <w:r w:rsidR="00F152D6">
        <w:rPr>
          <w:rFonts w:ascii="Times New Roman" w:hAnsi="Times New Roman" w:cs="Times New Roman"/>
          <w:sz w:val="24"/>
          <w:szCs w:val="24"/>
        </w:rPr>
        <w:t>,1</w:t>
      </w:r>
      <w:r w:rsidR="009610CE">
        <w:rPr>
          <w:rFonts w:ascii="Times New Roman" w:hAnsi="Times New Roman" w:cs="Times New Roman"/>
          <w:sz w:val="24"/>
          <w:szCs w:val="24"/>
        </w:rPr>
        <w:t>06</w:t>
      </w:r>
      <w:r w:rsidR="003D1900">
        <w:rPr>
          <w:rFonts w:ascii="Times New Roman" w:hAnsi="Times New Roman" w:cs="Times New Roman"/>
          <w:sz w:val="24"/>
          <w:szCs w:val="24"/>
        </w:rPr>
        <w:t xml:space="preserve"> para el caso de las</w:t>
      </w:r>
      <w:r w:rsidR="00C44560">
        <w:rPr>
          <w:rFonts w:ascii="Times New Roman" w:hAnsi="Times New Roman" w:cs="Times New Roman"/>
          <w:sz w:val="24"/>
          <w:szCs w:val="24"/>
        </w:rPr>
        <w:t xml:space="preserve"> variables</w:t>
      </w:r>
      <w:r w:rsidR="003D1900">
        <w:rPr>
          <w:rFonts w:ascii="Times New Roman" w:hAnsi="Times New Roman" w:cs="Times New Roman"/>
          <w:sz w:val="24"/>
          <w:szCs w:val="24"/>
        </w:rPr>
        <w:t xml:space="preserve"> municipales</w:t>
      </w:r>
      <w:r w:rsidR="00F152D6">
        <w:rPr>
          <w:rFonts w:ascii="Times New Roman" w:hAnsi="Times New Roman" w:cs="Times New Roman"/>
          <w:sz w:val="24"/>
          <w:szCs w:val="24"/>
        </w:rPr>
        <w:t xml:space="preserve">. Esto se debe a que </w:t>
      </w:r>
      <w:r w:rsidR="00F152D6" w:rsidRPr="00F152D6">
        <w:rPr>
          <w:rFonts w:ascii="Times New Roman" w:eastAsia="Times New Roman" w:hAnsi="Times New Roman" w:cs="Times New Roman"/>
          <w:color w:val="000000"/>
          <w:sz w:val="24"/>
          <w:szCs w:val="24"/>
        </w:rPr>
        <w:t>l</w:t>
      </w:r>
      <w:r w:rsidR="00F152D6">
        <w:rPr>
          <w:rFonts w:ascii="Times New Roman" w:hAnsi="Times New Roman" w:cs="Times New Roman"/>
          <w:sz w:val="24"/>
          <w:szCs w:val="24"/>
        </w:rPr>
        <w:t xml:space="preserve">a mayoría de </w:t>
      </w:r>
      <w:r w:rsidR="00F152D6" w:rsidRPr="00F152D6">
        <w:rPr>
          <w:rFonts w:ascii="Times New Roman" w:eastAsia="Times New Roman" w:hAnsi="Times New Roman" w:cs="Times New Roman"/>
          <w:color w:val="000000"/>
          <w:sz w:val="24"/>
          <w:szCs w:val="24"/>
        </w:rPr>
        <w:t>l</w:t>
      </w:r>
      <w:r w:rsidR="00F152D6">
        <w:rPr>
          <w:rFonts w:ascii="Times New Roman" w:hAnsi="Times New Roman" w:cs="Times New Roman"/>
          <w:sz w:val="24"/>
          <w:szCs w:val="24"/>
        </w:rPr>
        <w:t>os municipios en Oaxaca se rigen bajo e</w:t>
      </w:r>
      <w:r w:rsidR="00F152D6" w:rsidRPr="00F152D6">
        <w:rPr>
          <w:rFonts w:ascii="Times New Roman" w:eastAsia="Times New Roman" w:hAnsi="Times New Roman" w:cs="Times New Roman"/>
          <w:color w:val="000000"/>
          <w:sz w:val="24"/>
          <w:szCs w:val="24"/>
        </w:rPr>
        <w:t>l</w:t>
      </w:r>
      <w:r w:rsidR="00F152D6">
        <w:rPr>
          <w:rFonts w:ascii="Times New Roman" w:eastAsia="Times New Roman" w:hAnsi="Times New Roman" w:cs="Times New Roman"/>
          <w:color w:val="000000"/>
          <w:sz w:val="24"/>
          <w:szCs w:val="24"/>
        </w:rPr>
        <w:t xml:space="preserve"> </w:t>
      </w:r>
      <w:r w:rsidR="00F152D6" w:rsidRPr="00F152D6">
        <w:rPr>
          <w:rFonts w:ascii="Times New Roman" w:eastAsia="Times New Roman" w:hAnsi="Times New Roman" w:cs="Times New Roman"/>
          <w:color w:val="000000"/>
          <w:sz w:val="24"/>
          <w:szCs w:val="24"/>
        </w:rPr>
        <w:t>sistema de usos y costumbres</w:t>
      </w:r>
      <w:r w:rsidR="00F152D6">
        <w:rPr>
          <w:rFonts w:ascii="Times New Roman" w:eastAsia="Times New Roman" w:hAnsi="Times New Roman" w:cs="Times New Roman"/>
          <w:color w:val="000000"/>
          <w:sz w:val="24"/>
          <w:szCs w:val="24"/>
        </w:rPr>
        <w:t>, por lo que e</w:t>
      </w:r>
      <w:r w:rsidR="00F152D6" w:rsidRPr="00F152D6">
        <w:rPr>
          <w:rFonts w:ascii="Times New Roman" w:eastAsia="Times New Roman" w:hAnsi="Times New Roman" w:cs="Times New Roman"/>
          <w:color w:val="000000"/>
          <w:sz w:val="24"/>
          <w:szCs w:val="24"/>
        </w:rPr>
        <w:t>l</w:t>
      </w:r>
      <w:r w:rsidR="00F152D6">
        <w:rPr>
          <w:rFonts w:ascii="Times New Roman" w:eastAsia="Times New Roman" w:hAnsi="Times New Roman" w:cs="Times New Roman"/>
          <w:color w:val="000000"/>
          <w:sz w:val="24"/>
          <w:szCs w:val="24"/>
        </w:rPr>
        <w:t xml:space="preserve">igen a sus autoridades </w:t>
      </w:r>
      <w:r w:rsidR="000A2992" w:rsidRPr="00F152D6">
        <w:rPr>
          <w:rFonts w:ascii="Times New Roman" w:eastAsia="Times New Roman" w:hAnsi="Times New Roman" w:cs="Times New Roman"/>
          <w:color w:val="000000"/>
          <w:sz w:val="24"/>
          <w:szCs w:val="24"/>
        </w:rPr>
        <w:t>l</w:t>
      </w:r>
      <w:r w:rsidR="000A2992">
        <w:rPr>
          <w:rFonts w:ascii="Times New Roman" w:eastAsia="Times New Roman" w:hAnsi="Times New Roman" w:cs="Times New Roman"/>
          <w:color w:val="000000"/>
          <w:sz w:val="24"/>
          <w:szCs w:val="24"/>
        </w:rPr>
        <w:t>oca</w:t>
      </w:r>
      <w:r w:rsidR="000A2992" w:rsidRPr="00F152D6">
        <w:rPr>
          <w:rFonts w:ascii="Times New Roman" w:eastAsia="Times New Roman" w:hAnsi="Times New Roman" w:cs="Times New Roman"/>
          <w:color w:val="000000"/>
          <w:sz w:val="24"/>
          <w:szCs w:val="24"/>
        </w:rPr>
        <w:t>l</w:t>
      </w:r>
      <w:r w:rsidR="000A2992">
        <w:rPr>
          <w:rFonts w:ascii="Times New Roman" w:eastAsia="Times New Roman" w:hAnsi="Times New Roman" w:cs="Times New Roman"/>
          <w:color w:val="000000"/>
          <w:sz w:val="24"/>
          <w:szCs w:val="24"/>
        </w:rPr>
        <w:t xml:space="preserve">es de acuerdo con </w:t>
      </w:r>
      <w:r w:rsidR="000A2992" w:rsidRPr="00F152D6">
        <w:rPr>
          <w:rFonts w:ascii="Times New Roman" w:eastAsia="Times New Roman" w:hAnsi="Times New Roman" w:cs="Times New Roman"/>
          <w:color w:val="000000"/>
          <w:sz w:val="24"/>
          <w:szCs w:val="24"/>
        </w:rPr>
        <w:t>l</w:t>
      </w:r>
      <w:r w:rsidR="000A2992">
        <w:rPr>
          <w:rFonts w:ascii="Times New Roman" w:eastAsia="Times New Roman" w:hAnsi="Times New Roman" w:cs="Times New Roman"/>
          <w:color w:val="000000"/>
          <w:sz w:val="24"/>
          <w:szCs w:val="24"/>
        </w:rPr>
        <w:t>as prácticas que determinen de forma autónoma en cada municipio.</w:t>
      </w:r>
      <w:r w:rsidR="00E60F0E">
        <w:rPr>
          <w:rFonts w:ascii="Times New Roman" w:eastAsia="Times New Roman" w:hAnsi="Times New Roman" w:cs="Times New Roman"/>
          <w:color w:val="000000"/>
          <w:sz w:val="24"/>
          <w:szCs w:val="24"/>
        </w:rPr>
        <w:t xml:space="preserve"> Dado que Oaxaca es </w:t>
      </w:r>
      <w:r w:rsidR="00E60F0E" w:rsidRPr="00F152D6">
        <w:rPr>
          <w:rFonts w:ascii="Times New Roman" w:eastAsia="Times New Roman" w:hAnsi="Times New Roman" w:cs="Times New Roman"/>
          <w:color w:val="000000"/>
          <w:sz w:val="24"/>
          <w:szCs w:val="24"/>
        </w:rPr>
        <w:t>l</w:t>
      </w:r>
      <w:r w:rsidR="00E60F0E">
        <w:rPr>
          <w:rFonts w:ascii="Times New Roman" w:eastAsia="Times New Roman" w:hAnsi="Times New Roman" w:cs="Times New Roman"/>
          <w:color w:val="000000"/>
          <w:sz w:val="24"/>
          <w:szCs w:val="24"/>
        </w:rPr>
        <w:t>a entidad federativa con mayor número de municipios</w:t>
      </w:r>
      <w:r w:rsidR="009610CE">
        <w:rPr>
          <w:rFonts w:ascii="Times New Roman" w:eastAsia="Times New Roman" w:hAnsi="Times New Roman" w:cs="Times New Roman"/>
          <w:color w:val="000000"/>
          <w:sz w:val="24"/>
          <w:szCs w:val="24"/>
        </w:rPr>
        <w:t xml:space="preserve"> y la mayoría de ellos se rigen por usos y costumbres</w:t>
      </w:r>
      <w:r w:rsidR="00E60F0E">
        <w:rPr>
          <w:rFonts w:ascii="Times New Roman" w:eastAsia="Times New Roman" w:hAnsi="Times New Roman" w:cs="Times New Roman"/>
          <w:color w:val="000000"/>
          <w:sz w:val="24"/>
          <w:szCs w:val="24"/>
        </w:rPr>
        <w:t xml:space="preserve">, es por ello que se reducen tan abruptamente </w:t>
      </w:r>
      <w:r w:rsidR="00E60F0E" w:rsidRPr="00F152D6">
        <w:rPr>
          <w:rFonts w:ascii="Times New Roman" w:eastAsia="Times New Roman" w:hAnsi="Times New Roman" w:cs="Times New Roman"/>
          <w:color w:val="000000"/>
          <w:sz w:val="24"/>
          <w:szCs w:val="24"/>
        </w:rPr>
        <w:t>l</w:t>
      </w:r>
      <w:r w:rsidR="00E60F0E">
        <w:rPr>
          <w:rFonts w:ascii="Times New Roman" w:eastAsia="Times New Roman" w:hAnsi="Times New Roman" w:cs="Times New Roman"/>
          <w:color w:val="000000"/>
          <w:sz w:val="24"/>
          <w:szCs w:val="24"/>
        </w:rPr>
        <w:t>as observaciones.</w:t>
      </w:r>
      <w:r w:rsidR="00933039">
        <w:rPr>
          <w:rFonts w:ascii="Times New Roman" w:eastAsia="Times New Roman" w:hAnsi="Times New Roman" w:cs="Times New Roman"/>
          <w:color w:val="000000"/>
          <w:sz w:val="24"/>
          <w:szCs w:val="24"/>
        </w:rPr>
        <w:t xml:space="preserve"> </w:t>
      </w:r>
      <w:r w:rsidR="00933039">
        <w:rPr>
          <w:rFonts w:ascii="Times New Roman" w:hAnsi="Times New Roman" w:cs="Times New Roman"/>
          <w:sz w:val="24"/>
          <w:szCs w:val="24"/>
        </w:rPr>
        <w:t xml:space="preserve">Así pues, </w:t>
      </w:r>
      <w:r w:rsidR="00AC7095">
        <w:rPr>
          <w:rFonts w:ascii="Times New Roman" w:hAnsi="Times New Roman" w:cs="Times New Roman"/>
          <w:sz w:val="24"/>
          <w:szCs w:val="24"/>
        </w:rPr>
        <w:t>se llevará</w:t>
      </w:r>
      <w:r w:rsidR="003D1900">
        <w:rPr>
          <w:rFonts w:ascii="Times New Roman" w:hAnsi="Times New Roman" w:cs="Times New Roman"/>
          <w:sz w:val="24"/>
          <w:szCs w:val="24"/>
        </w:rPr>
        <w:t xml:space="preserve"> a cabo </w:t>
      </w:r>
      <w:r w:rsidR="00AC7095">
        <w:rPr>
          <w:rFonts w:ascii="Times New Roman" w:hAnsi="Times New Roman" w:cs="Times New Roman"/>
          <w:sz w:val="24"/>
          <w:szCs w:val="24"/>
        </w:rPr>
        <w:t xml:space="preserve">una serie de </w:t>
      </w:r>
      <w:r w:rsidR="003D1900">
        <w:rPr>
          <w:rFonts w:ascii="Times New Roman" w:hAnsi="Times New Roman" w:cs="Times New Roman"/>
          <w:sz w:val="24"/>
          <w:szCs w:val="24"/>
        </w:rPr>
        <w:t>modelos en los que se incluya a todos los municipios, pero sin las variables de ciclo el</w:t>
      </w:r>
      <w:r w:rsidR="00AC7095">
        <w:rPr>
          <w:rFonts w:ascii="Times New Roman" w:hAnsi="Times New Roman" w:cs="Times New Roman"/>
          <w:sz w:val="24"/>
          <w:szCs w:val="24"/>
        </w:rPr>
        <w:t>ectoral municipal, así como otra serie</w:t>
      </w:r>
      <w:r w:rsidR="00C44560">
        <w:rPr>
          <w:rFonts w:ascii="Times New Roman" w:hAnsi="Times New Roman" w:cs="Times New Roman"/>
          <w:sz w:val="24"/>
          <w:szCs w:val="24"/>
        </w:rPr>
        <w:t xml:space="preserve"> en la</w:t>
      </w:r>
      <w:r w:rsidR="003D1900">
        <w:rPr>
          <w:rFonts w:ascii="Times New Roman" w:hAnsi="Times New Roman" w:cs="Times New Roman"/>
          <w:sz w:val="24"/>
          <w:szCs w:val="24"/>
        </w:rPr>
        <w:t xml:space="preserve"> que se descarte a los municipios de usos y costumbres, pero sí se incluyan todas las variables electorales.</w:t>
      </w:r>
      <w:r w:rsidR="00E60F0E">
        <w:rPr>
          <w:rFonts w:ascii="Times New Roman" w:eastAsia="Times New Roman" w:hAnsi="Times New Roman" w:cs="Times New Roman"/>
          <w:color w:val="000000"/>
          <w:sz w:val="24"/>
          <w:szCs w:val="24"/>
        </w:rPr>
        <w:t xml:space="preserve"> </w:t>
      </w:r>
    </w:p>
    <w:p w14:paraId="5B00B44B" w14:textId="77777777" w:rsidR="009334D4" w:rsidRDefault="00FA6332" w:rsidP="00FA6332">
      <w:pPr>
        <w:spacing w:line="480" w:lineRule="auto"/>
        <w:ind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Ahora bien, l</w:t>
      </w:r>
      <w:r w:rsidR="00E60F0E">
        <w:rPr>
          <w:rFonts w:ascii="Times New Roman" w:eastAsia="Times New Roman" w:hAnsi="Times New Roman" w:cs="Times New Roman"/>
          <w:color w:val="000000"/>
          <w:sz w:val="24"/>
          <w:szCs w:val="24"/>
        </w:rPr>
        <w:t xml:space="preserve">ograr diferenciar los años en donde hubo elecciones es importante para poner a prueba la primera hipótesis que tiene que ver con los ciclos electorales. Como se trata precisamente de ciclos, no basta con tomar en cuenta el año de la elección, sino que podemos asumir que la campaña </w:t>
      </w:r>
      <w:r w:rsidR="004B5631">
        <w:rPr>
          <w:rFonts w:ascii="Times New Roman" w:eastAsia="Times New Roman" w:hAnsi="Times New Roman" w:cs="Times New Roman"/>
          <w:color w:val="000000"/>
          <w:sz w:val="24"/>
          <w:szCs w:val="24"/>
        </w:rPr>
        <w:t xml:space="preserve">fuerte comienza desde un año antes por </w:t>
      </w:r>
      <w:r w:rsidR="004B5631" w:rsidRPr="00F152D6">
        <w:rPr>
          <w:rFonts w:ascii="Times New Roman" w:eastAsia="Times New Roman" w:hAnsi="Times New Roman" w:cs="Times New Roman"/>
          <w:color w:val="000000"/>
          <w:sz w:val="24"/>
          <w:szCs w:val="24"/>
        </w:rPr>
        <w:t>l</w:t>
      </w:r>
      <w:r w:rsidR="004B5631">
        <w:rPr>
          <w:rFonts w:ascii="Times New Roman" w:eastAsia="Times New Roman" w:hAnsi="Times New Roman" w:cs="Times New Roman"/>
          <w:color w:val="000000"/>
          <w:sz w:val="24"/>
          <w:szCs w:val="24"/>
        </w:rPr>
        <w:t>o que inc</w:t>
      </w:r>
      <w:r w:rsidR="004B5631" w:rsidRPr="00F152D6">
        <w:rPr>
          <w:rFonts w:ascii="Times New Roman" w:eastAsia="Times New Roman" w:hAnsi="Times New Roman" w:cs="Times New Roman"/>
          <w:color w:val="000000"/>
          <w:sz w:val="24"/>
          <w:szCs w:val="24"/>
        </w:rPr>
        <w:t>l</w:t>
      </w:r>
      <w:r w:rsidR="004B5631">
        <w:rPr>
          <w:rFonts w:ascii="Times New Roman" w:eastAsia="Times New Roman" w:hAnsi="Times New Roman" w:cs="Times New Roman"/>
          <w:color w:val="000000"/>
          <w:sz w:val="24"/>
          <w:szCs w:val="24"/>
        </w:rPr>
        <w:t>uí (</w:t>
      </w:r>
      <w:proofErr w:type="spellStart"/>
      <w:r w:rsidR="004B5631">
        <w:rPr>
          <w:rFonts w:ascii="Times New Roman" w:eastAsia="Times New Roman" w:hAnsi="Times New Roman" w:cs="Times New Roman"/>
          <w:i/>
          <w:color w:val="000000"/>
          <w:sz w:val="24"/>
          <w:szCs w:val="24"/>
        </w:rPr>
        <w:t>anprevmun</w:t>
      </w:r>
      <w:proofErr w:type="spellEnd"/>
      <w:r w:rsidR="004B5631">
        <w:rPr>
          <w:rFonts w:ascii="Times New Roman" w:eastAsia="Times New Roman" w:hAnsi="Times New Roman" w:cs="Times New Roman"/>
          <w:color w:val="000000"/>
          <w:sz w:val="24"/>
          <w:szCs w:val="24"/>
        </w:rPr>
        <w:t>) y (</w:t>
      </w:r>
      <w:proofErr w:type="spellStart"/>
      <w:r w:rsidR="004B5631">
        <w:rPr>
          <w:rFonts w:ascii="Times New Roman" w:eastAsia="Times New Roman" w:hAnsi="Times New Roman" w:cs="Times New Roman"/>
          <w:i/>
          <w:color w:val="000000"/>
          <w:sz w:val="24"/>
          <w:szCs w:val="24"/>
        </w:rPr>
        <w:t>anprevgob</w:t>
      </w:r>
      <w:proofErr w:type="spellEnd"/>
      <w:r w:rsidR="004B5631">
        <w:rPr>
          <w:rFonts w:ascii="Times New Roman" w:eastAsia="Times New Roman" w:hAnsi="Times New Roman" w:cs="Times New Roman"/>
          <w:color w:val="000000"/>
          <w:sz w:val="24"/>
          <w:szCs w:val="24"/>
        </w:rPr>
        <w:t>) para diferenciar los efectos a través de</w:t>
      </w:r>
      <w:r w:rsidR="004B5631" w:rsidRPr="00F152D6">
        <w:rPr>
          <w:rFonts w:ascii="Times New Roman" w:eastAsia="Times New Roman" w:hAnsi="Times New Roman" w:cs="Times New Roman"/>
          <w:color w:val="000000"/>
          <w:sz w:val="24"/>
          <w:szCs w:val="24"/>
        </w:rPr>
        <w:t>l</w:t>
      </w:r>
      <w:r w:rsidR="004B5631">
        <w:rPr>
          <w:rFonts w:ascii="Times New Roman" w:eastAsia="Times New Roman" w:hAnsi="Times New Roman" w:cs="Times New Roman"/>
          <w:color w:val="000000"/>
          <w:sz w:val="24"/>
          <w:szCs w:val="24"/>
        </w:rPr>
        <w:t xml:space="preserve"> tiempo de </w:t>
      </w:r>
      <w:r w:rsidR="004B5631" w:rsidRPr="00F152D6">
        <w:rPr>
          <w:rFonts w:ascii="Times New Roman" w:eastAsia="Times New Roman" w:hAnsi="Times New Roman" w:cs="Times New Roman"/>
          <w:color w:val="000000"/>
          <w:sz w:val="24"/>
          <w:szCs w:val="24"/>
        </w:rPr>
        <w:t>l</w:t>
      </w:r>
      <w:r w:rsidR="004B5631">
        <w:rPr>
          <w:rFonts w:ascii="Times New Roman" w:eastAsia="Times New Roman" w:hAnsi="Times New Roman" w:cs="Times New Roman"/>
          <w:color w:val="000000"/>
          <w:sz w:val="24"/>
          <w:szCs w:val="24"/>
        </w:rPr>
        <w:t>as e</w:t>
      </w:r>
      <w:r w:rsidR="004B5631" w:rsidRPr="00F152D6">
        <w:rPr>
          <w:rFonts w:ascii="Times New Roman" w:eastAsia="Times New Roman" w:hAnsi="Times New Roman" w:cs="Times New Roman"/>
          <w:color w:val="000000"/>
          <w:sz w:val="24"/>
          <w:szCs w:val="24"/>
        </w:rPr>
        <w:t>l</w:t>
      </w:r>
      <w:r w:rsidR="004B5631">
        <w:rPr>
          <w:rFonts w:ascii="Times New Roman" w:eastAsia="Times New Roman" w:hAnsi="Times New Roman" w:cs="Times New Roman"/>
          <w:color w:val="000000"/>
          <w:sz w:val="24"/>
          <w:szCs w:val="24"/>
        </w:rPr>
        <w:t>ecciones.</w:t>
      </w:r>
    </w:p>
    <w:p w14:paraId="45117F5B" w14:textId="5CF68214" w:rsidR="00FA6332" w:rsidRDefault="00FA6332" w:rsidP="00FA6332">
      <w:pPr>
        <w:spacing w:line="480" w:lineRule="auto"/>
        <w:ind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Por ú</w:t>
      </w:r>
      <w:r w:rsidRPr="00F152D6">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timo, también inc</w:t>
      </w:r>
      <w:r w:rsidRPr="00F152D6">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uí variab</w:t>
      </w:r>
      <w:r w:rsidRPr="00F152D6">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 xml:space="preserve">es </w:t>
      </w:r>
      <w:r w:rsidR="007B6609">
        <w:rPr>
          <w:rFonts w:ascii="Times New Roman" w:eastAsia="Times New Roman" w:hAnsi="Times New Roman" w:cs="Times New Roman"/>
          <w:color w:val="000000"/>
          <w:sz w:val="24"/>
          <w:szCs w:val="24"/>
        </w:rPr>
        <w:t xml:space="preserve">para identificar </w:t>
      </w:r>
      <w:r w:rsidR="007B6609" w:rsidRPr="00F152D6">
        <w:rPr>
          <w:rFonts w:ascii="Times New Roman" w:eastAsia="Times New Roman" w:hAnsi="Times New Roman" w:cs="Times New Roman"/>
          <w:color w:val="000000"/>
          <w:sz w:val="24"/>
          <w:szCs w:val="24"/>
        </w:rPr>
        <w:t>l</w:t>
      </w:r>
      <w:r w:rsidR="007B6609">
        <w:rPr>
          <w:rFonts w:ascii="Times New Roman" w:eastAsia="Times New Roman" w:hAnsi="Times New Roman" w:cs="Times New Roman"/>
          <w:color w:val="000000"/>
          <w:sz w:val="24"/>
          <w:szCs w:val="24"/>
        </w:rPr>
        <w:t>os municipios, año</w:t>
      </w:r>
      <w:r w:rsidR="00445D06">
        <w:rPr>
          <w:rFonts w:ascii="Times New Roman" w:eastAsia="Times New Roman" w:hAnsi="Times New Roman" w:cs="Times New Roman"/>
          <w:color w:val="000000"/>
          <w:sz w:val="24"/>
          <w:szCs w:val="24"/>
        </w:rPr>
        <w:t>s</w:t>
      </w:r>
      <w:r w:rsidR="007B6609">
        <w:rPr>
          <w:rFonts w:ascii="Times New Roman" w:eastAsia="Times New Roman" w:hAnsi="Times New Roman" w:cs="Times New Roman"/>
          <w:color w:val="000000"/>
          <w:sz w:val="24"/>
          <w:szCs w:val="24"/>
        </w:rPr>
        <w:t xml:space="preserve"> y entidades federativas en e</w:t>
      </w:r>
      <w:r w:rsidR="007B6609" w:rsidRPr="00F152D6">
        <w:rPr>
          <w:rFonts w:ascii="Times New Roman" w:eastAsia="Times New Roman" w:hAnsi="Times New Roman" w:cs="Times New Roman"/>
          <w:color w:val="000000"/>
          <w:sz w:val="24"/>
          <w:szCs w:val="24"/>
        </w:rPr>
        <w:t>l</w:t>
      </w:r>
      <w:r w:rsidR="007B6609">
        <w:rPr>
          <w:rFonts w:ascii="Times New Roman" w:eastAsia="Times New Roman" w:hAnsi="Times New Roman" w:cs="Times New Roman"/>
          <w:color w:val="000000"/>
          <w:sz w:val="24"/>
          <w:szCs w:val="24"/>
        </w:rPr>
        <w:t xml:space="preserve"> mode</w:t>
      </w:r>
      <w:r w:rsidR="007B6609" w:rsidRPr="00F152D6">
        <w:rPr>
          <w:rFonts w:ascii="Times New Roman" w:eastAsia="Times New Roman" w:hAnsi="Times New Roman" w:cs="Times New Roman"/>
          <w:color w:val="000000"/>
          <w:sz w:val="24"/>
          <w:szCs w:val="24"/>
        </w:rPr>
        <w:t>l</w:t>
      </w:r>
      <w:r w:rsidR="007B6609">
        <w:rPr>
          <w:rFonts w:ascii="Times New Roman" w:eastAsia="Times New Roman" w:hAnsi="Times New Roman" w:cs="Times New Roman"/>
          <w:color w:val="000000"/>
          <w:sz w:val="24"/>
          <w:szCs w:val="24"/>
        </w:rPr>
        <w:t>o. En este sentido, agregué tres variab</w:t>
      </w:r>
      <w:r w:rsidR="007B6609" w:rsidRPr="00F152D6">
        <w:rPr>
          <w:rFonts w:ascii="Times New Roman" w:eastAsia="Times New Roman" w:hAnsi="Times New Roman" w:cs="Times New Roman"/>
          <w:color w:val="000000"/>
          <w:sz w:val="24"/>
          <w:szCs w:val="24"/>
        </w:rPr>
        <w:t>l</w:t>
      </w:r>
      <w:r w:rsidR="007B6609">
        <w:rPr>
          <w:rFonts w:ascii="Times New Roman" w:eastAsia="Times New Roman" w:hAnsi="Times New Roman" w:cs="Times New Roman"/>
          <w:color w:val="000000"/>
          <w:sz w:val="24"/>
          <w:szCs w:val="24"/>
        </w:rPr>
        <w:t>es dicotómicas que permitirán diferenciar e</w:t>
      </w:r>
      <w:r w:rsidR="007B6609" w:rsidRPr="00F152D6">
        <w:rPr>
          <w:rFonts w:ascii="Times New Roman" w:eastAsia="Times New Roman" w:hAnsi="Times New Roman" w:cs="Times New Roman"/>
          <w:color w:val="000000"/>
          <w:sz w:val="24"/>
          <w:szCs w:val="24"/>
        </w:rPr>
        <w:t>l</w:t>
      </w:r>
      <w:r w:rsidR="007B6609">
        <w:rPr>
          <w:rFonts w:ascii="Times New Roman" w:eastAsia="Times New Roman" w:hAnsi="Times New Roman" w:cs="Times New Roman"/>
          <w:color w:val="000000"/>
          <w:sz w:val="24"/>
          <w:szCs w:val="24"/>
        </w:rPr>
        <w:t xml:space="preserve"> tercer nive</w:t>
      </w:r>
      <w:r w:rsidR="007B6609" w:rsidRPr="00F152D6">
        <w:rPr>
          <w:rFonts w:ascii="Times New Roman" w:eastAsia="Times New Roman" w:hAnsi="Times New Roman" w:cs="Times New Roman"/>
          <w:color w:val="000000"/>
          <w:sz w:val="24"/>
          <w:szCs w:val="24"/>
        </w:rPr>
        <w:t>l</w:t>
      </w:r>
      <w:r w:rsidR="007B6609">
        <w:rPr>
          <w:rFonts w:ascii="Times New Roman" w:eastAsia="Times New Roman" w:hAnsi="Times New Roman" w:cs="Times New Roman"/>
          <w:color w:val="000000"/>
          <w:sz w:val="24"/>
          <w:szCs w:val="24"/>
        </w:rPr>
        <w:t xml:space="preserve"> de agregación: </w:t>
      </w:r>
      <w:r w:rsidR="007B6609" w:rsidRPr="00F152D6">
        <w:rPr>
          <w:rFonts w:ascii="Times New Roman" w:eastAsia="Times New Roman" w:hAnsi="Times New Roman" w:cs="Times New Roman"/>
          <w:color w:val="000000"/>
          <w:sz w:val="24"/>
          <w:szCs w:val="24"/>
        </w:rPr>
        <w:t>l</w:t>
      </w:r>
      <w:r w:rsidR="007B6609">
        <w:rPr>
          <w:rFonts w:ascii="Times New Roman" w:eastAsia="Times New Roman" w:hAnsi="Times New Roman" w:cs="Times New Roman"/>
          <w:color w:val="000000"/>
          <w:sz w:val="24"/>
          <w:szCs w:val="24"/>
        </w:rPr>
        <w:t xml:space="preserve">a entidad federativa. Es decir, en </w:t>
      </w:r>
      <w:r w:rsidR="007B6609" w:rsidRPr="00F152D6">
        <w:rPr>
          <w:rFonts w:ascii="Times New Roman" w:eastAsia="Times New Roman" w:hAnsi="Times New Roman" w:cs="Times New Roman"/>
          <w:color w:val="000000"/>
          <w:sz w:val="24"/>
          <w:szCs w:val="24"/>
        </w:rPr>
        <w:t>l</w:t>
      </w:r>
      <w:r w:rsidR="007B6609">
        <w:rPr>
          <w:rFonts w:ascii="Times New Roman" w:eastAsia="Times New Roman" w:hAnsi="Times New Roman" w:cs="Times New Roman"/>
          <w:color w:val="000000"/>
          <w:sz w:val="24"/>
          <w:szCs w:val="24"/>
        </w:rPr>
        <w:t xml:space="preserve">ugar de </w:t>
      </w:r>
      <w:r w:rsidR="00C44560">
        <w:rPr>
          <w:rFonts w:ascii="Times New Roman" w:eastAsia="Times New Roman" w:hAnsi="Times New Roman" w:cs="Times New Roman"/>
          <w:color w:val="000000"/>
          <w:sz w:val="24"/>
          <w:szCs w:val="24"/>
        </w:rPr>
        <w:t>generar un tercer nivel en el modelo</w:t>
      </w:r>
      <w:r w:rsidR="007B6609">
        <w:rPr>
          <w:rFonts w:ascii="Times New Roman" w:eastAsia="Times New Roman" w:hAnsi="Times New Roman" w:cs="Times New Roman"/>
          <w:color w:val="000000"/>
          <w:sz w:val="24"/>
          <w:szCs w:val="24"/>
        </w:rPr>
        <w:t xml:space="preserve">, </w:t>
      </w:r>
      <w:r w:rsidR="007B6609" w:rsidRPr="00F152D6">
        <w:rPr>
          <w:rFonts w:ascii="Times New Roman" w:eastAsia="Times New Roman" w:hAnsi="Times New Roman" w:cs="Times New Roman"/>
          <w:color w:val="000000"/>
          <w:sz w:val="24"/>
          <w:szCs w:val="24"/>
        </w:rPr>
        <w:t>l</w:t>
      </w:r>
      <w:r w:rsidR="007B6609">
        <w:rPr>
          <w:rFonts w:ascii="Times New Roman" w:eastAsia="Times New Roman" w:hAnsi="Times New Roman" w:cs="Times New Roman"/>
          <w:color w:val="000000"/>
          <w:sz w:val="24"/>
          <w:szCs w:val="24"/>
        </w:rPr>
        <w:t>o que hice fue inc</w:t>
      </w:r>
      <w:r w:rsidR="007B6609" w:rsidRPr="00F152D6">
        <w:rPr>
          <w:rFonts w:ascii="Times New Roman" w:eastAsia="Times New Roman" w:hAnsi="Times New Roman" w:cs="Times New Roman"/>
          <w:color w:val="000000"/>
          <w:sz w:val="24"/>
          <w:szCs w:val="24"/>
        </w:rPr>
        <w:t>l</w:t>
      </w:r>
      <w:r w:rsidR="007B6609">
        <w:rPr>
          <w:rFonts w:ascii="Times New Roman" w:eastAsia="Times New Roman" w:hAnsi="Times New Roman" w:cs="Times New Roman"/>
          <w:color w:val="000000"/>
          <w:sz w:val="24"/>
          <w:szCs w:val="24"/>
        </w:rPr>
        <w:t xml:space="preserve">uir </w:t>
      </w:r>
      <w:r w:rsidR="007B6609" w:rsidRPr="00F152D6">
        <w:rPr>
          <w:rFonts w:ascii="Times New Roman" w:eastAsia="Times New Roman" w:hAnsi="Times New Roman" w:cs="Times New Roman"/>
          <w:color w:val="000000"/>
          <w:sz w:val="24"/>
          <w:szCs w:val="24"/>
        </w:rPr>
        <w:t>l</w:t>
      </w:r>
      <w:r w:rsidR="007B6609">
        <w:rPr>
          <w:rFonts w:ascii="Times New Roman" w:eastAsia="Times New Roman" w:hAnsi="Times New Roman" w:cs="Times New Roman"/>
          <w:color w:val="000000"/>
          <w:sz w:val="24"/>
          <w:szCs w:val="24"/>
        </w:rPr>
        <w:t>as variab</w:t>
      </w:r>
      <w:r w:rsidR="007B6609" w:rsidRPr="00F152D6">
        <w:rPr>
          <w:rFonts w:ascii="Times New Roman" w:eastAsia="Times New Roman" w:hAnsi="Times New Roman" w:cs="Times New Roman"/>
          <w:color w:val="000000"/>
          <w:sz w:val="24"/>
          <w:szCs w:val="24"/>
        </w:rPr>
        <w:t>l</w:t>
      </w:r>
      <w:r w:rsidR="007B6609">
        <w:rPr>
          <w:rFonts w:ascii="Times New Roman" w:eastAsia="Times New Roman" w:hAnsi="Times New Roman" w:cs="Times New Roman"/>
          <w:color w:val="000000"/>
          <w:sz w:val="24"/>
          <w:szCs w:val="24"/>
        </w:rPr>
        <w:t>es (</w:t>
      </w:r>
      <w:r w:rsidR="007B6609">
        <w:rPr>
          <w:rFonts w:ascii="Times New Roman" w:eastAsia="Times New Roman" w:hAnsi="Times New Roman" w:cs="Times New Roman"/>
          <w:i/>
          <w:color w:val="000000"/>
          <w:sz w:val="24"/>
          <w:szCs w:val="24"/>
        </w:rPr>
        <w:t>guerrero</w:t>
      </w:r>
      <w:r w:rsidR="007B6609">
        <w:rPr>
          <w:rFonts w:ascii="Times New Roman" w:eastAsia="Times New Roman" w:hAnsi="Times New Roman" w:cs="Times New Roman"/>
          <w:color w:val="000000"/>
          <w:sz w:val="24"/>
          <w:szCs w:val="24"/>
        </w:rPr>
        <w:t>)</w:t>
      </w:r>
      <w:r w:rsidR="007B6609">
        <w:rPr>
          <w:rFonts w:ascii="Times New Roman" w:eastAsia="Times New Roman" w:hAnsi="Times New Roman" w:cs="Times New Roman"/>
          <w:i/>
          <w:color w:val="000000"/>
          <w:sz w:val="24"/>
          <w:szCs w:val="24"/>
        </w:rPr>
        <w:t xml:space="preserve"> </w:t>
      </w:r>
      <w:r w:rsidR="007B6609" w:rsidRPr="007B6609">
        <w:rPr>
          <w:rFonts w:ascii="Times New Roman" w:eastAsia="Times New Roman" w:hAnsi="Times New Roman" w:cs="Times New Roman"/>
          <w:color w:val="000000"/>
          <w:sz w:val="24"/>
          <w:szCs w:val="24"/>
        </w:rPr>
        <w:t>(</w:t>
      </w:r>
      <w:proofErr w:type="spellStart"/>
      <w:r w:rsidR="007B6609">
        <w:rPr>
          <w:rFonts w:ascii="Times New Roman" w:eastAsia="Times New Roman" w:hAnsi="Times New Roman" w:cs="Times New Roman"/>
          <w:i/>
          <w:color w:val="000000"/>
          <w:sz w:val="24"/>
          <w:szCs w:val="24"/>
        </w:rPr>
        <w:t>oaxaca</w:t>
      </w:r>
      <w:proofErr w:type="spellEnd"/>
      <w:r w:rsidR="007B6609" w:rsidRPr="007B6609">
        <w:rPr>
          <w:rFonts w:ascii="Times New Roman" w:eastAsia="Times New Roman" w:hAnsi="Times New Roman" w:cs="Times New Roman"/>
          <w:color w:val="000000"/>
          <w:sz w:val="24"/>
          <w:szCs w:val="24"/>
        </w:rPr>
        <w:t>)</w:t>
      </w:r>
      <w:r w:rsidR="007B6609">
        <w:rPr>
          <w:rFonts w:ascii="Times New Roman" w:eastAsia="Times New Roman" w:hAnsi="Times New Roman" w:cs="Times New Roman"/>
          <w:i/>
          <w:color w:val="000000"/>
          <w:sz w:val="24"/>
          <w:szCs w:val="24"/>
        </w:rPr>
        <w:t xml:space="preserve"> </w:t>
      </w:r>
      <w:r w:rsidR="007B6609">
        <w:rPr>
          <w:rFonts w:ascii="Times New Roman" w:eastAsia="Times New Roman" w:hAnsi="Times New Roman" w:cs="Times New Roman"/>
          <w:color w:val="000000"/>
          <w:sz w:val="24"/>
          <w:szCs w:val="24"/>
        </w:rPr>
        <w:t xml:space="preserve">y </w:t>
      </w:r>
      <w:r w:rsidR="007B6609" w:rsidRPr="007B6609">
        <w:rPr>
          <w:rFonts w:ascii="Times New Roman" w:eastAsia="Times New Roman" w:hAnsi="Times New Roman" w:cs="Times New Roman"/>
          <w:color w:val="000000"/>
          <w:sz w:val="24"/>
          <w:szCs w:val="24"/>
        </w:rPr>
        <w:t>(</w:t>
      </w:r>
      <w:proofErr w:type="spellStart"/>
      <w:r w:rsidR="007B6609">
        <w:rPr>
          <w:rFonts w:ascii="Times New Roman" w:eastAsia="Times New Roman" w:hAnsi="Times New Roman" w:cs="Times New Roman"/>
          <w:i/>
          <w:color w:val="000000"/>
          <w:sz w:val="24"/>
          <w:szCs w:val="24"/>
        </w:rPr>
        <w:t>chiapas</w:t>
      </w:r>
      <w:proofErr w:type="spellEnd"/>
      <w:r w:rsidR="007B6609">
        <w:rPr>
          <w:rFonts w:ascii="Times New Roman" w:eastAsia="Times New Roman" w:hAnsi="Times New Roman" w:cs="Times New Roman"/>
          <w:color w:val="000000"/>
          <w:sz w:val="24"/>
          <w:szCs w:val="24"/>
        </w:rPr>
        <w:t xml:space="preserve">) para diferenciar </w:t>
      </w:r>
      <w:r w:rsidR="007B6609" w:rsidRPr="00F152D6">
        <w:rPr>
          <w:rFonts w:ascii="Times New Roman" w:eastAsia="Times New Roman" w:hAnsi="Times New Roman" w:cs="Times New Roman"/>
          <w:color w:val="000000"/>
          <w:sz w:val="24"/>
          <w:szCs w:val="24"/>
        </w:rPr>
        <w:t>l</w:t>
      </w:r>
      <w:r w:rsidR="007B6609">
        <w:rPr>
          <w:rFonts w:ascii="Times New Roman" w:eastAsia="Times New Roman" w:hAnsi="Times New Roman" w:cs="Times New Roman"/>
          <w:color w:val="000000"/>
          <w:sz w:val="24"/>
          <w:szCs w:val="24"/>
        </w:rPr>
        <w:t xml:space="preserve">a entidad federativa, en donde </w:t>
      </w:r>
      <w:r w:rsidR="004B1DD0">
        <w:rPr>
          <w:rFonts w:ascii="Times New Roman" w:eastAsia="Times New Roman" w:hAnsi="Times New Roman" w:cs="Times New Roman"/>
          <w:color w:val="000000"/>
          <w:sz w:val="24"/>
          <w:szCs w:val="24"/>
        </w:rPr>
        <w:t xml:space="preserve">se </w:t>
      </w:r>
      <w:r w:rsidR="007B6609">
        <w:rPr>
          <w:rFonts w:ascii="Times New Roman" w:eastAsia="Times New Roman" w:hAnsi="Times New Roman" w:cs="Times New Roman"/>
          <w:color w:val="000000"/>
          <w:sz w:val="24"/>
          <w:szCs w:val="24"/>
        </w:rPr>
        <w:t>adopta e</w:t>
      </w:r>
      <w:r w:rsidR="007B6609" w:rsidRPr="00F152D6">
        <w:rPr>
          <w:rFonts w:ascii="Times New Roman" w:eastAsia="Times New Roman" w:hAnsi="Times New Roman" w:cs="Times New Roman"/>
          <w:color w:val="000000"/>
          <w:sz w:val="24"/>
          <w:szCs w:val="24"/>
        </w:rPr>
        <w:t>l</w:t>
      </w:r>
      <w:r w:rsidR="007B6609">
        <w:rPr>
          <w:rFonts w:ascii="Times New Roman" w:eastAsia="Times New Roman" w:hAnsi="Times New Roman" w:cs="Times New Roman"/>
          <w:color w:val="000000"/>
          <w:sz w:val="24"/>
          <w:szCs w:val="24"/>
        </w:rPr>
        <w:t xml:space="preserve"> va</w:t>
      </w:r>
      <w:r w:rsidR="007B6609" w:rsidRPr="00F152D6">
        <w:rPr>
          <w:rFonts w:ascii="Times New Roman" w:eastAsia="Times New Roman" w:hAnsi="Times New Roman" w:cs="Times New Roman"/>
          <w:color w:val="000000"/>
          <w:sz w:val="24"/>
          <w:szCs w:val="24"/>
        </w:rPr>
        <w:t>l</w:t>
      </w:r>
      <w:r w:rsidR="007B6609">
        <w:rPr>
          <w:rFonts w:ascii="Times New Roman" w:eastAsia="Times New Roman" w:hAnsi="Times New Roman" w:cs="Times New Roman"/>
          <w:color w:val="000000"/>
          <w:sz w:val="24"/>
          <w:szCs w:val="24"/>
        </w:rPr>
        <w:t>or de 1 cuando e</w:t>
      </w:r>
      <w:r w:rsidR="007B6609" w:rsidRPr="00F152D6">
        <w:rPr>
          <w:rFonts w:ascii="Times New Roman" w:eastAsia="Times New Roman" w:hAnsi="Times New Roman" w:cs="Times New Roman"/>
          <w:color w:val="000000"/>
          <w:sz w:val="24"/>
          <w:szCs w:val="24"/>
        </w:rPr>
        <w:t>l</w:t>
      </w:r>
      <w:r w:rsidR="007B6609">
        <w:rPr>
          <w:rFonts w:ascii="Times New Roman" w:eastAsia="Times New Roman" w:hAnsi="Times New Roman" w:cs="Times New Roman"/>
          <w:color w:val="000000"/>
          <w:sz w:val="24"/>
          <w:szCs w:val="24"/>
        </w:rPr>
        <w:t xml:space="preserve"> municipio observado pertenece a </w:t>
      </w:r>
      <w:r w:rsidR="00445D06">
        <w:rPr>
          <w:rFonts w:ascii="Times New Roman" w:eastAsia="Times New Roman" w:hAnsi="Times New Roman" w:cs="Times New Roman"/>
          <w:color w:val="000000"/>
          <w:sz w:val="24"/>
          <w:szCs w:val="24"/>
        </w:rPr>
        <w:t xml:space="preserve">determinado </w:t>
      </w:r>
      <w:r w:rsidR="007B6609">
        <w:rPr>
          <w:rFonts w:ascii="Times New Roman" w:eastAsia="Times New Roman" w:hAnsi="Times New Roman" w:cs="Times New Roman"/>
          <w:color w:val="000000"/>
          <w:sz w:val="24"/>
          <w:szCs w:val="24"/>
        </w:rPr>
        <w:t>estado y 0 en caso contrario</w:t>
      </w:r>
      <w:r w:rsidR="003234DB">
        <w:rPr>
          <w:rFonts w:ascii="Times New Roman" w:eastAsia="Times New Roman" w:hAnsi="Times New Roman" w:cs="Times New Roman"/>
          <w:color w:val="000000"/>
          <w:sz w:val="24"/>
          <w:szCs w:val="24"/>
        </w:rPr>
        <w:t xml:space="preserve">. </w:t>
      </w:r>
      <w:r w:rsidR="007B6609">
        <w:rPr>
          <w:rFonts w:ascii="Times New Roman" w:eastAsia="Times New Roman" w:hAnsi="Times New Roman" w:cs="Times New Roman"/>
          <w:color w:val="000000"/>
          <w:sz w:val="24"/>
          <w:szCs w:val="24"/>
        </w:rPr>
        <w:t>Asimismo, la variab</w:t>
      </w:r>
      <w:r w:rsidR="007B6609" w:rsidRPr="00F152D6">
        <w:rPr>
          <w:rFonts w:ascii="Times New Roman" w:eastAsia="Times New Roman" w:hAnsi="Times New Roman" w:cs="Times New Roman"/>
          <w:color w:val="000000"/>
          <w:sz w:val="24"/>
          <w:szCs w:val="24"/>
        </w:rPr>
        <w:t>l</w:t>
      </w:r>
      <w:r w:rsidR="007B6609">
        <w:rPr>
          <w:rFonts w:ascii="Times New Roman" w:eastAsia="Times New Roman" w:hAnsi="Times New Roman" w:cs="Times New Roman"/>
          <w:color w:val="000000"/>
          <w:sz w:val="24"/>
          <w:szCs w:val="24"/>
        </w:rPr>
        <w:t>e (</w:t>
      </w:r>
      <w:proofErr w:type="spellStart"/>
      <w:r w:rsidR="007B6609">
        <w:rPr>
          <w:rFonts w:ascii="Times New Roman" w:eastAsia="Times New Roman" w:hAnsi="Times New Roman" w:cs="Times New Roman"/>
          <w:i/>
          <w:color w:val="000000"/>
          <w:sz w:val="24"/>
          <w:szCs w:val="24"/>
        </w:rPr>
        <w:t>anio</w:t>
      </w:r>
      <w:proofErr w:type="spellEnd"/>
      <w:r w:rsidR="007B6609">
        <w:rPr>
          <w:rFonts w:ascii="Times New Roman" w:eastAsia="Times New Roman" w:hAnsi="Times New Roman" w:cs="Times New Roman"/>
          <w:color w:val="000000"/>
          <w:sz w:val="24"/>
          <w:szCs w:val="24"/>
        </w:rPr>
        <w:t xml:space="preserve">) captura </w:t>
      </w:r>
      <w:r w:rsidR="007B6609" w:rsidRPr="00F152D6">
        <w:rPr>
          <w:rFonts w:ascii="Times New Roman" w:eastAsia="Times New Roman" w:hAnsi="Times New Roman" w:cs="Times New Roman"/>
          <w:color w:val="000000"/>
          <w:sz w:val="24"/>
          <w:szCs w:val="24"/>
        </w:rPr>
        <w:t>l</w:t>
      </w:r>
      <w:r w:rsidR="007B6609">
        <w:rPr>
          <w:rFonts w:ascii="Times New Roman" w:eastAsia="Times New Roman" w:hAnsi="Times New Roman" w:cs="Times New Roman"/>
          <w:color w:val="000000"/>
          <w:sz w:val="24"/>
          <w:szCs w:val="24"/>
        </w:rPr>
        <w:t>a evo</w:t>
      </w:r>
      <w:r w:rsidR="007B6609" w:rsidRPr="00F152D6">
        <w:rPr>
          <w:rFonts w:ascii="Times New Roman" w:eastAsia="Times New Roman" w:hAnsi="Times New Roman" w:cs="Times New Roman"/>
          <w:color w:val="000000"/>
          <w:sz w:val="24"/>
          <w:szCs w:val="24"/>
        </w:rPr>
        <w:t>l</w:t>
      </w:r>
      <w:r w:rsidR="007B6609">
        <w:rPr>
          <w:rFonts w:ascii="Times New Roman" w:eastAsia="Times New Roman" w:hAnsi="Times New Roman" w:cs="Times New Roman"/>
          <w:color w:val="000000"/>
          <w:sz w:val="24"/>
          <w:szCs w:val="24"/>
        </w:rPr>
        <w:t>ución en e</w:t>
      </w:r>
      <w:r w:rsidR="007B6609" w:rsidRPr="00F152D6">
        <w:rPr>
          <w:rFonts w:ascii="Times New Roman" w:eastAsia="Times New Roman" w:hAnsi="Times New Roman" w:cs="Times New Roman"/>
          <w:color w:val="000000"/>
          <w:sz w:val="24"/>
          <w:szCs w:val="24"/>
        </w:rPr>
        <w:t>l</w:t>
      </w:r>
      <w:r w:rsidR="007B6609">
        <w:rPr>
          <w:rFonts w:ascii="Times New Roman" w:eastAsia="Times New Roman" w:hAnsi="Times New Roman" w:cs="Times New Roman"/>
          <w:color w:val="000000"/>
          <w:sz w:val="24"/>
          <w:szCs w:val="24"/>
        </w:rPr>
        <w:t xml:space="preserve"> tiempo de </w:t>
      </w:r>
      <w:r w:rsidR="007B6609" w:rsidRPr="00F152D6">
        <w:rPr>
          <w:rFonts w:ascii="Times New Roman" w:eastAsia="Times New Roman" w:hAnsi="Times New Roman" w:cs="Times New Roman"/>
          <w:color w:val="000000"/>
          <w:sz w:val="24"/>
          <w:szCs w:val="24"/>
        </w:rPr>
        <w:t>l</w:t>
      </w:r>
      <w:r w:rsidR="007B6609">
        <w:rPr>
          <w:rFonts w:ascii="Times New Roman" w:eastAsia="Times New Roman" w:hAnsi="Times New Roman" w:cs="Times New Roman"/>
          <w:color w:val="000000"/>
          <w:sz w:val="24"/>
          <w:szCs w:val="24"/>
        </w:rPr>
        <w:t>as variab</w:t>
      </w:r>
      <w:r w:rsidR="007B6609" w:rsidRPr="00F152D6">
        <w:rPr>
          <w:rFonts w:ascii="Times New Roman" w:eastAsia="Times New Roman" w:hAnsi="Times New Roman" w:cs="Times New Roman"/>
          <w:color w:val="000000"/>
          <w:sz w:val="24"/>
          <w:szCs w:val="24"/>
        </w:rPr>
        <w:t>l</w:t>
      </w:r>
      <w:r w:rsidR="007B6609">
        <w:rPr>
          <w:rFonts w:ascii="Times New Roman" w:eastAsia="Times New Roman" w:hAnsi="Times New Roman" w:cs="Times New Roman"/>
          <w:color w:val="000000"/>
          <w:sz w:val="24"/>
          <w:szCs w:val="24"/>
        </w:rPr>
        <w:t>es que cambian para cada municipio</w:t>
      </w:r>
      <w:r w:rsidR="00497234">
        <w:rPr>
          <w:rFonts w:ascii="Times New Roman" w:eastAsia="Times New Roman" w:hAnsi="Times New Roman" w:cs="Times New Roman"/>
          <w:color w:val="000000"/>
          <w:sz w:val="24"/>
          <w:szCs w:val="24"/>
        </w:rPr>
        <w:t>.</w:t>
      </w:r>
      <w:r w:rsidR="003234DB">
        <w:rPr>
          <w:rFonts w:ascii="Times New Roman" w:eastAsia="Times New Roman" w:hAnsi="Times New Roman" w:cs="Times New Roman"/>
          <w:color w:val="000000"/>
          <w:sz w:val="24"/>
          <w:szCs w:val="24"/>
        </w:rPr>
        <w:t xml:space="preserve"> </w:t>
      </w:r>
    </w:p>
    <w:p w14:paraId="4B4FA54B" w14:textId="767D7F46" w:rsidR="00B0454E" w:rsidRDefault="00B0454E" w:rsidP="00FA6332">
      <w:pPr>
        <w:spacing w:line="480" w:lineRule="auto"/>
        <w:ind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Una vez especificadas </w:t>
      </w:r>
      <w:r w:rsidRPr="00F152D6">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as variab</w:t>
      </w:r>
      <w:r w:rsidRPr="00F152D6">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es de mi mode</w:t>
      </w:r>
      <w:r w:rsidRPr="00F152D6">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o estadístico, de</w:t>
      </w:r>
      <w:r w:rsidRPr="00F152D6">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inearé e</w:t>
      </w:r>
      <w:r w:rsidRPr="00F152D6">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 xml:space="preserve"> mode</w:t>
      </w:r>
      <w:r w:rsidRPr="00F152D6">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o mu</w:t>
      </w:r>
      <w:r w:rsidRPr="00F152D6">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tinive</w:t>
      </w:r>
      <w:r w:rsidRPr="00F152D6">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 xml:space="preserve"> específico que utilizaré para poner a prueba </w:t>
      </w:r>
      <w:r w:rsidR="003234DB">
        <w:rPr>
          <w:rFonts w:ascii="Times New Roman" w:eastAsia="Times New Roman" w:hAnsi="Times New Roman" w:cs="Times New Roman"/>
          <w:color w:val="000000"/>
          <w:sz w:val="24"/>
          <w:szCs w:val="24"/>
        </w:rPr>
        <w:t>las</w:t>
      </w:r>
      <w:r>
        <w:rPr>
          <w:rFonts w:ascii="Times New Roman" w:eastAsia="Times New Roman" w:hAnsi="Times New Roman" w:cs="Times New Roman"/>
          <w:color w:val="000000"/>
          <w:sz w:val="24"/>
          <w:szCs w:val="24"/>
        </w:rPr>
        <w:t xml:space="preserve"> hipótesis. Como mencioné anteriormente, e</w:t>
      </w:r>
      <w:r w:rsidRPr="00F152D6">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 xml:space="preserve"> mode</w:t>
      </w:r>
      <w:r w:rsidRPr="00F152D6">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 xml:space="preserve">o que me propongo cuenta con tres niveles que van desde </w:t>
      </w:r>
      <w:r w:rsidRPr="00F152D6">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as observaciones municipa</w:t>
      </w:r>
      <w:r w:rsidRPr="00F152D6">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es por cada año</w:t>
      </w:r>
      <w:r w:rsidR="00074C53">
        <w:rPr>
          <w:rFonts w:ascii="Times New Roman" w:eastAsia="Times New Roman" w:hAnsi="Times New Roman" w:cs="Times New Roman"/>
          <w:color w:val="000000"/>
          <w:sz w:val="24"/>
          <w:szCs w:val="24"/>
        </w:rPr>
        <w:t>, pasan por la agregación municipal</w:t>
      </w:r>
      <w:r w:rsidR="00AC709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6D51B2">
        <w:rPr>
          <w:rFonts w:ascii="Times New Roman" w:eastAsia="Times New Roman" w:hAnsi="Times New Roman" w:cs="Times New Roman"/>
          <w:color w:val="000000"/>
          <w:sz w:val="24"/>
          <w:szCs w:val="24"/>
        </w:rPr>
        <w:t xml:space="preserve">hasta </w:t>
      </w:r>
      <w:r w:rsidRPr="00F152D6">
        <w:rPr>
          <w:rFonts w:ascii="Times New Roman" w:eastAsia="Times New Roman" w:hAnsi="Times New Roman" w:cs="Times New Roman"/>
          <w:color w:val="000000"/>
          <w:sz w:val="24"/>
          <w:szCs w:val="24"/>
        </w:rPr>
        <w:t>l</w:t>
      </w:r>
      <w:r w:rsidR="00074C53">
        <w:rPr>
          <w:rFonts w:ascii="Times New Roman" w:eastAsia="Times New Roman" w:hAnsi="Times New Roman" w:cs="Times New Roman"/>
          <w:color w:val="000000"/>
          <w:sz w:val="24"/>
          <w:szCs w:val="24"/>
        </w:rPr>
        <w:t>legar a la agregación por entidades federativas. S</w:t>
      </w:r>
      <w:r>
        <w:rPr>
          <w:rFonts w:ascii="Times New Roman" w:eastAsia="Times New Roman" w:hAnsi="Times New Roman" w:cs="Times New Roman"/>
          <w:color w:val="000000"/>
          <w:sz w:val="24"/>
          <w:szCs w:val="24"/>
        </w:rPr>
        <w:t>in embargo, a</w:t>
      </w:r>
      <w:r w:rsidRPr="00F152D6">
        <w:rPr>
          <w:rFonts w:ascii="Times New Roman" w:eastAsia="Times New Roman" w:hAnsi="Times New Roman" w:cs="Times New Roman"/>
          <w:color w:val="000000"/>
          <w:sz w:val="24"/>
          <w:szCs w:val="24"/>
        </w:rPr>
        <w:t>l</w:t>
      </w:r>
      <w:r w:rsidR="006D51B2">
        <w:rPr>
          <w:rFonts w:ascii="Times New Roman" w:eastAsia="Times New Roman" w:hAnsi="Times New Roman" w:cs="Times New Roman"/>
          <w:color w:val="000000"/>
          <w:sz w:val="24"/>
          <w:szCs w:val="24"/>
        </w:rPr>
        <w:t xml:space="preserve"> inc</w:t>
      </w:r>
      <w:r w:rsidR="006D51B2" w:rsidRPr="00F152D6">
        <w:rPr>
          <w:rFonts w:ascii="Times New Roman" w:eastAsia="Times New Roman" w:hAnsi="Times New Roman" w:cs="Times New Roman"/>
          <w:color w:val="000000"/>
          <w:sz w:val="24"/>
          <w:szCs w:val="24"/>
        </w:rPr>
        <w:t>l</w:t>
      </w:r>
      <w:r w:rsidR="006D51B2">
        <w:rPr>
          <w:rFonts w:ascii="Times New Roman" w:eastAsia="Times New Roman" w:hAnsi="Times New Roman" w:cs="Times New Roman"/>
          <w:color w:val="000000"/>
          <w:sz w:val="24"/>
          <w:szCs w:val="24"/>
        </w:rPr>
        <w:t xml:space="preserve">uir </w:t>
      </w:r>
      <w:r w:rsidR="006D51B2" w:rsidRPr="00F152D6">
        <w:rPr>
          <w:rFonts w:ascii="Times New Roman" w:eastAsia="Times New Roman" w:hAnsi="Times New Roman" w:cs="Times New Roman"/>
          <w:color w:val="000000"/>
          <w:sz w:val="24"/>
          <w:szCs w:val="24"/>
        </w:rPr>
        <w:t>l</w:t>
      </w:r>
      <w:r w:rsidR="006D51B2">
        <w:rPr>
          <w:rFonts w:ascii="Times New Roman" w:eastAsia="Times New Roman" w:hAnsi="Times New Roman" w:cs="Times New Roman"/>
          <w:color w:val="000000"/>
          <w:sz w:val="24"/>
          <w:szCs w:val="24"/>
        </w:rPr>
        <w:t>as</w:t>
      </w:r>
      <w:r w:rsidR="00074C53">
        <w:rPr>
          <w:rFonts w:ascii="Times New Roman" w:eastAsia="Times New Roman" w:hAnsi="Times New Roman" w:cs="Times New Roman"/>
          <w:color w:val="000000"/>
          <w:sz w:val="24"/>
          <w:szCs w:val="24"/>
        </w:rPr>
        <w:t xml:space="preserve"> variables</w:t>
      </w:r>
      <w:r w:rsidR="006D51B2">
        <w:rPr>
          <w:rFonts w:ascii="Times New Roman" w:eastAsia="Times New Roman" w:hAnsi="Times New Roman" w:cs="Times New Roman"/>
          <w:color w:val="000000"/>
          <w:sz w:val="24"/>
          <w:szCs w:val="24"/>
        </w:rPr>
        <w:t xml:space="preserve"> dicotómicas por estado, el tercer nive</w:t>
      </w:r>
      <w:r w:rsidR="006D51B2" w:rsidRPr="00F152D6">
        <w:rPr>
          <w:rFonts w:ascii="Times New Roman" w:eastAsia="Times New Roman" w:hAnsi="Times New Roman" w:cs="Times New Roman"/>
          <w:color w:val="000000"/>
          <w:sz w:val="24"/>
          <w:szCs w:val="24"/>
        </w:rPr>
        <w:t>l</w:t>
      </w:r>
      <w:r w:rsidR="006D51B2">
        <w:rPr>
          <w:rFonts w:ascii="Times New Roman" w:eastAsia="Times New Roman" w:hAnsi="Times New Roman" w:cs="Times New Roman"/>
          <w:color w:val="000000"/>
          <w:sz w:val="24"/>
          <w:szCs w:val="24"/>
        </w:rPr>
        <w:t xml:space="preserve"> quedaría absorbido por dichas variab</w:t>
      </w:r>
      <w:r w:rsidR="006D51B2" w:rsidRPr="00F152D6">
        <w:rPr>
          <w:rFonts w:ascii="Times New Roman" w:eastAsia="Times New Roman" w:hAnsi="Times New Roman" w:cs="Times New Roman"/>
          <w:color w:val="000000"/>
          <w:sz w:val="24"/>
          <w:szCs w:val="24"/>
        </w:rPr>
        <w:t>l</w:t>
      </w:r>
      <w:r w:rsidR="006D51B2">
        <w:rPr>
          <w:rFonts w:ascii="Times New Roman" w:eastAsia="Times New Roman" w:hAnsi="Times New Roman" w:cs="Times New Roman"/>
          <w:color w:val="000000"/>
          <w:sz w:val="24"/>
          <w:szCs w:val="24"/>
        </w:rPr>
        <w:t xml:space="preserve">es. </w:t>
      </w:r>
      <w:r w:rsidR="005F60B2">
        <w:rPr>
          <w:rFonts w:ascii="Times New Roman" w:eastAsia="Times New Roman" w:hAnsi="Times New Roman" w:cs="Times New Roman"/>
          <w:color w:val="000000"/>
          <w:sz w:val="24"/>
          <w:szCs w:val="24"/>
        </w:rPr>
        <w:t xml:space="preserve">Para la construcción de las ecuaciones del modelo se requiere especificar el nivel de agregación de la información para cada variable y los </w:t>
      </w:r>
      <w:proofErr w:type="spellStart"/>
      <w:r w:rsidR="005F60B2">
        <w:rPr>
          <w:rFonts w:ascii="Times New Roman" w:eastAsia="Times New Roman" w:hAnsi="Times New Roman" w:cs="Times New Roman"/>
          <w:color w:val="000000"/>
          <w:sz w:val="24"/>
          <w:szCs w:val="24"/>
        </w:rPr>
        <w:t>interceptos</w:t>
      </w:r>
      <w:proofErr w:type="spellEnd"/>
      <w:r w:rsidR="005F60B2">
        <w:rPr>
          <w:rFonts w:ascii="Times New Roman" w:eastAsia="Times New Roman" w:hAnsi="Times New Roman" w:cs="Times New Roman"/>
          <w:color w:val="000000"/>
          <w:sz w:val="24"/>
          <w:szCs w:val="24"/>
        </w:rPr>
        <w:t xml:space="preserve"> globales que aplicarán para todas las observaciones, por lo que los modelos multinivel se construyen en tres etapas. </w:t>
      </w:r>
      <w:r w:rsidR="006D51B2">
        <w:rPr>
          <w:rFonts w:ascii="Times New Roman" w:eastAsia="Times New Roman" w:hAnsi="Times New Roman" w:cs="Times New Roman"/>
          <w:color w:val="000000"/>
          <w:sz w:val="24"/>
          <w:szCs w:val="24"/>
        </w:rPr>
        <w:t>Luego entonces, el mode</w:t>
      </w:r>
      <w:r w:rsidR="006D51B2" w:rsidRPr="00F152D6">
        <w:rPr>
          <w:rFonts w:ascii="Times New Roman" w:eastAsia="Times New Roman" w:hAnsi="Times New Roman" w:cs="Times New Roman"/>
          <w:color w:val="000000"/>
          <w:sz w:val="24"/>
          <w:szCs w:val="24"/>
        </w:rPr>
        <w:t>l</w:t>
      </w:r>
      <w:r w:rsidR="00074C53">
        <w:rPr>
          <w:rFonts w:ascii="Times New Roman" w:eastAsia="Times New Roman" w:hAnsi="Times New Roman" w:cs="Times New Roman"/>
          <w:color w:val="000000"/>
          <w:sz w:val="24"/>
          <w:szCs w:val="24"/>
        </w:rPr>
        <w:t>o quedaría de la siguiente manera</w:t>
      </w:r>
      <w:r w:rsidR="006D51B2">
        <w:rPr>
          <w:rFonts w:ascii="Times New Roman" w:eastAsia="Times New Roman" w:hAnsi="Times New Roman" w:cs="Times New Roman"/>
          <w:color w:val="000000"/>
          <w:sz w:val="24"/>
          <w:szCs w:val="24"/>
        </w:rPr>
        <w:t>:</w:t>
      </w:r>
    </w:p>
    <w:p w14:paraId="498502EA" w14:textId="77777777" w:rsidR="00E302A3" w:rsidRDefault="006D51B2" w:rsidP="005D0ABB">
      <w:pPr>
        <w:spacing w:line="480" w:lineRule="auto"/>
        <w:ind w:firstLine="708"/>
        <w:jc w:val="both"/>
        <w:rPr>
          <w:rFonts w:ascii="Times New Roman" w:hAnsi="Times New Roman" w:cs="Times New Roman"/>
          <w:sz w:val="24"/>
          <w:szCs w:val="24"/>
          <w:u w:val="single"/>
        </w:rPr>
      </w:pPr>
      <w:r w:rsidRPr="00E71756">
        <w:rPr>
          <w:rFonts w:ascii="Times New Roman" w:eastAsia="Times New Roman" w:hAnsi="Times New Roman" w:cs="Times New Roman"/>
          <w:color w:val="000000"/>
          <w:sz w:val="24"/>
          <w:szCs w:val="24"/>
          <w:u w:val="single"/>
        </w:rPr>
        <w:t>Modelo</w:t>
      </w:r>
      <w:r w:rsidR="000A5FCB" w:rsidRPr="00E71756">
        <w:rPr>
          <w:rFonts w:ascii="Times New Roman" w:eastAsia="Times New Roman" w:hAnsi="Times New Roman" w:cs="Times New Roman"/>
          <w:color w:val="000000"/>
          <w:sz w:val="24"/>
          <w:szCs w:val="24"/>
          <w:u w:val="single"/>
        </w:rPr>
        <w:t>s</w:t>
      </w:r>
      <w:r w:rsidRPr="00E71756">
        <w:rPr>
          <w:rFonts w:ascii="Times New Roman" w:eastAsia="Times New Roman" w:hAnsi="Times New Roman" w:cs="Times New Roman"/>
          <w:color w:val="000000"/>
          <w:sz w:val="24"/>
          <w:szCs w:val="24"/>
          <w:u w:val="single"/>
        </w:rPr>
        <w:t xml:space="preserve"> Nivel 1</w:t>
      </w:r>
    </w:p>
    <w:p w14:paraId="0ECDAE97" w14:textId="05F46030" w:rsidR="00F66217" w:rsidRPr="00D47BA0" w:rsidRDefault="00F66217" w:rsidP="00F66217">
      <w:pPr>
        <w:pStyle w:val="HTMLconformatoprevio"/>
        <w:tabs>
          <w:tab w:val="clear" w:pos="916"/>
          <w:tab w:val="left" w:pos="851"/>
        </w:tabs>
        <w:ind w:left="1134" w:hanging="1134"/>
        <w:jc w:val="both"/>
        <w:rPr>
          <w:rFonts w:ascii="Times New Roman" w:hAnsi="Times New Roman" w:cs="Times New Roman"/>
          <w:color w:val="000000"/>
          <w:sz w:val="24"/>
          <w:szCs w:val="24"/>
        </w:rPr>
      </w:pPr>
      <w:proofErr w:type="spellStart"/>
      <w:proofErr w:type="gramStart"/>
      <w:r w:rsidRPr="000A5FCB">
        <w:rPr>
          <w:rFonts w:ascii="Times New Roman" w:hAnsi="Times New Roman" w:cs="Times New Roman"/>
          <w:i/>
          <w:color w:val="000000"/>
          <w:sz w:val="24"/>
          <w:szCs w:val="24"/>
        </w:rPr>
        <w:t>montopc</w:t>
      </w:r>
      <w:r w:rsidRPr="000A5FCB">
        <w:rPr>
          <w:rFonts w:ascii="Times New Roman" w:hAnsi="Times New Roman" w:cs="Times New Roman"/>
          <w:color w:val="000000"/>
          <w:sz w:val="24"/>
          <w:szCs w:val="24"/>
          <w:vertAlign w:val="subscript"/>
        </w:rPr>
        <w:t>ij</w:t>
      </w:r>
      <w:proofErr w:type="spellEnd"/>
      <w:proofErr w:type="gramEnd"/>
      <w:r w:rsidRPr="000A5FCB">
        <w:rPr>
          <w:rFonts w:ascii="Times New Roman" w:hAnsi="Times New Roman" w:cs="Times New Roman"/>
          <w:color w:val="000000"/>
          <w:sz w:val="24"/>
          <w:szCs w:val="24"/>
        </w:rPr>
        <w:t xml:space="preserve"> = b0</w:t>
      </w:r>
      <w:r>
        <w:rPr>
          <w:rFonts w:ascii="Times New Roman" w:hAnsi="Times New Roman" w:cs="Times New Roman"/>
          <w:color w:val="000000"/>
          <w:sz w:val="24"/>
          <w:szCs w:val="24"/>
          <w:vertAlign w:val="subscript"/>
        </w:rPr>
        <w:t>j</w:t>
      </w:r>
      <w:r w:rsidRPr="000A5FCB">
        <w:rPr>
          <w:rFonts w:ascii="Times New Roman" w:hAnsi="Times New Roman" w:cs="Times New Roman"/>
          <w:color w:val="000000"/>
          <w:sz w:val="24"/>
          <w:szCs w:val="24"/>
        </w:rPr>
        <w:t xml:space="preserve"> + b1</w:t>
      </w:r>
      <w:r>
        <w:rPr>
          <w:rFonts w:ascii="Times New Roman" w:hAnsi="Times New Roman" w:cs="Times New Roman"/>
          <w:color w:val="000000"/>
          <w:sz w:val="24"/>
          <w:szCs w:val="24"/>
          <w:vertAlign w:val="subscript"/>
        </w:rPr>
        <w:t>j</w:t>
      </w:r>
      <w:r w:rsidRPr="000A5FCB">
        <w:rPr>
          <w:rFonts w:ascii="Times New Roman" w:hAnsi="Times New Roman" w:cs="Times New Roman"/>
          <w:color w:val="000000"/>
          <w:sz w:val="24"/>
          <w:szCs w:val="24"/>
        </w:rPr>
        <w:t xml:space="preserve"> *</w:t>
      </w:r>
      <w:proofErr w:type="spellStart"/>
      <w:r w:rsidRPr="000A5FCB">
        <w:rPr>
          <w:rFonts w:ascii="Times New Roman" w:hAnsi="Times New Roman" w:cs="Times New Roman"/>
          <w:i/>
          <w:color w:val="000000"/>
          <w:sz w:val="24"/>
          <w:szCs w:val="24"/>
        </w:rPr>
        <w:t>margen</w:t>
      </w:r>
      <w:r w:rsidRPr="000A5FCB">
        <w:rPr>
          <w:rFonts w:ascii="Times New Roman" w:hAnsi="Times New Roman" w:cs="Times New Roman"/>
          <w:color w:val="000000"/>
          <w:sz w:val="24"/>
          <w:szCs w:val="24"/>
        </w:rPr>
        <w:t>.</w:t>
      </w:r>
      <w:r w:rsidRPr="000A5FCB">
        <w:rPr>
          <w:rFonts w:ascii="Times New Roman" w:hAnsi="Times New Roman" w:cs="Times New Roman"/>
          <w:color w:val="000000"/>
          <w:sz w:val="24"/>
          <w:szCs w:val="24"/>
          <w:vertAlign w:val="subscript"/>
        </w:rPr>
        <w:t>j</w:t>
      </w:r>
      <w:proofErr w:type="spellEnd"/>
      <w:r w:rsidRPr="000A5FCB">
        <w:rPr>
          <w:rFonts w:ascii="Times New Roman" w:hAnsi="Times New Roman" w:cs="Times New Roman"/>
          <w:color w:val="000000"/>
          <w:sz w:val="24"/>
          <w:szCs w:val="24"/>
        </w:rPr>
        <w:t xml:space="preserve"> + b2</w:t>
      </w:r>
      <w:r>
        <w:rPr>
          <w:rFonts w:ascii="Times New Roman" w:hAnsi="Times New Roman" w:cs="Times New Roman"/>
          <w:color w:val="000000"/>
          <w:sz w:val="24"/>
          <w:szCs w:val="24"/>
          <w:vertAlign w:val="subscript"/>
        </w:rPr>
        <w:t>j</w:t>
      </w:r>
      <w:r w:rsidRPr="000A5FCB">
        <w:rPr>
          <w:rFonts w:ascii="Times New Roman" w:hAnsi="Times New Roman" w:cs="Times New Roman"/>
          <w:color w:val="000000"/>
          <w:sz w:val="24"/>
          <w:szCs w:val="24"/>
        </w:rPr>
        <w:t xml:space="preserve"> *</w:t>
      </w:r>
      <w:proofErr w:type="spellStart"/>
      <w:r w:rsidRPr="000A5FCB">
        <w:rPr>
          <w:rFonts w:ascii="Times New Roman" w:hAnsi="Times New Roman" w:cs="Times New Roman"/>
          <w:i/>
          <w:color w:val="000000"/>
          <w:sz w:val="24"/>
          <w:szCs w:val="24"/>
        </w:rPr>
        <w:t>mismo</w:t>
      </w:r>
      <w:r w:rsidRPr="000A5FCB">
        <w:rPr>
          <w:rFonts w:ascii="Times New Roman" w:hAnsi="Times New Roman" w:cs="Times New Roman"/>
          <w:color w:val="000000"/>
          <w:sz w:val="24"/>
          <w:szCs w:val="24"/>
        </w:rPr>
        <w:t>.</w:t>
      </w:r>
      <w:r w:rsidRPr="000A5FCB">
        <w:rPr>
          <w:rFonts w:ascii="Times New Roman" w:hAnsi="Times New Roman" w:cs="Times New Roman"/>
          <w:color w:val="000000"/>
          <w:sz w:val="24"/>
          <w:szCs w:val="24"/>
          <w:vertAlign w:val="subscript"/>
        </w:rPr>
        <w:t>j</w:t>
      </w:r>
      <w:proofErr w:type="spellEnd"/>
      <w:r w:rsidRPr="000A5FCB">
        <w:rPr>
          <w:rFonts w:ascii="Times New Roman" w:hAnsi="Times New Roman" w:cs="Times New Roman"/>
          <w:color w:val="000000"/>
          <w:sz w:val="24"/>
          <w:szCs w:val="24"/>
        </w:rPr>
        <w:t xml:space="preserve"> + b3</w:t>
      </w:r>
      <w:r>
        <w:rPr>
          <w:rFonts w:ascii="Times New Roman" w:hAnsi="Times New Roman" w:cs="Times New Roman"/>
          <w:color w:val="000000"/>
          <w:sz w:val="24"/>
          <w:szCs w:val="24"/>
          <w:vertAlign w:val="subscript"/>
        </w:rPr>
        <w:t>j</w:t>
      </w:r>
      <w:r w:rsidRPr="000A5FCB">
        <w:rPr>
          <w:rFonts w:ascii="Times New Roman" w:hAnsi="Times New Roman" w:cs="Times New Roman"/>
          <w:color w:val="000000"/>
          <w:sz w:val="24"/>
          <w:szCs w:val="24"/>
        </w:rPr>
        <w:t>*</w:t>
      </w:r>
      <w:proofErr w:type="spellStart"/>
      <w:r w:rsidR="004719DA">
        <w:rPr>
          <w:rFonts w:ascii="Times New Roman" w:hAnsi="Times New Roman" w:cs="Times New Roman"/>
          <w:i/>
          <w:color w:val="000000"/>
          <w:sz w:val="24"/>
          <w:szCs w:val="24"/>
        </w:rPr>
        <w:t>IDH</w:t>
      </w:r>
      <w:r w:rsidRPr="000A5FCB">
        <w:rPr>
          <w:rFonts w:ascii="Times New Roman" w:hAnsi="Times New Roman" w:cs="Times New Roman"/>
          <w:color w:val="000000"/>
          <w:sz w:val="24"/>
          <w:szCs w:val="24"/>
        </w:rPr>
        <w:t>.</w:t>
      </w:r>
      <w:r w:rsidRPr="000A5FCB">
        <w:rPr>
          <w:rFonts w:ascii="Times New Roman" w:hAnsi="Times New Roman" w:cs="Times New Roman"/>
          <w:color w:val="000000"/>
          <w:sz w:val="24"/>
          <w:szCs w:val="24"/>
          <w:vertAlign w:val="subscript"/>
        </w:rPr>
        <w:t>j</w:t>
      </w:r>
      <w:proofErr w:type="spellEnd"/>
      <w:r w:rsidRPr="000A5FCB">
        <w:rPr>
          <w:rFonts w:ascii="Times New Roman" w:hAnsi="Times New Roman" w:cs="Times New Roman"/>
          <w:color w:val="000000"/>
          <w:sz w:val="24"/>
          <w:szCs w:val="24"/>
        </w:rPr>
        <w:t xml:space="preserve"> + b4</w:t>
      </w:r>
      <w:r>
        <w:rPr>
          <w:rFonts w:ascii="Times New Roman" w:hAnsi="Times New Roman" w:cs="Times New Roman"/>
          <w:color w:val="000000"/>
          <w:sz w:val="24"/>
          <w:szCs w:val="24"/>
          <w:vertAlign w:val="subscript"/>
        </w:rPr>
        <w:t>j</w:t>
      </w:r>
      <w:r w:rsidRPr="000A5FCB">
        <w:rPr>
          <w:rFonts w:ascii="Times New Roman" w:hAnsi="Times New Roman" w:cs="Times New Roman"/>
          <w:color w:val="000000"/>
          <w:sz w:val="24"/>
          <w:szCs w:val="24"/>
        </w:rPr>
        <w:t xml:space="preserve"> *</w:t>
      </w:r>
      <w:proofErr w:type="spellStart"/>
      <w:r w:rsidRPr="000A5FCB">
        <w:rPr>
          <w:rFonts w:ascii="Times New Roman" w:hAnsi="Times New Roman" w:cs="Times New Roman"/>
          <w:i/>
          <w:color w:val="000000"/>
          <w:sz w:val="24"/>
          <w:szCs w:val="24"/>
        </w:rPr>
        <w:t>cambio</w:t>
      </w:r>
      <w:r w:rsidRPr="000A5FCB">
        <w:rPr>
          <w:rFonts w:ascii="Times New Roman" w:hAnsi="Times New Roman" w:cs="Times New Roman"/>
          <w:color w:val="000000"/>
          <w:sz w:val="24"/>
          <w:szCs w:val="24"/>
        </w:rPr>
        <w:t>.</w:t>
      </w:r>
      <w:r w:rsidRPr="000A5FCB">
        <w:rPr>
          <w:rFonts w:ascii="Times New Roman" w:hAnsi="Times New Roman" w:cs="Times New Roman"/>
          <w:color w:val="000000"/>
          <w:sz w:val="24"/>
          <w:szCs w:val="24"/>
          <w:vertAlign w:val="subscript"/>
        </w:rPr>
        <w:t>j</w:t>
      </w:r>
      <w:proofErr w:type="spellEnd"/>
      <w:r w:rsidRPr="000A5FCB">
        <w:rPr>
          <w:rFonts w:ascii="Times New Roman" w:hAnsi="Times New Roman" w:cs="Times New Roman"/>
          <w:color w:val="000000"/>
          <w:sz w:val="24"/>
          <w:szCs w:val="24"/>
        </w:rPr>
        <w:t xml:space="preserve"> + b5</w:t>
      </w:r>
      <w:r>
        <w:rPr>
          <w:rFonts w:ascii="Times New Roman" w:hAnsi="Times New Roman" w:cs="Times New Roman"/>
          <w:color w:val="000000"/>
          <w:sz w:val="24"/>
          <w:szCs w:val="24"/>
          <w:vertAlign w:val="subscript"/>
        </w:rPr>
        <w:t>j</w:t>
      </w:r>
      <w:r w:rsidRPr="000A5FCB">
        <w:rPr>
          <w:rFonts w:ascii="Times New Roman" w:hAnsi="Times New Roman" w:cs="Times New Roman"/>
          <w:color w:val="000000"/>
          <w:sz w:val="24"/>
          <w:szCs w:val="24"/>
        </w:rPr>
        <w:t xml:space="preserve"> *</w:t>
      </w:r>
      <w:proofErr w:type="spellStart"/>
      <w:r w:rsidRPr="000A5FCB">
        <w:rPr>
          <w:rFonts w:ascii="Times New Roman" w:hAnsi="Times New Roman" w:cs="Times New Roman"/>
          <w:i/>
          <w:color w:val="000000"/>
          <w:sz w:val="24"/>
          <w:szCs w:val="24"/>
        </w:rPr>
        <w:t>anio</w:t>
      </w:r>
      <w:r w:rsidRPr="000A5FCB">
        <w:rPr>
          <w:rFonts w:ascii="Times New Roman" w:hAnsi="Times New Roman" w:cs="Times New Roman"/>
          <w:color w:val="000000"/>
          <w:sz w:val="24"/>
          <w:szCs w:val="24"/>
        </w:rPr>
        <w:t>.</w:t>
      </w:r>
      <w:r w:rsidRPr="000A5FCB">
        <w:rPr>
          <w:rFonts w:ascii="Times New Roman" w:hAnsi="Times New Roman" w:cs="Times New Roman"/>
          <w:color w:val="000000"/>
          <w:sz w:val="24"/>
          <w:szCs w:val="24"/>
          <w:vertAlign w:val="subscript"/>
        </w:rPr>
        <w:t>ij</w:t>
      </w:r>
      <w:proofErr w:type="spellEnd"/>
      <w:r w:rsidRPr="000A5FCB">
        <w:rPr>
          <w:rFonts w:ascii="Times New Roman" w:hAnsi="Times New Roman" w:cs="Times New Roman"/>
          <w:color w:val="000000"/>
          <w:sz w:val="24"/>
          <w:szCs w:val="24"/>
        </w:rPr>
        <w:t xml:space="preserve"> + b6</w:t>
      </w:r>
      <w:r>
        <w:rPr>
          <w:rFonts w:ascii="Times New Roman" w:hAnsi="Times New Roman" w:cs="Times New Roman"/>
          <w:color w:val="000000"/>
          <w:sz w:val="24"/>
          <w:szCs w:val="24"/>
          <w:vertAlign w:val="subscript"/>
        </w:rPr>
        <w:t>j</w:t>
      </w:r>
      <w:r w:rsidRPr="000A5FCB">
        <w:rPr>
          <w:rFonts w:ascii="Times New Roman" w:hAnsi="Times New Roman" w:cs="Times New Roman"/>
          <w:color w:val="000000"/>
          <w:sz w:val="24"/>
          <w:szCs w:val="24"/>
        </w:rPr>
        <w:t xml:space="preserve"> *</w:t>
      </w:r>
      <w:proofErr w:type="spellStart"/>
      <w:r w:rsidRPr="000A5FCB">
        <w:rPr>
          <w:rFonts w:ascii="Times New Roman" w:hAnsi="Times New Roman" w:cs="Times New Roman"/>
          <w:i/>
          <w:color w:val="000000"/>
          <w:sz w:val="24"/>
          <w:szCs w:val="24"/>
        </w:rPr>
        <w:t>pobacion</w:t>
      </w:r>
      <w:r w:rsidRPr="000A5FCB">
        <w:rPr>
          <w:rFonts w:ascii="Times New Roman" w:hAnsi="Times New Roman" w:cs="Times New Roman"/>
          <w:color w:val="000000"/>
          <w:sz w:val="24"/>
          <w:szCs w:val="24"/>
        </w:rPr>
        <w:t>.</w:t>
      </w:r>
      <w:r w:rsidRPr="00D47BA0">
        <w:rPr>
          <w:rFonts w:ascii="Times New Roman" w:hAnsi="Times New Roman" w:cs="Times New Roman"/>
          <w:color w:val="000000"/>
          <w:sz w:val="24"/>
          <w:szCs w:val="24"/>
          <w:vertAlign w:val="subscript"/>
        </w:rPr>
        <w:t>j</w:t>
      </w:r>
      <w:proofErr w:type="spellEnd"/>
      <w:r w:rsidRPr="000A5FCB">
        <w:rPr>
          <w:rFonts w:ascii="Times New Roman" w:hAnsi="Times New Roman" w:cs="Times New Roman"/>
          <w:color w:val="000000"/>
          <w:sz w:val="24"/>
          <w:szCs w:val="24"/>
        </w:rPr>
        <w:t xml:space="preserve"> + b7</w:t>
      </w:r>
      <w:r>
        <w:rPr>
          <w:rFonts w:ascii="Times New Roman" w:hAnsi="Times New Roman" w:cs="Times New Roman"/>
          <w:color w:val="000000"/>
          <w:sz w:val="24"/>
          <w:szCs w:val="24"/>
          <w:vertAlign w:val="subscript"/>
        </w:rPr>
        <w:t>j</w:t>
      </w:r>
      <w:r w:rsidRPr="000A5FCB">
        <w:rPr>
          <w:rFonts w:ascii="Times New Roman" w:hAnsi="Times New Roman" w:cs="Times New Roman"/>
          <w:color w:val="000000"/>
          <w:sz w:val="24"/>
          <w:szCs w:val="24"/>
        </w:rPr>
        <w:t xml:space="preserve"> *</w:t>
      </w:r>
      <w:proofErr w:type="spellStart"/>
      <w:r w:rsidR="00AD3B67">
        <w:rPr>
          <w:rFonts w:ascii="Times New Roman" w:hAnsi="Times New Roman" w:cs="Times New Roman"/>
          <w:i/>
          <w:color w:val="000000"/>
          <w:sz w:val="24"/>
          <w:szCs w:val="24"/>
        </w:rPr>
        <w:t>urbanizacion</w:t>
      </w:r>
      <w:r w:rsidRPr="000A5FCB">
        <w:rPr>
          <w:rFonts w:ascii="Times New Roman" w:hAnsi="Times New Roman" w:cs="Times New Roman"/>
          <w:color w:val="000000"/>
          <w:sz w:val="24"/>
          <w:szCs w:val="24"/>
        </w:rPr>
        <w:t>.</w:t>
      </w:r>
      <w:r w:rsidRPr="00D47BA0">
        <w:rPr>
          <w:rFonts w:ascii="Times New Roman" w:hAnsi="Times New Roman" w:cs="Times New Roman"/>
          <w:color w:val="000000"/>
          <w:sz w:val="24"/>
          <w:szCs w:val="24"/>
          <w:vertAlign w:val="subscript"/>
        </w:rPr>
        <w:t>j</w:t>
      </w:r>
      <w:proofErr w:type="spellEnd"/>
      <w:r w:rsidRPr="000A5FCB">
        <w:rPr>
          <w:rFonts w:ascii="Times New Roman" w:hAnsi="Times New Roman" w:cs="Times New Roman"/>
          <w:color w:val="000000"/>
          <w:sz w:val="24"/>
          <w:szCs w:val="24"/>
        </w:rPr>
        <w:t xml:space="preserve"> + b8</w:t>
      </w:r>
      <w:r>
        <w:rPr>
          <w:rFonts w:ascii="Times New Roman" w:hAnsi="Times New Roman" w:cs="Times New Roman"/>
          <w:color w:val="000000"/>
          <w:sz w:val="24"/>
          <w:szCs w:val="24"/>
          <w:vertAlign w:val="subscript"/>
        </w:rPr>
        <w:t>j</w:t>
      </w:r>
      <w:r w:rsidRPr="000A5FCB">
        <w:rPr>
          <w:rFonts w:ascii="Times New Roman" w:hAnsi="Times New Roman" w:cs="Times New Roman"/>
          <w:color w:val="000000"/>
          <w:sz w:val="24"/>
          <w:szCs w:val="24"/>
        </w:rPr>
        <w:t xml:space="preserve"> *</w:t>
      </w:r>
      <w:proofErr w:type="spellStart"/>
      <w:r w:rsidRPr="000A5FCB">
        <w:rPr>
          <w:rFonts w:ascii="Times New Roman" w:hAnsi="Times New Roman" w:cs="Times New Roman"/>
          <w:i/>
          <w:color w:val="000000"/>
          <w:sz w:val="24"/>
          <w:szCs w:val="24"/>
        </w:rPr>
        <w:t>anprevmun</w:t>
      </w:r>
      <w:r w:rsidRPr="000A5FCB">
        <w:rPr>
          <w:rFonts w:ascii="Times New Roman" w:hAnsi="Times New Roman" w:cs="Times New Roman"/>
          <w:color w:val="000000"/>
          <w:sz w:val="24"/>
          <w:szCs w:val="24"/>
        </w:rPr>
        <w:t>.</w:t>
      </w:r>
      <w:r w:rsidRPr="000A5FCB">
        <w:rPr>
          <w:rFonts w:ascii="Times New Roman" w:hAnsi="Times New Roman" w:cs="Times New Roman"/>
          <w:color w:val="000000"/>
          <w:sz w:val="24"/>
          <w:szCs w:val="24"/>
          <w:vertAlign w:val="subscript"/>
        </w:rPr>
        <w:t>ij</w:t>
      </w:r>
      <w:proofErr w:type="spellEnd"/>
      <w:r w:rsidR="0096687D">
        <w:rPr>
          <w:rFonts w:ascii="Times New Roman" w:hAnsi="Times New Roman" w:cs="Times New Roman"/>
          <w:color w:val="000000"/>
          <w:sz w:val="24"/>
          <w:szCs w:val="24"/>
        </w:rPr>
        <w:t xml:space="preserve"> </w:t>
      </w:r>
      <w:r w:rsidRPr="000A5FCB">
        <w:rPr>
          <w:rFonts w:ascii="Times New Roman" w:hAnsi="Times New Roman" w:cs="Times New Roman"/>
          <w:color w:val="000000"/>
          <w:sz w:val="24"/>
          <w:szCs w:val="24"/>
        </w:rPr>
        <w:t>+ b9</w:t>
      </w:r>
      <w:r>
        <w:rPr>
          <w:rFonts w:ascii="Times New Roman" w:hAnsi="Times New Roman" w:cs="Times New Roman"/>
          <w:color w:val="000000"/>
          <w:sz w:val="24"/>
          <w:szCs w:val="24"/>
          <w:vertAlign w:val="subscript"/>
        </w:rPr>
        <w:t>j</w:t>
      </w:r>
      <w:r w:rsidRPr="000A5FCB">
        <w:rPr>
          <w:rFonts w:ascii="Times New Roman" w:hAnsi="Times New Roman" w:cs="Times New Roman"/>
          <w:color w:val="000000"/>
          <w:sz w:val="24"/>
          <w:szCs w:val="24"/>
        </w:rPr>
        <w:t xml:space="preserve"> *</w:t>
      </w:r>
      <w:proofErr w:type="spellStart"/>
      <w:r w:rsidRPr="000A5FCB">
        <w:rPr>
          <w:rFonts w:ascii="Times New Roman" w:hAnsi="Times New Roman" w:cs="Times New Roman"/>
          <w:i/>
          <w:color w:val="000000"/>
          <w:sz w:val="24"/>
          <w:szCs w:val="24"/>
        </w:rPr>
        <w:t>anelectmun</w:t>
      </w:r>
      <w:r>
        <w:rPr>
          <w:rFonts w:ascii="Times New Roman" w:hAnsi="Times New Roman" w:cs="Times New Roman"/>
          <w:color w:val="000000"/>
          <w:sz w:val="24"/>
          <w:szCs w:val="24"/>
        </w:rPr>
        <w:t>.</w:t>
      </w:r>
      <w:r w:rsidRPr="000A5FCB">
        <w:rPr>
          <w:rFonts w:ascii="Times New Roman" w:hAnsi="Times New Roman" w:cs="Times New Roman"/>
          <w:color w:val="000000"/>
          <w:sz w:val="24"/>
          <w:szCs w:val="24"/>
          <w:vertAlign w:val="subscript"/>
        </w:rPr>
        <w:t>ij</w:t>
      </w:r>
      <w:proofErr w:type="spellEnd"/>
      <w:r w:rsidRPr="000A5FCB">
        <w:rPr>
          <w:rFonts w:ascii="Times New Roman" w:hAnsi="Times New Roman" w:cs="Times New Roman"/>
          <w:color w:val="000000"/>
          <w:sz w:val="24"/>
          <w:szCs w:val="24"/>
        </w:rPr>
        <w:t xml:space="preserve"> </w:t>
      </w:r>
      <w:r w:rsidRPr="00D47BA0">
        <w:rPr>
          <w:rFonts w:ascii="Times New Roman" w:hAnsi="Times New Roman" w:cs="Times New Roman"/>
          <w:color w:val="000000"/>
          <w:sz w:val="24"/>
          <w:szCs w:val="24"/>
        </w:rPr>
        <w:t>+ b10</w:t>
      </w:r>
      <w:r>
        <w:rPr>
          <w:rFonts w:ascii="Times New Roman" w:hAnsi="Times New Roman" w:cs="Times New Roman"/>
          <w:color w:val="000000"/>
          <w:sz w:val="24"/>
          <w:szCs w:val="24"/>
          <w:vertAlign w:val="subscript"/>
        </w:rPr>
        <w:t>j</w:t>
      </w:r>
      <w:r w:rsidRPr="00D47BA0">
        <w:rPr>
          <w:rFonts w:ascii="Times New Roman" w:hAnsi="Times New Roman" w:cs="Times New Roman"/>
          <w:color w:val="000000"/>
          <w:sz w:val="24"/>
          <w:szCs w:val="24"/>
        </w:rPr>
        <w:t xml:space="preserve"> *</w:t>
      </w:r>
      <w:proofErr w:type="spellStart"/>
      <w:r w:rsidRPr="00D47BA0">
        <w:rPr>
          <w:rFonts w:ascii="Times New Roman" w:hAnsi="Times New Roman" w:cs="Times New Roman"/>
          <w:i/>
          <w:color w:val="000000"/>
          <w:sz w:val="24"/>
          <w:szCs w:val="24"/>
        </w:rPr>
        <w:t>anprevgob</w:t>
      </w:r>
      <w:r>
        <w:rPr>
          <w:rFonts w:ascii="Times New Roman" w:hAnsi="Times New Roman" w:cs="Times New Roman"/>
          <w:color w:val="000000"/>
          <w:sz w:val="24"/>
          <w:szCs w:val="24"/>
        </w:rPr>
        <w:t>.</w:t>
      </w:r>
      <w:r w:rsidRPr="000A5FCB">
        <w:rPr>
          <w:rFonts w:ascii="Times New Roman" w:hAnsi="Times New Roman" w:cs="Times New Roman"/>
          <w:color w:val="000000"/>
          <w:sz w:val="24"/>
          <w:szCs w:val="24"/>
          <w:vertAlign w:val="subscript"/>
        </w:rPr>
        <w:t>ij</w:t>
      </w:r>
      <w:proofErr w:type="spellEnd"/>
      <w:r w:rsidRPr="00D47BA0">
        <w:rPr>
          <w:rFonts w:ascii="Times New Roman" w:hAnsi="Times New Roman" w:cs="Times New Roman"/>
          <w:color w:val="000000"/>
          <w:sz w:val="24"/>
          <w:szCs w:val="24"/>
        </w:rPr>
        <w:t xml:space="preserve"> + b11</w:t>
      </w:r>
      <w:r>
        <w:rPr>
          <w:rFonts w:ascii="Times New Roman" w:hAnsi="Times New Roman" w:cs="Times New Roman"/>
          <w:color w:val="000000"/>
          <w:sz w:val="24"/>
          <w:szCs w:val="24"/>
          <w:vertAlign w:val="subscript"/>
        </w:rPr>
        <w:t>j</w:t>
      </w:r>
      <w:r w:rsidRPr="00D47BA0">
        <w:rPr>
          <w:rFonts w:ascii="Times New Roman" w:hAnsi="Times New Roman" w:cs="Times New Roman"/>
          <w:color w:val="000000"/>
          <w:sz w:val="24"/>
          <w:szCs w:val="24"/>
        </w:rPr>
        <w:t xml:space="preserve"> *</w:t>
      </w:r>
      <w:proofErr w:type="spellStart"/>
      <w:r w:rsidRPr="00D47BA0">
        <w:rPr>
          <w:rFonts w:ascii="Times New Roman" w:hAnsi="Times New Roman" w:cs="Times New Roman"/>
          <w:i/>
          <w:color w:val="000000"/>
          <w:sz w:val="24"/>
          <w:szCs w:val="24"/>
        </w:rPr>
        <w:t>anelectgob</w:t>
      </w:r>
      <w:r>
        <w:rPr>
          <w:rFonts w:ascii="Times New Roman" w:hAnsi="Times New Roman" w:cs="Times New Roman"/>
          <w:color w:val="000000"/>
          <w:sz w:val="24"/>
          <w:szCs w:val="24"/>
        </w:rPr>
        <w:t>.</w:t>
      </w:r>
      <w:r w:rsidRPr="000A5FCB">
        <w:rPr>
          <w:rFonts w:ascii="Times New Roman" w:hAnsi="Times New Roman" w:cs="Times New Roman"/>
          <w:color w:val="000000"/>
          <w:sz w:val="24"/>
          <w:szCs w:val="24"/>
          <w:vertAlign w:val="subscript"/>
        </w:rPr>
        <w:t>ij</w:t>
      </w:r>
      <w:proofErr w:type="spellEnd"/>
      <w:r w:rsidRPr="00D47BA0">
        <w:rPr>
          <w:rFonts w:ascii="Times New Roman" w:hAnsi="Times New Roman" w:cs="Times New Roman"/>
          <w:color w:val="000000"/>
          <w:sz w:val="24"/>
          <w:szCs w:val="24"/>
        </w:rPr>
        <w:t xml:space="preserve"> + </w:t>
      </w:r>
      <w:proofErr w:type="spellStart"/>
      <w:r w:rsidRPr="00D47BA0">
        <w:rPr>
          <w:rFonts w:ascii="Times New Roman" w:hAnsi="Times New Roman" w:cs="Times New Roman"/>
          <w:color w:val="000000"/>
          <w:sz w:val="24"/>
          <w:szCs w:val="24"/>
        </w:rPr>
        <w:t>e.</w:t>
      </w:r>
      <w:r w:rsidRPr="00D47BA0">
        <w:rPr>
          <w:rFonts w:ascii="Times New Roman" w:hAnsi="Times New Roman" w:cs="Times New Roman"/>
          <w:color w:val="000000"/>
          <w:sz w:val="24"/>
          <w:szCs w:val="24"/>
          <w:vertAlign w:val="subscript"/>
        </w:rPr>
        <w:t>ij</w:t>
      </w:r>
      <w:proofErr w:type="spellEnd"/>
      <w:r w:rsidRPr="00D47BA0">
        <w:rPr>
          <w:rFonts w:ascii="Times New Roman" w:hAnsi="Times New Roman" w:cs="Times New Roman"/>
          <w:color w:val="000000"/>
          <w:sz w:val="24"/>
          <w:szCs w:val="24"/>
        </w:rPr>
        <w:t xml:space="preserve"> </w:t>
      </w:r>
    </w:p>
    <w:p w14:paraId="03AF99B2" w14:textId="77777777" w:rsidR="00F66217" w:rsidRDefault="00F66217" w:rsidP="00FA6332">
      <w:pPr>
        <w:spacing w:line="480" w:lineRule="auto"/>
        <w:ind w:firstLine="708"/>
        <w:jc w:val="both"/>
        <w:rPr>
          <w:rFonts w:ascii="Times New Roman" w:hAnsi="Times New Roman" w:cs="Times New Roman"/>
          <w:sz w:val="24"/>
          <w:szCs w:val="24"/>
          <w:u w:val="single"/>
        </w:rPr>
      </w:pPr>
    </w:p>
    <w:p w14:paraId="02A7F60B" w14:textId="1EC46261" w:rsidR="00D47BA0" w:rsidRPr="00D47BA0" w:rsidRDefault="00D47BA0" w:rsidP="00D47BA0">
      <w:pPr>
        <w:pStyle w:val="HTMLconformatoprevio"/>
        <w:tabs>
          <w:tab w:val="clear" w:pos="916"/>
          <w:tab w:val="left" w:pos="851"/>
        </w:tabs>
        <w:ind w:left="1134" w:hanging="1134"/>
        <w:jc w:val="both"/>
        <w:rPr>
          <w:rFonts w:ascii="Times New Roman" w:hAnsi="Times New Roman" w:cs="Times New Roman"/>
          <w:color w:val="000000"/>
          <w:sz w:val="24"/>
          <w:szCs w:val="24"/>
        </w:rPr>
      </w:pPr>
      <w:proofErr w:type="spellStart"/>
      <w:proofErr w:type="gramStart"/>
      <w:r>
        <w:rPr>
          <w:rFonts w:ascii="Times New Roman" w:hAnsi="Times New Roman" w:cs="Times New Roman"/>
          <w:i/>
          <w:color w:val="000000"/>
          <w:sz w:val="24"/>
          <w:szCs w:val="24"/>
        </w:rPr>
        <w:lastRenderedPageBreak/>
        <w:t>numproy</w:t>
      </w:r>
      <w:r w:rsidRPr="000A5FCB">
        <w:rPr>
          <w:rFonts w:ascii="Times New Roman" w:hAnsi="Times New Roman" w:cs="Times New Roman"/>
          <w:color w:val="000000"/>
          <w:sz w:val="24"/>
          <w:szCs w:val="24"/>
          <w:vertAlign w:val="subscript"/>
        </w:rPr>
        <w:t>ij</w:t>
      </w:r>
      <w:proofErr w:type="spellEnd"/>
      <w:proofErr w:type="gramEnd"/>
      <w:r w:rsidRPr="000A5FCB">
        <w:rPr>
          <w:rFonts w:ascii="Times New Roman" w:hAnsi="Times New Roman" w:cs="Times New Roman"/>
          <w:color w:val="000000"/>
          <w:sz w:val="24"/>
          <w:szCs w:val="24"/>
        </w:rPr>
        <w:t xml:space="preserve"> = </w:t>
      </w:r>
      <w:r w:rsidR="00E7018B" w:rsidRPr="000A5FCB">
        <w:rPr>
          <w:rFonts w:ascii="Times New Roman" w:hAnsi="Times New Roman" w:cs="Times New Roman"/>
          <w:color w:val="000000"/>
          <w:sz w:val="24"/>
          <w:szCs w:val="24"/>
        </w:rPr>
        <w:t>b0</w:t>
      </w:r>
      <w:r w:rsidR="00E7018B">
        <w:rPr>
          <w:rFonts w:ascii="Times New Roman" w:hAnsi="Times New Roman" w:cs="Times New Roman"/>
          <w:color w:val="000000"/>
          <w:sz w:val="24"/>
          <w:szCs w:val="24"/>
          <w:vertAlign w:val="subscript"/>
        </w:rPr>
        <w:t>j</w:t>
      </w:r>
      <w:r w:rsidR="00E7018B" w:rsidRPr="000A5FCB">
        <w:rPr>
          <w:rFonts w:ascii="Times New Roman" w:hAnsi="Times New Roman" w:cs="Times New Roman"/>
          <w:color w:val="000000"/>
          <w:sz w:val="24"/>
          <w:szCs w:val="24"/>
        </w:rPr>
        <w:t xml:space="preserve"> + b1</w:t>
      </w:r>
      <w:r w:rsidR="00E7018B">
        <w:rPr>
          <w:rFonts w:ascii="Times New Roman" w:hAnsi="Times New Roman" w:cs="Times New Roman"/>
          <w:color w:val="000000"/>
          <w:sz w:val="24"/>
          <w:szCs w:val="24"/>
          <w:vertAlign w:val="subscript"/>
        </w:rPr>
        <w:t>j</w:t>
      </w:r>
      <w:r w:rsidR="00E7018B" w:rsidRPr="000A5FCB">
        <w:rPr>
          <w:rFonts w:ascii="Times New Roman" w:hAnsi="Times New Roman" w:cs="Times New Roman"/>
          <w:color w:val="000000"/>
          <w:sz w:val="24"/>
          <w:szCs w:val="24"/>
        </w:rPr>
        <w:t xml:space="preserve"> *</w:t>
      </w:r>
      <w:proofErr w:type="spellStart"/>
      <w:r w:rsidR="00E7018B" w:rsidRPr="000A5FCB">
        <w:rPr>
          <w:rFonts w:ascii="Times New Roman" w:hAnsi="Times New Roman" w:cs="Times New Roman"/>
          <w:i/>
          <w:color w:val="000000"/>
          <w:sz w:val="24"/>
          <w:szCs w:val="24"/>
        </w:rPr>
        <w:t>margen</w:t>
      </w:r>
      <w:r w:rsidR="00E7018B" w:rsidRPr="000A5FCB">
        <w:rPr>
          <w:rFonts w:ascii="Times New Roman" w:hAnsi="Times New Roman" w:cs="Times New Roman"/>
          <w:color w:val="000000"/>
          <w:sz w:val="24"/>
          <w:szCs w:val="24"/>
        </w:rPr>
        <w:t>.</w:t>
      </w:r>
      <w:r w:rsidR="00E7018B" w:rsidRPr="000A5FCB">
        <w:rPr>
          <w:rFonts w:ascii="Times New Roman" w:hAnsi="Times New Roman" w:cs="Times New Roman"/>
          <w:color w:val="000000"/>
          <w:sz w:val="24"/>
          <w:szCs w:val="24"/>
          <w:vertAlign w:val="subscript"/>
        </w:rPr>
        <w:t>j</w:t>
      </w:r>
      <w:proofErr w:type="spellEnd"/>
      <w:r w:rsidR="00E7018B" w:rsidRPr="000A5FCB">
        <w:rPr>
          <w:rFonts w:ascii="Times New Roman" w:hAnsi="Times New Roman" w:cs="Times New Roman"/>
          <w:color w:val="000000"/>
          <w:sz w:val="24"/>
          <w:szCs w:val="24"/>
        </w:rPr>
        <w:t xml:space="preserve"> + b2</w:t>
      </w:r>
      <w:r w:rsidR="00E7018B">
        <w:rPr>
          <w:rFonts w:ascii="Times New Roman" w:hAnsi="Times New Roman" w:cs="Times New Roman"/>
          <w:color w:val="000000"/>
          <w:sz w:val="24"/>
          <w:szCs w:val="24"/>
          <w:vertAlign w:val="subscript"/>
        </w:rPr>
        <w:t>j</w:t>
      </w:r>
      <w:r w:rsidR="00E7018B" w:rsidRPr="000A5FCB">
        <w:rPr>
          <w:rFonts w:ascii="Times New Roman" w:hAnsi="Times New Roman" w:cs="Times New Roman"/>
          <w:color w:val="000000"/>
          <w:sz w:val="24"/>
          <w:szCs w:val="24"/>
        </w:rPr>
        <w:t xml:space="preserve"> *</w:t>
      </w:r>
      <w:proofErr w:type="spellStart"/>
      <w:r w:rsidR="00E7018B" w:rsidRPr="000A5FCB">
        <w:rPr>
          <w:rFonts w:ascii="Times New Roman" w:hAnsi="Times New Roman" w:cs="Times New Roman"/>
          <w:i/>
          <w:color w:val="000000"/>
          <w:sz w:val="24"/>
          <w:szCs w:val="24"/>
        </w:rPr>
        <w:t>mismo</w:t>
      </w:r>
      <w:r w:rsidR="00E7018B" w:rsidRPr="000A5FCB">
        <w:rPr>
          <w:rFonts w:ascii="Times New Roman" w:hAnsi="Times New Roman" w:cs="Times New Roman"/>
          <w:color w:val="000000"/>
          <w:sz w:val="24"/>
          <w:szCs w:val="24"/>
        </w:rPr>
        <w:t>.</w:t>
      </w:r>
      <w:r w:rsidR="00E7018B" w:rsidRPr="000A5FCB">
        <w:rPr>
          <w:rFonts w:ascii="Times New Roman" w:hAnsi="Times New Roman" w:cs="Times New Roman"/>
          <w:color w:val="000000"/>
          <w:sz w:val="24"/>
          <w:szCs w:val="24"/>
          <w:vertAlign w:val="subscript"/>
        </w:rPr>
        <w:t>j</w:t>
      </w:r>
      <w:proofErr w:type="spellEnd"/>
      <w:r w:rsidR="00E7018B" w:rsidRPr="000A5FCB">
        <w:rPr>
          <w:rFonts w:ascii="Times New Roman" w:hAnsi="Times New Roman" w:cs="Times New Roman"/>
          <w:color w:val="000000"/>
          <w:sz w:val="24"/>
          <w:szCs w:val="24"/>
        </w:rPr>
        <w:t xml:space="preserve"> + b3</w:t>
      </w:r>
      <w:r w:rsidR="00E7018B">
        <w:rPr>
          <w:rFonts w:ascii="Times New Roman" w:hAnsi="Times New Roman" w:cs="Times New Roman"/>
          <w:color w:val="000000"/>
          <w:sz w:val="24"/>
          <w:szCs w:val="24"/>
          <w:vertAlign w:val="subscript"/>
        </w:rPr>
        <w:t>j</w:t>
      </w:r>
      <w:r w:rsidR="00E7018B" w:rsidRPr="000A5FCB">
        <w:rPr>
          <w:rFonts w:ascii="Times New Roman" w:hAnsi="Times New Roman" w:cs="Times New Roman"/>
          <w:color w:val="000000"/>
          <w:sz w:val="24"/>
          <w:szCs w:val="24"/>
        </w:rPr>
        <w:t>*</w:t>
      </w:r>
      <w:proofErr w:type="spellStart"/>
      <w:r w:rsidR="004719DA">
        <w:rPr>
          <w:rFonts w:ascii="Times New Roman" w:hAnsi="Times New Roman" w:cs="Times New Roman"/>
          <w:i/>
          <w:color w:val="000000"/>
          <w:sz w:val="24"/>
          <w:szCs w:val="24"/>
        </w:rPr>
        <w:t>IDH</w:t>
      </w:r>
      <w:r w:rsidR="00E7018B" w:rsidRPr="000A5FCB">
        <w:rPr>
          <w:rFonts w:ascii="Times New Roman" w:hAnsi="Times New Roman" w:cs="Times New Roman"/>
          <w:color w:val="000000"/>
          <w:sz w:val="24"/>
          <w:szCs w:val="24"/>
        </w:rPr>
        <w:t>.</w:t>
      </w:r>
      <w:r w:rsidR="00E7018B" w:rsidRPr="000A5FCB">
        <w:rPr>
          <w:rFonts w:ascii="Times New Roman" w:hAnsi="Times New Roman" w:cs="Times New Roman"/>
          <w:color w:val="000000"/>
          <w:sz w:val="24"/>
          <w:szCs w:val="24"/>
          <w:vertAlign w:val="subscript"/>
        </w:rPr>
        <w:t>j</w:t>
      </w:r>
      <w:proofErr w:type="spellEnd"/>
      <w:r w:rsidR="00E7018B" w:rsidRPr="000A5FCB">
        <w:rPr>
          <w:rFonts w:ascii="Times New Roman" w:hAnsi="Times New Roman" w:cs="Times New Roman"/>
          <w:color w:val="000000"/>
          <w:sz w:val="24"/>
          <w:szCs w:val="24"/>
        </w:rPr>
        <w:t xml:space="preserve"> + b4</w:t>
      </w:r>
      <w:r w:rsidR="00E7018B">
        <w:rPr>
          <w:rFonts w:ascii="Times New Roman" w:hAnsi="Times New Roman" w:cs="Times New Roman"/>
          <w:color w:val="000000"/>
          <w:sz w:val="24"/>
          <w:szCs w:val="24"/>
          <w:vertAlign w:val="subscript"/>
        </w:rPr>
        <w:t>j</w:t>
      </w:r>
      <w:r w:rsidR="00E7018B" w:rsidRPr="000A5FCB">
        <w:rPr>
          <w:rFonts w:ascii="Times New Roman" w:hAnsi="Times New Roman" w:cs="Times New Roman"/>
          <w:color w:val="000000"/>
          <w:sz w:val="24"/>
          <w:szCs w:val="24"/>
        </w:rPr>
        <w:t xml:space="preserve"> *</w:t>
      </w:r>
      <w:proofErr w:type="spellStart"/>
      <w:r w:rsidR="00E7018B" w:rsidRPr="000A5FCB">
        <w:rPr>
          <w:rFonts w:ascii="Times New Roman" w:hAnsi="Times New Roman" w:cs="Times New Roman"/>
          <w:i/>
          <w:color w:val="000000"/>
          <w:sz w:val="24"/>
          <w:szCs w:val="24"/>
        </w:rPr>
        <w:t>cambio</w:t>
      </w:r>
      <w:r w:rsidR="00E7018B" w:rsidRPr="000A5FCB">
        <w:rPr>
          <w:rFonts w:ascii="Times New Roman" w:hAnsi="Times New Roman" w:cs="Times New Roman"/>
          <w:color w:val="000000"/>
          <w:sz w:val="24"/>
          <w:szCs w:val="24"/>
        </w:rPr>
        <w:t>.</w:t>
      </w:r>
      <w:r w:rsidR="00E7018B" w:rsidRPr="000A5FCB">
        <w:rPr>
          <w:rFonts w:ascii="Times New Roman" w:hAnsi="Times New Roman" w:cs="Times New Roman"/>
          <w:color w:val="000000"/>
          <w:sz w:val="24"/>
          <w:szCs w:val="24"/>
          <w:vertAlign w:val="subscript"/>
        </w:rPr>
        <w:t>j</w:t>
      </w:r>
      <w:proofErr w:type="spellEnd"/>
      <w:r w:rsidR="00E7018B" w:rsidRPr="000A5FCB">
        <w:rPr>
          <w:rFonts w:ascii="Times New Roman" w:hAnsi="Times New Roman" w:cs="Times New Roman"/>
          <w:color w:val="000000"/>
          <w:sz w:val="24"/>
          <w:szCs w:val="24"/>
        </w:rPr>
        <w:t xml:space="preserve"> + b5</w:t>
      </w:r>
      <w:r w:rsidR="00E7018B">
        <w:rPr>
          <w:rFonts w:ascii="Times New Roman" w:hAnsi="Times New Roman" w:cs="Times New Roman"/>
          <w:color w:val="000000"/>
          <w:sz w:val="24"/>
          <w:szCs w:val="24"/>
          <w:vertAlign w:val="subscript"/>
        </w:rPr>
        <w:t>j</w:t>
      </w:r>
      <w:r w:rsidR="00E7018B" w:rsidRPr="000A5FCB">
        <w:rPr>
          <w:rFonts w:ascii="Times New Roman" w:hAnsi="Times New Roman" w:cs="Times New Roman"/>
          <w:color w:val="000000"/>
          <w:sz w:val="24"/>
          <w:szCs w:val="24"/>
        </w:rPr>
        <w:t xml:space="preserve"> *</w:t>
      </w:r>
      <w:proofErr w:type="spellStart"/>
      <w:r w:rsidR="00E7018B" w:rsidRPr="000A5FCB">
        <w:rPr>
          <w:rFonts w:ascii="Times New Roman" w:hAnsi="Times New Roman" w:cs="Times New Roman"/>
          <w:i/>
          <w:color w:val="000000"/>
          <w:sz w:val="24"/>
          <w:szCs w:val="24"/>
        </w:rPr>
        <w:t>anio</w:t>
      </w:r>
      <w:r w:rsidR="00E7018B" w:rsidRPr="000A5FCB">
        <w:rPr>
          <w:rFonts w:ascii="Times New Roman" w:hAnsi="Times New Roman" w:cs="Times New Roman"/>
          <w:color w:val="000000"/>
          <w:sz w:val="24"/>
          <w:szCs w:val="24"/>
        </w:rPr>
        <w:t>.</w:t>
      </w:r>
      <w:r w:rsidR="00E7018B" w:rsidRPr="000A5FCB">
        <w:rPr>
          <w:rFonts w:ascii="Times New Roman" w:hAnsi="Times New Roman" w:cs="Times New Roman"/>
          <w:color w:val="000000"/>
          <w:sz w:val="24"/>
          <w:szCs w:val="24"/>
          <w:vertAlign w:val="subscript"/>
        </w:rPr>
        <w:t>ij</w:t>
      </w:r>
      <w:proofErr w:type="spellEnd"/>
      <w:r w:rsidR="00E7018B" w:rsidRPr="000A5FCB">
        <w:rPr>
          <w:rFonts w:ascii="Times New Roman" w:hAnsi="Times New Roman" w:cs="Times New Roman"/>
          <w:color w:val="000000"/>
          <w:sz w:val="24"/>
          <w:szCs w:val="24"/>
        </w:rPr>
        <w:t xml:space="preserve"> + b6</w:t>
      </w:r>
      <w:r w:rsidR="00E7018B">
        <w:rPr>
          <w:rFonts w:ascii="Times New Roman" w:hAnsi="Times New Roman" w:cs="Times New Roman"/>
          <w:color w:val="000000"/>
          <w:sz w:val="24"/>
          <w:szCs w:val="24"/>
          <w:vertAlign w:val="subscript"/>
        </w:rPr>
        <w:t>j</w:t>
      </w:r>
      <w:r w:rsidR="00E7018B" w:rsidRPr="000A5FCB">
        <w:rPr>
          <w:rFonts w:ascii="Times New Roman" w:hAnsi="Times New Roman" w:cs="Times New Roman"/>
          <w:color w:val="000000"/>
          <w:sz w:val="24"/>
          <w:szCs w:val="24"/>
        </w:rPr>
        <w:t xml:space="preserve"> *</w:t>
      </w:r>
      <w:proofErr w:type="spellStart"/>
      <w:r w:rsidR="00E7018B" w:rsidRPr="000A5FCB">
        <w:rPr>
          <w:rFonts w:ascii="Times New Roman" w:hAnsi="Times New Roman" w:cs="Times New Roman"/>
          <w:i/>
          <w:color w:val="000000"/>
          <w:sz w:val="24"/>
          <w:szCs w:val="24"/>
        </w:rPr>
        <w:t>pobacion</w:t>
      </w:r>
      <w:r w:rsidR="00E7018B" w:rsidRPr="000A5FCB">
        <w:rPr>
          <w:rFonts w:ascii="Times New Roman" w:hAnsi="Times New Roman" w:cs="Times New Roman"/>
          <w:color w:val="000000"/>
          <w:sz w:val="24"/>
          <w:szCs w:val="24"/>
        </w:rPr>
        <w:t>.</w:t>
      </w:r>
      <w:r w:rsidR="00E7018B" w:rsidRPr="00D47BA0">
        <w:rPr>
          <w:rFonts w:ascii="Times New Roman" w:hAnsi="Times New Roman" w:cs="Times New Roman"/>
          <w:color w:val="000000"/>
          <w:sz w:val="24"/>
          <w:szCs w:val="24"/>
          <w:vertAlign w:val="subscript"/>
        </w:rPr>
        <w:t>j</w:t>
      </w:r>
      <w:proofErr w:type="spellEnd"/>
      <w:r w:rsidR="00E7018B" w:rsidRPr="000A5FCB">
        <w:rPr>
          <w:rFonts w:ascii="Times New Roman" w:hAnsi="Times New Roman" w:cs="Times New Roman"/>
          <w:color w:val="000000"/>
          <w:sz w:val="24"/>
          <w:szCs w:val="24"/>
        </w:rPr>
        <w:t xml:space="preserve"> + b7</w:t>
      </w:r>
      <w:r w:rsidR="00E7018B">
        <w:rPr>
          <w:rFonts w:ascii="Times New Roman" w:hAnsi="Times New Roman" w:cs="Times New Roman"/>
          <w:color w:val="000000"/>
          <w:sz w:val="24"/>
          <w:szCs w:val="24"/>
          <w:vertAlign w:val="subscript"/>
        </w:rPr>
        <w:t>j</w:t>
      </w:r>
      <w:r w:rsidR="00E7018B" w:rsidRPr="000A5FCB">
        <w:rPr>
          <w:rFonts w:ascii="Times New Roman" w:hAnsi="Times New Roman" w:cs="Times New Roman"/>
          <w:color w:val="000000"/>
          <w:sz w:val="24"/>
          <w:szCs w:val="24"/>
        </w:rPr>
        <w:t xml:space="preserve"> *</w:t>
      </w:r>
      <w:proofErr w:type="spellStart"/>
      <w:r w:rsidR="00F43942">
        <w:rPr>
          <w:rFonts w:ascii="Times New Roman" w:hAnsi="Times New Roman" w:cs="Times New Roman"/>
          <w:i/>
          <w:color w:val="000000"/>
          <w:sz w:val="24"/>
          <w:szCs w:val="24"/>
        </w:rPr>
        <w:t>urbanizacion</w:t>
      </w:r>
      <w:r w:rsidR="00E7018B" w:rsidRPr="000A5FCB">
        <w:rPr>
          <w:rFonts w:ascii="Times New Roman" w:hAnsi="Times New Roman" w:cs="Times New Roman"/>
          <w:color w:val="000000"/>
          <w:sz w:val="24"/>
          <w:szCs w:val="24"/>
        </w:rPr>
        <w:t>.</w:t>
      </w:r>
      <w:r w:rsidR="00E7018B" w:rsidRPr="00D47BA0">
        <w:rPr>
          <w:rFonts w:ascii="Times New Roman" w:hAnsi="Times New Roman" w:cs="Times New Roman"/>
          <w:color w:val="000000"/>
          <w:sz w:val="24"/>
          <w:szCs w:val="24"/>
          <w:vertAlign w:val="subscript"/>
        </w:rPr>
        <w:t>j</w:t>
      </w:r>
      <w:proofErr w:type="spellEnd"/>
      <w:r w:rsidR="00E7018B" w:rsidRPr="000A5FCB">
        <w:rPr>
          <w:rFonts w:ascii="Times New Roman" w:hAnsi="Times New Roman" w:cs="Times New Roman"/>
          <w:color w:val="000000"/>
          <w:sz w:val="24"/>
          <w:szCs w:val="24"/>
        </w:rPr>
        <w:t xml:space="preserve"> + b8</w:t>
      </w:r>
      <w:r w:rsidR="00E7018B">
        <w:rPr>
          <w:rFonts w:ascii="Times New Roman" w:hAnsi="Times New Roman" w:cs="Times New Roman"/>
          <w:color w:val="000000"/>
          <w:sz w:val="24"/>
          <w:szCs w:val="24"/>
          <w:vertAlign w:val="subscript"/>
        </w:rPr>
        <w:t>j</w:t>
      </w:r>
      <w:r w:rsidR="00E7018B" w:rsidRPr="000A5FCB">
        <w:rPr>
          <w:rFonts w:ascii="Times New Roman" w:hAnsi="Times New Roman" w:cs="Times New Roman"/>
          <w:color w:val="000000"/>
          <w:sz w:val="24"/>
          <w:szCs w:val="24"/>
        </w:rPr>
        <w:t xml:space="preserve"> *</w:t>
      </w:r>
      <w:proofErr w:type="spellStart"/>
      <w:r w:rsidR="00E7018B" w:rsidRPr="000A5FCB">
        <w:rPr>
          <w:rFonts w:ascii="Times New Roman" w:hAnsi="Times New Roman" w:cs="Times New Roman"/>
          <w:i/>
          <w:color w:val="000000"/>
          <w:sz w:val="24"/>
          <w:szCs w:val="24"/>
        </w:rPr>
        <w:t>anprevmun</w:t>
      </w:r>
      <w:r w:rsidR="00E7018B" w:rsidRPr="000A5FCB">
        <w:rPr>
          <w:rFonts w:ascii="Times New Roman" w:hAnsi="Times New Roman" w:cs="Times New Roman"/>
          <w:color w:val="000000"/>
          <w:sz w:val="24"/>
          <w:szCs w:val="24"/>
        </w:rPr>
        <w:t>.</w:t>
      </w:r>
      <w:r w:rsidR="00E7018B" w:rsidRPr="000A5FCB">
        <w:rPr>
          <w:rFonts w:ascii="Times New Roman" w:hAnsi="Times New Roman" w:cs="Times New Roman"/>
          <w:color w:val="000000"/>
          <w:sz w:val="24"/>
          <w:szCs w:val="24"/>
          <w:vertAlign w:val="subscript"/>
        </w:rPr>
        <w:t>ij</w:t>
      </w:r>
      <w:proofErr w:type="spellEnd"/>
      <w:r w:rsidR="0096687D">
        <w:rPr>
          <w:rFonts w:ascii="Times New Roman" w:hAnsi="Times New Roman" w:cs="Times New Roman"/>
          <w:color w:val="000000"/>
          <w:sz w:val="24"/>
          <w:szCs w:val="24"/>
        </w:rPr>
        <w:t xml:space="preserve"> </w:t>
      </w:r>
      <w:r w:rsidR="00E7018B" w:rsidRPr="000A5FCB">
        <w:rPr>
          <w:rFonts w:ascii="Times New Roman" w:hAnsi="Times New Roman" w:cs="Times New Roman"/>
          <w:color w:val="000000"/>
          <w:sz w:val="24"/>
          <w:szCs w:val="24"/>
        </w:rPr>
        <w:t>+ b9</w:t>
      </w:r>
      <w:r w:rsidR="00E7018B">
        <w:rPr>
          <w:rFonts w:ascii="Times New Roman" w:hAnsi="Times New Roman" w:cs="Times New Roman"/>
          <w:color w:val="000000"/>
          <w:sz w:val="24"/>
          <w:szCs w:val="24"/>
          <w:vertAlign w:val="subscript"/>
        </w:rPr>
        <w:t>j</w:t>
      </w:r>
      <w:r w:rsidR="00E7018B" w:rsidRPr="000A5FCB">
        <w:rPr>
          <w:rFonts w:ascii="Times New Roman" w:hAnsi="Times New Roman" w:cs="Times New Roman"/>
          <w:color w:val="000000"/>
          <w:sz w:val="24"/>
          <w:szCs w:val="24"/>
        </w:rPr>
        <w:t xml:space="preserve"> *</w:t>
      </w:r>
      <w:proofErr w:type="spellStart"/>
      <w:r w:rsidR="00E7018B" w:rsidRPr="000A5FCB">
        <w:rPr>
          <w:rFonts w:ascii="Times New Roman" w:hAnsi="Times New Roman" w:cs="Times New Roman"/>
          <w:i/>
          <w:color w:val="000000"/>
          <w:sz w:val="24"/>
          <w:szCs w:val="24"/>
        </w:rPr>
        <w:t>anelectmun</w:t>
      </w:r>
      <w:r w:rsidR="00E7018B">
        <w:rPr>
          <w:rFonts w:ascii="Times New Roman" w:hAnsi="Times New Roman" w:cs="Times New Roman"/>
          <w:color w:val="000000"/>
          <w:sz w:val="24"/>
          <w:szCs w:val="24"/>
        </w:rPr>
        <w:t>.</w:t>
      </w:r>
      <w:r w:rsidR="00E7018B" w:rsidRPr="000A5FCB">
        <w:rPr>
          <w:rFonts w:ascii="Times New Roman" w:hAnsi="Times New Roman" w:cs="Times New Roman"/>
          <w:color w:val="000000"/>
          <w:sz w:val="24"/>
          <w:szCs w:val="24"/>
          <w:vertAlign w:val="subscript"/>
        </w:rPr>
        <w:t>ij</w:t>
      </w:r>
      <w:proofErr w:type="spellEnd"/>
      <w:r w:rsidR="00E7018B" w:rsidRPr="000A5FCB">
        <w:rPr>
          <w:rFonts w:ascii="Times New Roman" w:hAnsi="Times New Roman" w:cs="Times New Roman"/>
          <w:color w:val="000000"/>
          <w:sz w:val="24"/>
          <w:szCs w:val="24"/>
        </w:rPr>
        <w:t xml:space="preserve"> </w:t>
      </w:r>
      <w:r w:rsidR="00E7018B" w:rsidRPr="00D47BA0">
        <w:rPr>
          <w:rFonts w:ascii="Times New Roman" w:hAnsi="Times New Roman" w:cs="Times New Roman"/>
          <w:color w:val="000000"/>
          <w:sz w:val="24"/>
          <w:szCs w:val="24"/>
        </w:rPr>
        <w:t>+ b10</w:t>
      </w:r>
      <w:r w:rsidR="00E7018B">
        <w:rPr>
          <w:rFonts w:ascii="Times New Roman" w:hAnsi="Times New Roman" w:cs="Times New Roman"/>
          <w:color w:val="000000"/>
          <w:sz w:val="24"/>
          <w:szCs w:val="24"/>
          <w:vertAlign w:val="subscript"/>
        </w:rPr>
        <w:t>j</w:t>
      </w:r>
      <w:r w:rsidR="00E7018B" w:rsidRPr="00D47BA0">
        <w:rPr>
          <w:rFonts w:ascii="Times New Roman" w:hAnsi="Times New Roman" w:cs="Times New Roman"/>
          <w:color w:val="000000"/>
          <w:sz w:val="24"/>
          <w:szCs w:val="24"/>
        </w:rPr>
        <w:t xml:space="preserve"> *</w:t>
      </w:r>
      <w:proofErr w:type="spellStart"/>
      <w:r w:rsidR="00E7018B" w:rsidRPr="00D47BA0">
        <w:rPr>
          <w:rFonts w:ascii="Times New Roman" w:hAnsi="Times New Roman" w:cs="Times New Roman"/>
          <w:i/>
          <w:color w:val="000000"/>
          <w:sz w:val="24"/>
          <w:szCs w:val="24"/>
        </w:rPr>
        <w:t>anprevgob</w:t>
      </w:r>
      <w:r w:rsidR="00E7018B">
        <w:rPr>
          <w:rFonts w:ascii="Times New Roman" w:hAnsi="Times New Roman" w:cs="Times New Roman"/>
          <w:color w:val="000000"/>
          <w:sz w:val="24"/>
          <w:szCs w:val="24"/>
        </w:rPr>
        <w:t>.</w:t>
      </w:r>
      <w:r w:rsidR="00E7018B" w:rsidRPr="000A5FCB">
        <w:rPr>
          <w:rFonts w:ascii="Times New Roman" w:hAnsi="Times New Roman" w:cs="Times New Roman"/>
          <w:color w:val="000000"/>
          <w:sz w:val="24"/>
          <w:szCs w:val="24"/>
          <w:vertAlign w:val="subscript"/>
        </w:rPr>
        <w:t>ij</w:t>
      </w:r>
      <w:proofErr w:type="spellEnd"/>
      <w:r w:rsidR="00E7018B" w:rsidRPr="00D47BA0">
        <w:rPr>
          <w:rFonts w:ascii="Times New Roman" w:hAnsi="Times New Roman" w:cs="Times New Roman"/>
          <w:color w:val="000000"/>
          <w:sz w:val="24"/>
          <w:szCs w:val="24"/>
        </w:rPr>
        <w:t xml:space="preserve"> + b11</w:t>
      </w:r>
      <w:r w:rsidR="00E7018B">
        <w:rPr>
          <w:rFonts w:ascii="Times New Roman" w:hAnsi="Times New Roman" w:cs="Times New Roman"/>
          <w:color w:val="000000"/>
          <w:sz w:val="24"/>
          <w:szCs w:val="24"/>
          <w:vertAlign w:val="subscript"/>
        </w:rPr>
        <w:t>j</w:t>
      </w:r>
      <w:r w:rsidR="00E7018B" w:rsidRPr="00D47BA0">
        <w:rPr>
          <w:rFonts w:ascii="Times New Roman" w:hAnsi="Times New Roman" w:cs="Times New Roman"/>
          <w:color w:val="000000"/>
          <w:sz w:val="24"/>
          <w:szCs w:val="24"/>
        </w:rPr>
        <w:t xml:space="preserve"> *</w:t>
      </w:r>
      <w:proofErr w:type="spellStart"/>
      <w:r w:rsidR="00E7018B" w:rsidRPr="00D47BA0">
        <w:rPr>
          <w:rFonts w:ascii="Times New Roman" w:hAnsi="Times New Roman" w:cs="Times New Roman"/>
          <w:i/>
          <w:color w:val="000000"/>
          <w:sz w:val="24"/>
          <w:szCs w:val="24"/>
        </w:rPr>
        <w:t>anelectgob</w:t>
      </w:r>
      <w:r w:rsidR="00E7018B">
        <w:rPr>
          <w:rFonts w:ascii="Times New Roman" w:hAnsi="Times New Roman" w:cs="Times New Roman"/>
          <w:color w:val="000000"/>
          <w:sz w:val="24"/>
          <w:szCs w:val="24"/>
        </w:rPr>
        <w:t>.</w:t>
      </w:r>
      <w:r w:rsidR="00E7018B" w:rsidRPr="000A5FCB">
        <w:rPr>
          <w:rFonts w:ascii="Times New Roman" w:hAnsi="Times New Roman" w:cs="Times New Roman"/>
          <w:color w:val="000000"/>
          <w:sz w:val="24"/>
          <w:szCs w:val="24"/>
          <w:vertAlign w:val="subscript"/>
        </w:rPr>
        <w:t>ij</w:t>
      </w:r>
      <w:proofErr w:type="spellEnd"/>
      <w:r w:rsidR="00E7018B" w:rsidRPr="00D47BA0">
        <w:rPr>
          <w:rFonts w:ascii="Times New Roman" w:hAnsi="Times New Roman" w:cs="Times New Roman"/>
          <w:color w:val="000000"/>
          <w:sz w:val="24"/>
          <w:szCs w:val="24"/>
        </w:rPr>
        <w:t xml:space="preserve"> + </w:t>
      </w:r>
      <w:proofErr w:type="spellStart"/>
      <w:r w:rsidR="00E7018B" w:rsidRPr="00D47BA0">
        <w:rPr>
          <w:rFonts w:ascii="Times New Roman" w:hAnsi="Times New Roman" w:cs="Times New Roman"/>
          <w:color w:val="000000"/>
          <w:sz w:val="24"/>
          <w:szCs w:val="24"/>
        </w:rPr>
        <w:t>e.</w:t>
      </w:r>
      <w:r w:rsidR="00E7018B" w:rsidRPr="00D47BA0">
        <w:rPr>
          <w:rFonts w:ascii="Times New Roman" w:hAnsi="Times New Roman" w:cs="Times New Roman"/>
          <w:color w:val="000000"/>
          <w:sz w:val="24"/>
          <w:szCs w:val="24"/>
          <w:vertAlign w:val="subscript"/>
        </w:rPr>
        <w:t>ij</w:t>
      </w:r>
      <w:proofErr w:type="spellEnd"/>
      <w:r w:rsidR="00E7018B" w:rsidRPr="00D47BA0">
        <w:rPr>
          <w:rFonts w:ascii="Times New Roman" w:hAnsi="Times New Roman" w:cs="Times New Roman"/>
          <w:color w:val="000000"/>
          <w:sz w:val="24"/>
          <w:szCs w:val="24"/>
        </w:rPr>
        <w:t xml:space="preserve"> </w:t>
      </w:r>
    </w:p>
    <w:p w14:paraId="0096B634" w14:textId="77777777" w:rsidR="00D47BA0" w:rsidRPr="00D47BA0" w:rsidRDefault="00D47BA0" w:rsidP="00FA6332">
      <w:pPr>
        <w:spacing w:line="480" w:lineRule="auto"/>
        <w:ind w:firstLine="708"/>
        <w:jc w:val="both"/>
        <w:rPr>
          <w:rFonts w:ascii="Times New Roman" w:hAnsi="Times New Roman" w:cs="Times New Roman"/>
          <w:sz w:val="24"/>
          <w:szCs w:val="24"/>
          <w:u w:val="single"/>
        </w:rPr>
      </w:pPr>
    </w:p>
    <w:p w14:paraId="30D890D5" w14:textId="77777777" w:rsidR="00E302A3" w:rsidRPr="00E71756" w:rsidRDefault="00E71756" w:rsidP="00FA6332">
      <w:pPr>
        <w:spacing w:line="480" w:lineRule="auto"/>
        <w:ind w:firstLine="708"/>
        <w:jc w:val="both"/>
        <w:rPr>
          <w:rFonts w:ascii="Times New Roman" w:hAnsi="Times New Roman" w:cs="Times New Roman"/>
          <w:sz w:val="24"/>
          <w:szCs w:val="24"/>
          <w:u w:val="single"/>
        </w:rPr>
      </w:pPr>
      <w:r w:rsidRPr="00E71756">
        <w:rPr>
          <w:rFonts w:ascii="Times New Roman" w:hAnsi="Times New Roman" w:cs="Times New Roman"/>
          <w:sz w:val="24"/>
          <w:szCs w:val="24"/>
          <w:u w:val="single"/>
        </w:rPr>
        <w:t>Modelos Nivel 2</w:t>
      </w:r>
    </w:p>
    <w:p w14:paraId="7F38FEBB" w14:textId="77777777" w:rsidR="00E71756" w:rsidRPr="003E079F" w:rsidRDefault="00E71756" w:rsidP="00E71756">
      <w:pPr>
        <w:pStyle w:val="HTMLconformatoprevio"/>
        <w:rPr>
          <w:rFonts w:ascii="Times New Roman" w:hAnsi="Times New Roman" w:cs="Times New Roman"/>
          <w:color w:val="000000"/>
          <w:sz w:val="24"/>
          <w:szCs w:val="24"/>
          <w:vertAlign w:val="subscript"/>
        </w:rPr>
      </w:pPr>
      <w:r w:rsidRPr="003E079F">
        <w:rPr>
          <w:rFonts w:ascii="Times New Roman" w:hAnsi="Times New Roman" w:cs="Times New Roman"/>
          <w:color w:val="000000"/>
          <w:sz w:val="24"/>
          <w:szCs w:val="24"/>
        </w:rPr>
        <w:t>b0</w:t>
      </w:r>
      <w:r w:rsidR="004C2C9D">
        <w:rPr>
          <w:rFonts w:ascii="Times New Roman" w:hAnsi="Times New Roman" w:cs="Times New Roman"/>
          <w:color w:val="000000"/>
          <w:sz w:val="24"/>
          <w:szCs w:val="24"/>
          <w:vertAlign w:val="subscript"/>
        </w:rPr>
        <w:t>j</w:t>
      </w:r>
      <w:r w:rsidRPr="003E079F">
        <w:rPr>
          <w:rFonts w:ascii="Times New Roman" w:hAnsi="Times New Roman" w:cs="Times New Roman"/>
          <w:color w:val="000000"/>
          <w:sz w:val="24"/>
          <w:szCs w:val="24"/>
        </w:rPr>
        <w:t xml:space="preserve"> = g0</w:t>
      </w:r>
      <w:r w:rsidRPr="003E079F">
        <w:rPr>
          <w:rFonts w:ascii="Times New Roman" w:hAnsi="Times New Roman" w:cs="Times New Roman"/>
          <w:color w:val="000000"/>
          <w:sz w:val="24"/>
          <w:szCs w:val="24"/>
          <w:vertAlign w:val="subscript"/>
        </w:rPr>
        <w:t>0</w:t>
      </w:r>
      <w:r w:rsidRPr="003E079F">
        <w:rPr>
          <w:rFonts w:ascii="Times New Roman" w:hAnsi="Times New Roman" w:cs="Times New Roman"/>
          <w:color w:val="000000"/>
          <w:sz w:val="24"/>
          <w:szCs w:val="24"/>
        </w:rPr>
        <w:t xml:space="preserve"> + u1.</w:t>
      </w:r>
      <w:r w:rsidRPr="003E079F">
        <w:rPr>
          <w:rFonts w:ascii="Times New Roman" w:hAnsi="Times New Roman" w:cs="Times New Roman"/>
          <w:color w:val="000000"/>
          <w:sz w:val="24"/>
          <w:szCs w:val="24"/>
          <w:vertAlign w:val="subscript"/>
        </w:rPr>
        <w:t>j</w:t>
      </w:r>
    </w:p>
    <w:p w14:paraId="4891444E" w14:textId="77777777" w:rsidR="00E71756" w:rsidRPr="0052671A" w:rsidRDefault="00E71756" w:rsidP="00E71756">
      <w:pPr>
        <w:pStyle w:val="HTMLconformatoprevio"/>
        <w:rPr>
          <w:rFonts w:ascii="Times New Roman" w:hAnsi="Times New Roman" w:cs="Times New Roman"/>
          <w:color w:val="000000"/>
          <w:sz w:val="24"/>
          <w:szCs w:val="24"/>
        </w:rPr>
      </w:pPr>
      <w:r w:rsidRPr="0052671A">
        <w:rPr>
          <w:rFonts w:ascii="Times New Roman" w:hAnsi="Times New Roman" w:cs="Times New Roman"/>
          <w:color w:val="000000"/>
          <w:sz w:val="24"/>
          <w:szCs w:val="24"/>
        </w:rPr>
        <w:t>b1</w:t>
      </w:r>
      <w:r w:rsidR="004C2C9D" w:rsidRPr="0052671A">
        <w:rPr>
          <w:rFonts w:ascii="Times New Roman" w:hAnsi="Times New Roman" w:cs="Times New Roman"/>
          <w:color w:val="000000"/>
          <w:sz w:val="24"/>
          <w:szCs w:val="24"/>
          <w:vertAlign w:val="subscript"/>
        </w:rPr>
        <w:t>j</w:t>
      </w:r>
      <w:r w:rsidRPr="0052671A">
        <w:rPr>
          <w:rFonts w:ascii="Times New Roman" w:hAnsi="Times New Roman" w:cs="Times New Roman"/>
          <w:color w:val="000000"/>
          <w:sz w:val="24"/>
          <w:szCs w:val="24"/>
        </w:rPr>
        <w:t xml:space="preserve"> = g1</w:t>
      </w:r>
      <w:r w:rsidRPr="0052671A">
        <w:rPr>
          <w:rFonts w:ascii="Times New Roman" w:hAnsi="Times New Roman" w:cs="Times New Roman"/>
          <w:color w:val="000000"/>
          <w:sz w:val="24"/>
          <w:szCs w:val="24"/>
          <w:vertAlign w:val="subscript"/>
        </w:rPr>
        <w:t>0</w:t>
      </w:r>
      <w:r w:rsidRPr="0052671A">
        <w:rPr>
          <w:rFonts w:ascii="Times New Roman" w:hAnsi="Times New Roman" w:cs="Times New Roman"/>
          <w:color w:val="000000"/>
          <w:sz w:val="24"/>
          <w:szCs w:val="24"/>
        </w:rPr>
        <w:t xml:space="preserve"> + u2.</w:t>
      </w:r>
      <w:r w:rsidRPr="0052671A">
        <w:rPr>
          <w:rFonts w:ascii="Times New Roman" w:hAnsi="Times New Roman" w:cs="Times New Roman"/>
          <w:color w:val="000000"/>
          <w:sz w:val="24"/>
          <w:szCs w:val="24"/>
          <w:vertAlign w:val="subscript"/>
        </w:rPr>
        <w:t>j</w:t>
      </w:r>
    </w:p>
    <w:p w14:paraId="07F64A04" w14:textId="77777777" w:rsidR="00E71756" w:rsidRPr="0052671A" w:rsidRDefault="00E71756" w:rsidP="00E71756">
      <w:pPr>
        <w:pStyle w:val="HTMLconformatoprevio"/>
        <w:rPr>
          <w:rFonts w:ascii="Times New Roman" w:hAnsi="Times New Roman" w:cs="Times New Roman"/>
          <w:color w:val="000000"/>
          <w:sz w:val="24"/>
          <w:szCs w:val="24"/>
        </w:rPr>
      </w:pPr>
      <w:r w:rsidRPr="0052671A">
        <w:rPr>
          <w:rFonts w:ascii="Times New Roman" w:hAnsi="Times New Roman" w:cs="Times New Roman"/>
          <w:color w:val="000000"/>
          <w:sz w:val="24"/>
          <w:szCs w:val="24"/>
        </w:rPr>
        <w:t>b2</w:t>
      </w:r>
      <w:r w:rsidR="0052671A" w:rsidRPr="0052671A">
        <w:rPr>
          <w:rFonts w:ascii="Times New Roman" w:hAnsi="Times New Roman" w:cs="Times New Roman"/>
          <w:color w:val="000000"/>
          <w:sz w:val="24"/>
          <w:szCs w:val="24"/>
          <w:vertAlign w:val="subscript"/>
        </w:rPr>
        <w:t>j</w:t>
      </w:r>
      <w:r w:rsidRPr="0052671A">
        <w:rPr>
          <w:rFonts w:ascii="Times New Roman" w:hAnsi="Times New Roman" w:cs="Times New Roman"/>
          <w:color w:val="000000"/>
          <w:sz w:val="24"/>
          <w:szCs w:val="24"/>
          <w:vertAlign w:val="subscript"/>
        </w:rPr>
        <w:t xml:space="preserve"> </w:t>
      </w:r>
      <w:r w:rsidRPr="0052671A">
        <w:rPr>
          <w:rFonts w:ascii="Times New Roman" w:hAnsi="Times New Roman" w:cs="Times New Roman"/>
          <w:color w:val="000000"/>
          <w:sz w:val="24"/>
          <w:szCs w:val="24"/>
        </w:rPr>
        <w:t>= g2</w:t>
      </w:r>
      <w:r w:rsidRPr="0052671A">
        <w:rPr>
          <w:rFonts w:ascii="Times New Roman" w:hAnsi="Times New Roman" w:cs="Times New Roman"/>
          <w:color w:val="000000"/>
          <w:sz w:val="24"/>
          <w:szCs w:val="24"/>
          <w:vertAlign w:val="subscript"/>
        </w:rPr>
        <w:t>0</w:t>
      </w:r>
      <w:r w:rsidRPr="0052671A">
        <w:rPr>
          <w:rFonts w:ascii="Times New Roman" w:hAnsi="Times New Roman" w:cs="Times New Roman"/>
          <w:color w:val="000000"/>
          <w:sz w:val="24"/>
          <w:szCs w:val="24"/>
        </w:rPr>
        <w:t xml:space="preserve"> + u3.</w:t>
      </w:r>
      <w:r w:rsidRPr="0052671A">
        <w:rPr>
          <w:rFonts w:ascii="Times New Roman" w:hAnsi="Times New Roman" w:cs="Times New Roman"/>
          <w:color w:val="000000"/>
          <w:sz w:val="24"/>
          <w:szCs w:val="24"/>
          <w:vertAlign w:val="subscript"/>
        </w:rPr>
        <w:t>j</w:t>
      </w:r>
    </w:p>
    <w:p w14:paraId="0E824197" w14:textId="77777777" w:rsidR="00E71756" w:rsidRPr="0052671A" w:rsidRDefault="00E71756" w:rsidP="00E71756">
      <w:pPr>
        <w:pStyle w:val="HTMLconformatoprevio"/>
        <w:rPr>
          <w:rFonts w:ascii="Times New Roman" w:hAnsi="Times New Roman" w:cs="Times New Roman"/>
          <w:color w:val="000000"/>
          <w:sz w:val="24"/>
          <w:szCs w:val="24"/>
        </w:rPr>
      </w:pPr>
      <w:r w:rsidRPr="0052671A">
        <w:rPr>
          <w:rFonts w:ascii="Times New Roman" w:hAnsi="Times New Roman" w:cs="Times New Roman"/>
          <w:color w:val="000000"/>
          <w:sz w:val="24"/>
          <w:szCs w:val="24"/>
        </w:rPr>
        <w:t>b3</w:t>
      </w:r>
      <w:r w:rsidR="0052671A" w:rsidRPr="0052671A">
        <w:rPr>
          <w:rFonts w:ascii="Times New Roman" w:hAnsi="Times New Roman" w:cs="Times New Roman"/>
          <w:color w:val="000000"/>
          <w:sz w:val="24"/>
          <w:szCs w:val="24"/>
          <w:vertAlign w:val="subscript"/>
        </w:rPr>
        <w:t>j</w:t>
      </w:r>
      <w:r w:rsidRPr="0052671A">
        <w:rPr>
          <w:rFonts w:ascii="Times New Roman" w:hAnsi="Times New Roman" w:cs="Times New Roman"/>
          <w:color w:val="000000"/>
          <w:sz w:val="24"/>
          <w:szCs w:val="24"/>
        </w:rPr>
        <w:t xml:space="preserve"> = g3</w:t>
      </w:r>
      <w:r w:rsidRPr="0052671A">
        <w:rPr>
          <w:rFonts w:ascii="Times New Roman" w:hAnsi="Times New Roman" w:cs="Times New Roman"/>
          <w:color w:val="000000"/>
          <w:sz w:val="24"/>
          <w:szCs w:val="24"/>
          <w:vertAlign w:val="subscript"/>
        </w:rPr>
        <w:t>0</w:t>
      </w:r>
      <w:r w:rsidRPr="0052671A">
        <w:rPr>
          <w:rFonts w:ascii="Times New Roman" w:hAnsi="Times New Roman" w:cs="Times New Roman"/>
          <w:color w:val="000000"/>
          <w:sz w:val="24"/>
          <w:szCs w:val="24"/>
        </w:rPr>
        <w:t xml:space="preserve"> + u4.</w:t>
      </w:r>
      <w:r w:rsidRPr="0052671A">
        <w:rPr>
          <w:rFonts w:ascii="Times New Roman" w:hAnsi="Times New Roman" w:cs="Times New Roman"/>
          <w:color w:val="000000"/>
          <w:sz w:val="24"/>
          <w:szCs w:val="24"/>
          <w:vertAlign w:val="subscript"/>
        </w:rPr>
        <w:t>j</w:t>
      </w:r>
    </w:p>
    <w:p w14:paraId="361AF1EE" w14:textId="77777777" w:rsidR="00E71756" w:rsidRPr="0052671A" w:rsidRDefault="00E71756" w:rsidP="00E71756">
      <w:pPr>
        <w:pStyle w:val="HTMLconformatoprevio"/>
        <w:rPr>
          <w:rFonts w:ascii="Times New Roman" w:hAnsi="Times New Roman" w:cs="Times New Roman"/>
          <w:color w:val="000000"/>
          <w:sz w:val="24"/>
          <w:szCs w:val="24"/>
          <w:vertAlign w:val="subscript"/>
        </w:rPr>
      </w:pPr>
      <w:r w:rsidRPr="0052671A">
        <w:rPr>
          <w:rFonts w:ascii="Times New Roman" w:hAnsi="Times New Roman" w:cs="Times New Roman"/>
          <w:color w:val="000000"/>
          <w:sz w:val="24"/>
          <w:szCs w:val="24"/>
        </w:rPr>
        <w:t>b4</w:t>
      </w:r>
      <w:r w:rsidR="0052671A" w:rsidRPr="0052671A">
        <w:rPr>
          <w:rFonts w:ascii="Times New Roman" w:hAnsi="Times New Roman" w:cs="Times New Roman"/>
          <w:color w:val="000000"/>
          <w:sz w:val="24"/>
          <w:szCs w:val="24"/>
          <w:vertAlign w:val="subscript"/>
        </w:rPr>
        <w:t>j</w:t>
      </w:r>
      <w:r w:rsidRPr="0052671A">
        <w:rPr>
          <w:rFonts w:ascii="Times New Roman" w:hAnsi="Times New Roman" w:cs="Times New Roman"/>
          <w:color w:val="000000"/>
          <w:sz w:val="24"/>
          <w:szCs w:val="24"/>
          <w:vertAlign w:val="subscript"/>
        </w:rPr>
        <w:t xml:space="preserve"> </w:t>
      </w:r>
      <w:r w:rsidRPr="0052671A">
        <w:rPr>
          <w:rFonts w:ascii="Times New Roman" w:hAnsi="Times New Roman" w:cs="Times New Roman"/>
          <w:color w:val="000000"/>
          <w:sz w:val="24"/>
          <w:szCs w:val="24"/>
        </w:rPr>
        <w:t>= g</w:t>
      </w:r>
      <w:r w:rsidR="007760D0" w:rsidRPr="0052671A">
        <w:rPr>
          <w:rFonts w:ascii="Times New Roman" w:hAnsi="Times New Roman" w:cs="Times New Roman"/>
          <w:color w:val="000000"/>
          <w:sz w:val="24"/>
          <w:szCs w:val="24"/>
        </w:rPr>
        <w:t>4</w:t>
      </w:r>
      <w:r w:rsidRPr="0052671A">
        <w:rPr>
          <w:rFonts w:ascii="Times New Roman" w:hAnsi="Times New Roman" w:cs="Times New Roman"/>
          <w:color w:val="000000"/>
          <w:sz w:val="24"/>
          <w:szCs w:val="24"/>
          <w:vertAlign w:val="subscript"/>
        </w:rPr>
        <w:t>0</w:t>
      </w:r>
      <w:r w:rsidRPr="0052671A">
        <w:rPr>
          <w:rFonts w:ascii="Times New Roman" w:hAnsi="Times New Roman" w:cs="Times New Roman"/>
          <w:color w:val="000000"/>
          <w:sz w:val="24"/>
          <w:szCs w:val="24"/>
        </w:rPr>
        <w:t xml:space="preserve"> + u5.</w:t>
      </w:r>
      <w:r w:rsidRPr="0052671A">
        <w:rPr>
          <w:rFonts w:ascii="Times New Roman" w:hAnsi="Times New Roman" w:cs="Times New Roman"/>
          <w:color w:val="000000"/>
          <w:sz w:val="24"/>
          <w:szCs w:val="24"/>
          <w:vertAlign w:val="subscript"/>
        </w:rPr>
        <w:t>j</w:t>
      </w:r>
    </w:p>
    <w:p w14:paraId="42C01A84" w14:textId="77777777" w:rsidR="00E71756" w:rsidRPr="0052671A" w:rsidRDefault="00E71756" w:rsidP="00E71756">
      <w:pPr>
        <w:pStyle w:val="HTMLconformatoprevio"/>
        <w:rPr>
          <w:rFonts w:ascii="Times New Roman" w:hAnsi="Times New Roman" w:cs="Times New Roman"/>
          <w:color w:val="000000"/>
          <w:sz w:val="24"/>
          <w:szCs w:val="24"/>
          <w:vertAlign w:val="subscript"/>
        </w:rPr>
      </w:pPr>
      <w:r w:rsidRPr="0052671A">
        <w:rPr>
          <w:rFonts w:ascii="Times New Roman" w:hAnsi="Times New Roman" w:cs="Times New Roman"/>
          <w:color w:val="000000"/>
          <w:sz w:val="24"/>
          <w:szCs w:val="24"/>
        </w:rPr>
        <w:t>b5</w:t>
      </w:r>
      <w:r w:rsidR="0052671A" w:rsidRPr="0052671A">
        <w:rPr>
          <w:rFonts w:ascii="Times New Roman" w:hAnsi="Times New Roman" w:cs="Times New Roman"/>
          <w:color w:val="000000"/>
          <w:sz w:val="24"/>
          <w:szCs w:val="24"/>
          <w:vertAlign w:val="subscript"/>
        </w:rPr>
        <w:t>j</w:t>
      </w:r>
      <w:r w:rsidRPr="0052671A">
        <w:rPr>
          <w:rFonts w:ascii="Times New Roman" w:hAnsi="Times New Roman" w:cs="Times New Roman"/>
          <w:color w:val="000000"/>
          <w:sz w:val="24"/>
          <w:szCs w:val="24"/>
          <w:vertAlign w:val="subscript"/>
        </w:rPr>
        <w:t xml:space="preserve"> </w:t>
      </w:r>
      <w:r w:rsidRPr="0052671A">
        <w:rPr>
          <w:rFonts w:ascii="Times New Roman" w:hAnsi="Times New Roman" w:cs="Times New Roman"/>
          <w:color w:val="000000"/>
          <w:sz w:val="24"/>
          <w:szCs w:val="24"/>
        </w:rPr>
        <w:t>= g</w:t>
      </w:r>
      <w:r w:rsidR="007760D0" w:rsidRPr="0052671A">
        <w:rPr>
          <w:rFonts w:ascii="Times New Roman" w:hAnsi="Times New Roman" w:cs="Times New Roman"/>
          <w:color w:val="000000"/>
          <w:sz w:val="24"/>
          <w:szCs w:val="24"/>
        </w:rPr>
        <w:t>5</w:t>
      </w:r>
      <w:r w:rsidRPr="0052671A">
        <w:rPr>
          <w:rFonts w:ascii="Times New Roman" w:hAnsi="Times New Roman" w:cs="Times New Roman"/>
          <w:color w:val="000000"/>
          <w:sz w:val="24"/>
          <w:szCs w:val="24"/>
          <w:vertAlign w:val="subscript"/>
        </w:rPr>
        <w:t>0</w:t>
      </w:r>
      <w:r w:rsidRPr="0052671A">
        <w:rPr>
          <w:rFonts w:ascii="Times New Roman" w:hAnsi="Times New Roman" w:cs="Times New Roman"/>
          <w:color w:val="000000"/>
          <w:sz w:val="24"/>
          <w:szCs w:val="24"/>
        </w:rPr>
        <w:t xml:space="preserve"> + u6.</w:t>
      </w:r>
      <w:r w:rsidRPr="0052671A">
        <w:rPr>
          <w:rFonts w:ascii="Times New Roman" w:hAnsi="Times New Roman" w:cs="Times New Roman"/>
          <w:color w:val="000000"/>
          <w:sz w:val="24"/>
          <w:szCs w:val="24"/>
          <w:vertAlign w:val="subscript"/>
        </w:rPr>
        <w:t>j</w:t>
      </w:r>
    </w:p>
    <w:p w14:paraId="5EC618BC" w14:textId="77777777" w:rsidR="00E71756" w:rsidRPr="0052671A" w:rsidRDefault="00E71756" w:rsidP="00E71756">
      <w:pPr>
        <w:pStyle w:val="HTMLconformatoprevio"/>
        <w:rPr>
          <w:rFonts w:ascii="Times New Roman" w:hAnsi="Times New Roman" w:cs="Times New Roman"/>
          <w:color w:val="000000"/>
          <w:sz w:val="24"/>
          <w:szCs w:val="24"/>
          <w:vertAlign w:val="subscript"/>
        </w:rPr>
      </w:pPr>
      <w:r w:rsidRPr="0052671A">
        <w:rPr>
          <w:rFonts w:ascii="Times New Roman" w:hAnsi="Times New Roman" w:cs="Times New Roman"/>
          <w:color w:val="000000"/>
          <w:sz w:val="24"/>
          <w:szCs w:val="24"/>
        </w:rPr>
        <w:t>b6</w:t>
      </w:r>
      <w:r w:rsidR="0052671A" w:rsidRPr="0052671A">
        <w:rPr>
          <w:rFonts w:ascii="Times New Roman" w:hAnsi="Times New Roman" w:cs="Times New Roman"/>
          <w:color w:val="000000"/>
          <w:sz w:val="24"/>
          <w:szCs w:val="24"/>
          <w:vertAlign w:val="subscript"/>
        </w:rPr>
        <w:t>j</w:t>
      </w:r>
      <w:r w:rsidRPr="0052671A">
        <w:rPr>
          <w:rFonts w:ascii="Times New Roman" w:hAnsi="Times New Roman" w:cs="Times New Roman"/>
          <w:color w:val="000000"/>
          <w:sz w:val="24"/>
          <w:szCs w:val="24"/>
          <w:vertAlign w:val="subscript"/>
        </w:rPr>
        <w:t xml:space="preserve"> </w:t>
      </w:r>
      <w:r w:rsidRPr="0052671A">
        <w:rPr>
          <w:rFonts w:ascii="Times New Roman" w:hAnsi="Times New Roman" w:cs="Times New Roman"/>
          <w:color w:val="000000"/>
          <w:sz w:val="24"/>
          <w:szCs w:val="24"/>
        </w:rPr>
        <w:t>= g</w:t>
      </w:r>
      <w:r w:rsidR="007760D0" w:rsidRPr="0052671A">
        <w:rPr>
          <w:rFonts w:ascii="Times New Roman" w:hAnsi="Times New Roman" w:cs="Times New Roman"/>
          <w:color w:val="000000"/>
          <w:sz w:val="24"/>
          <w:szCs w:val="24"/>
        </w:rPr>
        <w:t>6</w:t>
      </w:r>
      <w:r w:rsidRPr="0052671A">
        <w:rPr>
          <w:rFonts w:ascii="Times New Roman" w:hAnsi="Times New Roman" w:cs="Times New Roman"/>
          <w:color w:val="000000"/>
          <w:sz w:val="24"/>
          <w:szCs w:val="24"/>
          <w:vertAlign w:val="subscript"/>
        </w:rPr>
        <w:t>0</w:t>
      </w:r>
      <w:r w:rsidRPr="0052671A">
        <w:rPr>
          <w:rFonts w:ascii="Times New Roman" w:hAnsi="Times New Roman" w:cs="Times New Roman"/>
          <w:color w:val="000000"/>
          <w:sz w:val="24"/>
          <w:szCs w:val="24"/>
        </w:rPr>
        <w:t xml:space="preserve"> + u7.</w:t>
      </w:r>
      <w:r w:rsidRPr="0052671A">
        <w:rPr>
          <w:rFonts w:ascii="Times New Roman" w:hAnsi="Times New Roman" w:cs="Times New Roman"/>
          <w:color w:val="000000"/>
          <w:sz w:val="24"/>
          <w:szCs w:val="24"/>
          <w:vertAlign w:val="subscript"/>
        </w:rPr>
        <w:t>j</w:t>
      </w:r>
    </w:p>
    <w:p w14:paraId="70AFDBE1" w14:textId="77777777" w:rsidR="00E71756" w:rsidRPr="0052671A" w:rsidRDefault="00E71756" w:rsidP="00E71756">
      <w:pPr>
        <w:pStyle w:val="HTMLconformatoprevio"/>
        <w:rPr>
          <w:rFonts w:ascii="Times New Roman" w:hAnsi="Times New Roman" w:cs="Times New Roman"/>
          <w:color w:val="000000"/>
          <w:sz w:val="24"/>
          <w:szCs w:val="24"/>
          <w:vertAlign w:val="subscript"/>
        </w:rPr>
      </w:pPr>
      <w:r w:rsidRPr="0052671A">
        <w:rPr>
          <w:rFonts w:ascii="Times New Roman" w:hAnsi="Times New Roman" w:cs="Times New Roman"/>
          <w:color w:val="000000"/>
          <w:sz w:val="24"/>
          <w:szCs w:val="24"/>
        </w:rPr>
        <w:t>b7</w:t>
      </w:r>
      <w:r w:rsidR="0052671A" w:rsidRPr="0052671A">
        <w:rPr>
          <w:rFonts w:ascii="Times New Roman" w:hAnsi="Times New Roman" w:cs="Times New Roman"/>
          <w:color w:val="000000"/>
          <w:sz w:val="24"/>
          <w:szCs w:val="24"/>
          <w:vertAlign w:val="subscript"/>
        </w:rPr>
        <w:t>j</w:t>
      </w:r>
      <w:r w:rsidRPr="0052671A">
        <w:rPr>
          <w:rFonts w:ascii="Times New Roman" w:hAnsi="Times New Roman" w:cs="Times New Roman"/>
          <w:color w:val="000000"/>
          <w:sz w:val="24"/>
          <w:szCs w:val="24"/>
          <w:vertAlign w:val="subscript"/>
        </w:rPr>
        <w:t xml:space="preserve"> </w:t>
      </w:r>
      <w:r w:rsidRPr="0052671A">
        <w:rPr>
          <w:rFonts w:ascii="Times New Roman" w:hAnsi="Times New Roman" w:cs="Times New Roman"/>
          <w:color w:val="000000"/>
          <w:sz w:val="24"/>
          <w:szCs w:val="24"/>
        </w:rPr>
        <w:t>= g</w:t>
      </w:r>
      <w:r w:rsidR="007760D0" w:rsidRPr="0052671A">
        <w:rPr>
          <w:rFonts w:ascii="Times New Roman" w:hAnsi="Times New Roman" w:cs="Times New Roman"/>
          <w:color w:val="000000"/>
          <w:sz w:val="24"/>
          <w:szCs w:val="24"/>
        </w:rPr>
        <w:t>7</w:t>
      </w:r>
      <w:r w:rsidRPr="0052671A">
        <w:rPr>
          <w:rFonts w:ascii="Times New Roman" w:hAnsi="Times New Roman" w:cs="Times New Roman"/>
          <w:color w:val="000000"/>
          <w:sz w:val="24"/>
          <w:szCs w:val="24"/>
          <w:vertAlign w:val="subscript"/>
        </w:rPr>
        <w:t>0</w:t>
      </w:r>
      <w:r w:rsidRPr="0052671A">
        <w:rPr>
          <w:rFonts w:ascii="Times New Roman" w:hAnsi="Times New Roman" w:cs="Times New Roman"/>
          <w:color w:val="000000"/>
          <w:sz w:val="24"/>
          <w:szCs w:val="24"/>
        </w:rPr>
        <w:t xml:space="preserve"> + u8.</w:t>
      </w:r>
      <w:r w:rsidRPr="0052671A">
        <w:rPr>
          <w:rFonts w:ascii="Times New Roman" w:hAnsi="Times New Roman" w:cs="Times New Roman"/>
          <w:color w:val="000000"/>
          <w:sz w:val="24"/>
          <w:szCs w:val="24"/>
          <w:vertAlign w:val="subscript"/>
        </w:rPr>
        <w:t>j</w:t>
      </w:r>
    </w:p>
    <w:p w14:paraId="2593430C" w14:textId="77777777" w:rsidR="00E71756" w:rsidRPr="0052671A" w:rsidRDefault="00E71756" w:rsidP="00E71756">
      <w:pPr>
        <w:pStyle w:val="HTMLconformatoprevio"/>
        <w:rPr>
          <w:rFonts w:ascii="Times New Roman" w:hAnsi="Times New Roman" w:cs="Times New Roman"/>
          <w:color w:val="000000"/>
          <w:sz w:val="24"/>
          <w:szCs w:val="24"/>
          <w:vertAlign w:val="subscript"/>
        </w:rPr>
      </w:pPr>
      <w:r w:rsidRPr="0052671A">
        <w:rPr>
          <w:rFonts w:ascii="Times New Roman" w:hAnsi="Times New Roman" w:cs="Times New Roman"/>
          <w:color w:val="000000"/>
          <w:sz w:val="24"/>
          <w:szCs w:val="24"/>
        </w:rPr>
        <w:t>b8</w:t>
      </w:r>
      <w:r w:rsidR="0052671A" w:rsidRPr="0052671A">
        <w:rPr>
          <w:rFonts w:ascii="Times New Roman" w:hAnsi="Times New Roman" w:cs="Times New Roman"/>
          <w:color w:val="000000"/>
          <w:sz w:val="24"/>
          <w:szCs w:val="24"/>
          <w:vertAlign w:val="subscript"/>
        </w:rPr>
        <w:t>j</w:t>
      </w:r>
      <w:r w:rsidRPr="0052671A">
        <w:rPr>
          <w:rFonts w:ascii="Times New Roman" w:hAnsi="Times New Roman" w:cs="Times New Roman"/>
          <w:color w:val="000000"/>
          <w:sz w:val="24"/>
          <w:szCs w:val="24"/>
          <w:vertAlign w:val="subscript"/>
        </w:rPr>
        <w:t xml:space="preserve"> </w:t>
      </w:r>
      <w:r w:rsidRPr="0052671A">
        <w:rPr>
          <w:rFonts w:ascii="Times New Roman" w:hAnsi="Times New Roman" w:cs="Times New Roman"/>
          <w:color w:val="000000"/>
          <w:sz w:val="24"/>
          <w:szCs w:val="24"/>
        </w:rPr>
        <w:t>= g</w:t>
      </w:r>
      <w:r w:rsidR="007760D0" w:rsidRPr="0052671A">
        <w:rPr>
          <w:rFonts w:ascii="Times New Roman" w:hAnsi="Times New Roman" w:cs="Times New Roman"/>
          <w:color w:val="000000"/>
          <w:sz w:val="24"/>
          <w:szCs w:val="24"/>
        </w:rPr>
        <w:t>8</w:t>
      </w:r>
      <w:r w:rsidRPr="0052671A">
        <w:rPr>
          <w:rFonts w:ascii="Times New Roman" w:hAnsi="Times New Roman" w:cs="Times New Roman"/>
          <w:color w:val="000000"/>
          <w:sz w:val="24"/>
          <w:szCs w:val="24"/>
          <w:vertAlign w:val="subscript"/>
        </w:rPr>
        <w:t>0</w:t>
      </w:r>
      <w:r w:rsidRPr="0052671A">
        <w:rPr>
          <w:rFonts w:ascii="Times New Roman" w:hAnsi="Times New Roman" w:cs="Times New Roman"/>
          <w:color w:val="000000"/>
          <w:sz w:val="24"/>
          <w:szCs w:val="24"/>
        </w:rPr>
        <w:t xml:space="preserve"> + u9.</w:t>
      </w:r>
      <w:r w:rsidRPr="0052671A">
        <w:rPr>
          <w:rFonts w:ascii="Times New Roman" w:hAnsi="Times New Roman" w:cs="Times New Roman"/>
          <w:color w:val="000000"/>
          <w:sz w:val="24"/>
          <w:szCs w:val="24"/>
          <w:vertAlign w:val="subscript"/>
        </w:rPr>
        <w:t>j</w:t>
      </w:r>
    </w:p>
    <w:p w14:paraId="1D7FE406" w14:textId="77777777" w:rsidR="00E71756" w:rsidRPr="0052671A" w:rsidRDefault="00E71756" w:rsidP="00E71756">
      <w:pPr>
        <w:pStyle w:val="HTMLconformatoprevio"/>
        <w:rPr>
          <w:rFonts w:ascii="Times New Roman" w:hAnsi="Times New Roman" w:cs="Times New Roman"/>
          <w:color w:val="000000"/>
          <w:sz w:val="24"/>
          <w:szCs w:val="24"/>
          <w:vertAlign w:val="subscript"/>
        </w:rPr>
      </w:pPr>
      <w:r w:rsidRPr="0052671A">
        <w:rPr>
          <w:rFonts w:ascii="Times New Roman" w:hAnsi="Times New Roman" w:cs="Times New Roman"/>
          <w:color w:val="000000"/>
          <w:sz w:val="24"/>
          <w:szCs w:val="24"/>
        </w:rPr>
        <w:t>b9</w:t>
      </w:r>
      <w:r w:rsidR="0052671A" w:rsidRPr="0052671A">
        <w:rPr>
          <w:rFonts w:ascii="Times New Roman" w:hAnsi="Times New Roman" w:cs="Times New Roman"/>
          <w:color w:val="000000"/>
          <w:sz w:val="24"/>
          <w:szCs w:val="24"/>
          <w:vertAlign w:val="subscript"/>
        </w:rPr>
        <w:t>j</w:t>
      </w:r>
      <w:r w:rsidRPr="0052671A">
        <w:rPr>
          <w:rFonts w:ascii="Times New Roman" w:hAnsi="Times New Roman" w:cs="Times New Roman"/>
          <w:color w:val="000000"/>
          <w:sz w:val="24"/>
          <w:szCs w:val="24"/>
          <w:vertAlign w:val="subscript"/>
        </w:rPr>
        <w:t xml:space="preserve"> </w:t>
      </w:r>
      <w:r w:rsidRPr="0052671A">
        <w:rPr>
          <w:rFonts w:ascii="Times New Roman" w:hAnsi="Times New Roman" w:cs="Times New Roman"/>
          <w:color w:val="000000"/>
          <w:sz w:val="24"/>
          <w:szCs w:val="24"/>
        </w:rPr>
        <w:t>= g</w:t>
      </w:r>
      <w:r w:rsidR="007760D0" w:rsidRPr="0052671A">
        <w:rPr>
          <w:rFonts w:ascii="Times New Roman" w:hAnsi="Times New Roman" w:cs="Times New Roman"/>
          <w:color w:val="000000"/>
          <w:sz w:val="24"/>
          <w:szCs w:val="24"/>
        </w:rPr>
        <w:t>9</w:t>
      </w:r>
      <w:r w:rsidRPr="0052671A">
        <w:rPr>
          <w:rFonts w:ascii="Times New Roman" w:hAnsi="Times New Roman" w:cs="Times New Roman"/>
          <w:color w:val="000000"/>
          <w:sz w:val="24"/>
          <w:szCs w:val="24"/>
          <w:vertAlign w:val="subscript"/>
        </w:rPr>
        <w:t>0</w:t>
      </w:r>
      <w:r w:rsidRPr="0052671A">
        <w:rPr>
          <w:rFonts w:ascii="Times New Roman" w:hAnsi="Times New Roman" w:cs="Times New Roman"/>
          <w:color w:val="000000"/>
          <w:sz w:val="24"/>
          <w:szCs w:val="24"/>
        </w:rPr>
        <w:t xml:space="preserve"> + u10.</w:t>
      </w:r>
      <w:r w:rsidRPr="0052671A">
        <w:rPr>
          <w:rFonts w:ascii="Times New Roman" w:hAnsi="Times New Roman" w:cs="Times New Roman"/>
          <w:color w:val="000000"/>
          <w:sz w:val="24"/>
          <w:szCs w:val="24"/>
          <w:vertAlign w:val="subscript"/>
        </w:rPr>
        <w:t>j</w:t>
      </w:r>
    </w:p>
    <w:p w14:paraId="4E5B8AA7" w14:textId="77777777" w:rsidR="00E71756" w:rsidRPr="003E079F" w:rsidRDefault="00E71756" w:rsidP="00E71756">
      <w:pPr>
        <w:pStyle w:val="HTMLconformatoprevio"/>
        <w:rPr>
          <w:rFonts w:ascii="Times New Roman" w:hAnsi="Times New Roman" w:cs="Times New Roman"/>
          <w:color w:val="000000"/>
          <w:sz w:val="24"/>
          <w:szCs w:val="24"/>
          <w:vertAlign w:val="subscript"/>
        </w:rPr>
      </w:pPr>
      <w:r w:rsidRPr="003E079F">
        <w:rPr>
          <w:rFonts w:ascii="Times New Roman" w:hAnsi="Times New Roman" w:cs="Times New Roman"/>
          <w:color w:val="000000"/>
          <w:sz w:val="24"/>
          <w:szCs w:val="24"/>
        </w:rPr>
        <w:t>b10</w:t>
      </w:r>
      <w:r w:rsidR="0052671A">
        <w:rPr>
          <w:rFonts w:ascii="Times New Roman" w:hAnsi="Times New Roman" w:cs="Times New Roman"/>
          <w:color w:val="000000"/>
          <w:sz w:val="24"/>
          <w:szCs w:val="24"/>
          <w:vertAlign w:val="subscript"/>
        </w:rPr>
        <w:t>j</w:t>
      </w:r>
      <w:r w:rsidRPr="003E079F">
        <w:rPr>
          <w:rFonts w:ascii="Times New Roman" w:hAnsi="Times New Roman" w:cs="Times New Roman"/>
          <w:color w:val="000000"/>
          <w:sz w:val="24"/>
          <w:szCs w:val="24"/>
          <w:vertAlign w:val="subscript"/>
        </w:rPr>
        <w:t xml:space="preserve"> </w:t>
      </w:r>
      <w:r w:rsidRPr="003E079F">
        <w:rPr>
          <w:rFonts w:ascii="Times New Roman" w:hAnsi="Times New Roman" w:cs="Times New Roman"/>
          <w:color w:val="000000"/>
          <w:sz w:val="24"/>
          <w:szCs w:val="24"/>
        </w:rPr>
        <w:t>= g</w:t>
      </w:r>
      <w:r w:rsidR="007760D0" w:rsidRPr="003E079F">
        <w:rPr>
          <w:rFonts w:ascii="Times New Roman" w:hAnsi="Times New Roman" w:cs="Times New Roman"/>
          <w:color w:val="000000"/>
          <w:sz w:val="24"/>
          <w:szCs w:val="24"/>
        </w:rPr>
        <w:t>10</w:t>
      </w:r>
      <w:r w:rsidRPr="003E079F">
        <w:rPr>
          <w:rFonts w:ascii="Times New Roman" w:hAnsi="Times New Roman" w:cs="Times New Roman"/>
          <w:color w:val="000000"/>
          <w:sz w:val="24"/>
          <w:szCs w:val="24"/>
          <w:vertAlign w:val="subscript"/>
        </w:rPr>
        <w:t>0</w:t>
      </w:r>
      <w:r w:rsidRPr="003E079F">
        <w:rPr>
          <w:rFonts w:ascii="Times New Roman" w:hAnsi="Times New Roman" w:cs="Times New Roman"/>
          <w:color w:val="000000"/>
          <w:sz w:val="24"/>
          <w:szCs w:val="24"/>
        </w:rPr>
        <w:t xml:space="preserve"> + u11.</w:t>
      </w:r>
      <w:r w:rsidRPr="003E079F">
        <w:rPr>
          <w:rFonts w:ascii="Times New Roman" w:hAnsi="Times New Roman" w:cs="Times New Roman"/>
          <w:color w:val="000000"/>
          <w:sz w:val="24"/>
          <w:szCs w:val="24"/>
          <w:vertAlign w:val="subscript"/>
        </w:rPr>
        <w:t>j</w:t>
      </w:r>
    </w:p>
    <w:p w14:paraId="28E305A8" w14:textId="77777777" w:rsidR="00E71756" w:rsidRPr="003E079F" w:rsidRDefault="00E71756" w:rsidP="00E71756">
      <w:pPr>
        <w:pStyle w:val="HTMLconformatoprevio"/>
        <w:rPr>
          <w:rFonts w:ascii="Times New Roman" w:hAnsi="Times New Roman" w:cs="Times New Roman"/>
          <w:color w:val="000000"/>
          <w:sz w:val="24"/>
          <w:szCs w:val="24"/>
        </w:rPr>
      </w:pPr>
      <w:r w:rsidRPr="003E079F">
        <w:rPr>
          <w:rFonts w:ascii="Times New Roman" w:hAnsi="Times New Roman" w:cs="Times New Roman"/>
          <w:color w:val="000000"/>
          <w:sz w:val="24"/>
          <w:szCs w:val="24"/>
        </w:rPr>
        <w:t>b11</w:t>
      </w:r>
      <w:r w:rsidR="0052671A">
        <w:rPr>
          <w:rFonts w:ascii="Times New Roman" w:hAnsi="Times New Roman" w:cs="Times New Roman"/>
          <w:color w:val="000000"/>
          <w:sz w:val="24"/>
          <w:szCs w:val="24"/>
          <w:vertAlign w:val="subscript"/>
        </w:rPr>
        <w:t>j</w:t>
      </w:r>
      <w:r w:rsidRPr="003E079F">
        <w:rPr>
          <w:rFonts w:ascii="Times New Roman" w:hAnsi="Times New Roman" w:cs="Times New Roman"/>
          <w:color w:val="000000"/>
          <w:sz w:val="24"/>
          <w:szCs w:val="24"/>
          <w:vertAlign w:val="subscript"/>
        </w:rPr>
        <w:t xml:space="preserve"> </w:t>
      </w:r>
      <w:r w:rsidRPr="003E079F">
        <w:rPr>
          <w:rFonts w:ascii="Times New Roman" w:hAnsi="Times New Roman" w:cs="Times New Roman"/>
          <w:color w:val="000000"/>
          <w:sz w:val="24"/>
          <w:szCs w:val="24"/>
        </w:rPr>
        <w:t>= g</w:t>
      </w:r>
      <w:r w:rsidR="007760D0" w:rsidRPr="003E079F">
        <w:rPr>
          <w:rFonts w:ascii="Times New Roman" w:hAnsi="Times New Roman" w:cs="Times New Roman"/>
          <w:color w:val="000000"/>
          <w:sz w:val="24"/>
          <w:szCs w:val="24"/>
        </w:rPr>
        <w:t>11</w:t>
      </w:r>
      <w:r w:rsidRPr="003E079F">
        <w:rPr>
          <w:rFonts w:ascii="Times New Roman" w:hAnsi="Times New Roman" w:cs="Times New Roman"/>
          <w:color w:val="000000"/>
          <w:sz w:val="24"/>
          <w:szCs w:val="24"/>
          <w:vertAlign w:val="subscript"/>
        </w:rPr>
        <w:t>0</w:t>
      </w:r>
      <w:r w:rsidRPr="003E079F">
        <w:rPr>
          <w:rFonts w:ascii="Times New Roman" w:hAnsi="Times New Roman" w:cs="Times New Roman"/>
          <w:color w:val="000000"/>
          <w:sz w:val="24"/>
          <w:szCs w:val="24"/>
        </w:rPr>
        <w:t xml:space="preserve"> + u12.</w:t>
      </w:r>
      <w:r w:rsidRPr="003E079F">
        <w:rPr>
          <w:rFonts w:ascii="Times New Roman" w:hAnsi="Times New Roman" w:cs="Times New Roman"/>
          <w:color w:val="000000"/>
          <w:sz w:val="24"/>
          <w:szCs w:val="24"/>
          <w:vertAlign w:val="subscript"/>
        </w:rPr>
        <w:t>j</w:t>
      </w:r>
    </w:p>
    <w:p w14:paraId="285CC178" w14:textId="77777777" w:rsidR="00E71756" w:rsidRDefault="00E71756" w:rsidP="00E71756">
      <w:pPr>
        <w:pStyle w:val="HTMLconformatoprevio"/>
        <w:rPr>
          <w:rFonts w:ascii="Times New Roman" w:hAnsi="Times New Roman" w:cs="Times New Roman"/>
          <w:color w:val="000000"/>
          <w:sz w:val="24"/>
          <w:szCs w:val="24"/>
        </w:rPr>
      </w:pPr>
    </w:p>
    <w:p w14:paraId="704B7B51" w14:textId="77777777" w:rsidR="00243294" w:rsidRDefault="00243294" w:rsidP="00E71756">
      <w:pPr>
        <w:pStyle w:val="HTMLconformatoprevio"/>
        <w:rPr>
          <w:rFonts w:ascii="Times New Roman" w:hAnsi="Times New Roman" w:cs="Times New Roman"/>
          <w:color w:val="000000"/>
          <w:sz w:val="24"/>
          <w:szCs w:val="24"/>
        </w:rPr>
      </w:pPr>
    </w:p>
    <w:p w14:paraId="0976DE5B" w14:textId="77777777" w:rsidR="00E71756" w:rsidRPr="003E079F" w:rsidRDefault="000323CC" w:rsidP="00E71756">
      <w:pPr>
        <w:pStyle w:val="HTMLconformatoprevio"/>
        <w:ind w:left="709"/>
        <w:rPr>
          <w:rFonts w:ascii="Times New Roman" w:hAnsi="Times New Roman" w:cs="Times New Roman"/>
          <w:color w:val="000000"/>
          <w:sz w:val="24"/>
          <w:szCs w:val="24"/>
          <w:u w:val="single"/>
        </w:rPr>
      </w:pPr>
      <w:r w:rsidRPr="003E079F">
        <w:rPr>
          <w:rFonts w:ascii="Times New Roman" w:hAnsi="Times New Roman" w:cs="Times New Roman"/>
          <w:color w:val="000000"/>
          <w:sz w:val="24"/>
          <w:szCs w:val="24"/>
          <w:u w:val="single"/>
        </w:rPr>
        <w:t>Especificaciones compuesta</w:t>
      </w:r>
      <w:r w:rsidR="00E71756" w:rsidRPr="003E079F">
        <w:rPr>
          <w:rFonts w:ascii="Times New Roman" w:hAnsi="Times New Roman" w:cs="Times New Roman"/>
          <w:color w:val="000000"/>
          <w:sz w:val="24"/>
          <w:szCs w:val="24"/>
          <w:u w:val="single"/>
        </w:rPr>
        <w:t>s</w:t>
      </w:r>
    </w:p>
    <w:p w14:paraId="303D00A8" w14:textId="77777777" w:rsidR="00E71756" w:rsidRPr="003E079F" w:rsidRDefault="00E71756" w:rsidP="00213A10">
      <w:pPr>
        <w:pStyle w:val="HTMLconformatoprevio"/>
        <w:rPr>
          <w:color w:val="000000"/>
        </w:rPr>
      </w:pPr>
    </w:p>
    <w:p w14:paraId="2F4EFE54" w14:textId="77777777" w:rsidR="000323CC" w:rsidRPr="003E079F" w:rsidRDefault="000323CC" w:rsidP="00213A10">
      <w:pPr>
        <w:pStyle w:val="HTMLconformatoprevio"/>
        <w:rPr>
          <w:color w:val="000000"/>
        </w:rPr>
      </w:pPr>
    </w:p>
    <w:p w14:paraId="047FB96E" w14:textId="00CFE7CF" w:rsidR="007760D0" w:rsidRPr="005E23EB" w:rsidRDefault="007760D0" w:rsidP="002570EB">
      <w:pPr>
        <w:pStyle w:val="HTMLconformatoprevio"/>
        <w:ind w:left="1134" w:hanging="1134"/>
        <w:jc w:val="both"/>
        <w:rPr>
          <w:rFonts w:ascii="Times New Roman" w:hAnsi="Times New Roman" w:cs="Times New Roman"/>
          <w:color w:val="000000"/>
          <w:sz w:val="24"/>
          <w:szCs w:val="24"/>
          <w:vertAlign w:val="subscript"/>
        </w:rPr>
      </w:pPr>
      <w:proofErr w:type="spellStart"/>
      <w:proofErr w:type="gramStart"/>
      <w:r w:rsidRPr="005E23EB">
        <w:rPr>
          <w:rFonts w:ascii="Times New Roman" w:hAnsi="Times New Roman" w:cs="Times New Roman"/>
          <w:i/>
          <w:color w:val="000000"/>
          <w:sz w:val="24"/>
          <w:szCs w:val="24"/>
        </w:rPr>
        <w:t>montopc</w:t>
      </w:r>
      <w:r w:rsidRPr="005E23EB">
        <w:rPr>
          <w:rFonts w:ascii="Times New Roman" w:hAnsi="Times New Roman" w:cs="Times New Roman"/>
          <w:color w:val="000000"/>
          <w:sz w:val="24"/>
          <w:szCs w:val="24"/>
          <w:vertAlign w:val="subscript"/>
        </w:rPr>
        <w:t>ij</w:t>
      </w:r>
      <w:proofErr w:type="spellEnd"/>
      <w:proofErr w:type="gramEnd"/>
      <w:r w:rsidRPr="005E23EB">
        <w:rPr>
          <w:rFonts w:ascii="Times New Roman" w:hAnsi="Times New Roman" w:cs="Times New Roman"/>
          <w:color w:val="000000"/>
          <w:sz w:val="24"/>
          <w:szCs w:val="24"/>
          <w:vertAlign w:val="subscript"/>
        </w:rPr>
        <w:t xml:space="preserve"> </w:t>
      </w:r>
      <w:r w:rsidRPr="005E23EB">
        <w:rPr>
          <w:rFonts w:ascii="Times New Roman" w:hAnsi="Times New Roman" w:cs="Times New Roman"/>
          <w:color w:val="000000"/>
          <w:sz w:val="24"/>
          <w:szCs w:val="24"/>
        </w:rPr>
        <w:t>=</w:t>
      </w:r>
      <w:r w:rsidR="0096687D">
        <w:rPr>
          <w:rFonts w:ascii="Times New Roman" w:hAnsi="Times New Roman" w:cs="Times New Roman"/>
          <w:color w:val="000000"/>
          <w:sz w:val="24"/>
          <w:szCs w:val="24"/>
        </w:rPr>
        <w:t xml:space="preserve"> </w:t>
      </w:r>
      <w:r w:rsidRPr="005E23EB">
        <w:rPr>
          <w:rFonts w:ascii="Times New Roman" w:hAnsi="Times New Roman" w:cs="Times New Roman"/>
          <w:color w:val="000000"/>
          <w:sz w:val="24"/>
          <w:szCs w:val="24"/>
        </w:rPr>
        <w:t>g0</w:t>
      </w:r>
      <w:r w:rsidRPr="005E23EB">
        <w:rPr>
          <w:rFonts w:ascii="Times New Roman" w:hAnsi="Times New Roman" w:cs="Times New Roman"/>
          <w:color w:val="000000"/>
          <w:sz w:val="24"/>
          <w:szCs w:val="24"/>
          <w:vertAlign w:val="subscript"/>
        </w:rPr>
        <w:t>0</w:t>
      </w:r>
      <w:r w:rsidRPr="005E23EB">
        <w:rPr>
          <w:rFonts w:ascii="Times New Roman" w:hAnsi="Times New Roman" w:cs="Times New Roman"/>
          <w:color w:val="000000"/>
          <w:sz w:val="24"/>
          <w:szCs w:val="24"/>
        </w:rPr>
        <w:t xml:space="preserve"> + u1.</w:t>
      </w:r>
      <w:r w:rsidRPr="005E23EB">
        <w:rPr>
          <w:rFonts w:ascii="Times New Roman" w:hAnsi="Times New Roman" w:cs="Times New Roman"/>
          <w:color w:val="000000"/>
          <w:sz w:val="24"/>
          <w:szCs w:val="24"/>
          <w:vertAlign w:val="subscript"/>
        </w:rPr>
        <w:t>j</w:t>
      </w:r>
      <w:r w:rsidR="0096687D">
        <w:rPr>
          <w:rFonts w:ascii="Times New Roman" w:hAnsi="Times New Roman" w:cs="Times New Roman"/>
          <w:color w:val="000000"/>
          <w:sz w:val="24"/>
          <w:szCs w:val="24"/>
          <w:vertAlign w:val="subscript"/>
        </w:rPr>
        <w:t xml:space="preserve"> </w:t>
      </w:r>
      <w:r w:rsidRPr="005E23EB">
        <w:rPr>
          <w:rFonts w:ascii="Times New Roman" w:hAnsi="Times New Roman" w:cs="Times New Roman"/>
          <w:color w:val="000000"/>
          <w:sz w:val="24"/>
          <w:szCs w:val="24"/>
        </w:rPr>
        <w:t>+ (g1</w:t>
      </w:r>
      <w:r w:rsidRPr="005E23EB">
        <w:rPr>
          <w:rFonts w:ascii="Times New Roman" w:hAnsi="Times New Roman" w:cs="Times New Roman"/>
          <w:color w:val="000000"/>
          <w:sz w:val="24"/>
          <w:szCs w:val="24"/>
          <w:vertAlign w:val="subscript"/>
        </w:rPr>
        <w:t>0</w:t>
      </w:r>
      <w:r w:rsidRPr="005E23EB">
        <w:rPr>
          <w:rFonts w:ascii="Times New Roman" w:hAnsi="Times New Roman" w:cs="Times New Roman"/>
          <w:color w:val="000000"/>
          <w:sz w:val="24"/>
          <w:szCs w:val="24"/>
        </w:rPr>
        <w:t xml:space="preserve"> + u2.</w:t>
      </w:r>
      <w:r w:rsidRPr="005E23EB">
        <w:rPr>
          <w:rFonts w:ascii="Times New Roman" w:hAnsi="Times New Roman" w:cs="Times New Roman"/>
          <w:color w:val="000000"/>
          <w:sz w:val="24"/>
          <w:szCs w:val="24"/>
          <w:vertAlign w:val="subscript"/>
        </w:rPr>
        <w:t>j</w:t>
      </w:r>
      <w:r w:rsidRPr="005E23EB">
        <w:rPr>
          <w:rFonts w:ascii="Times New Roman" w:hAnsi="Times New Roman" w:cs="Times New Roman"/>
          <w:color w:val="000000"/>
          <w:sz w:val="24"/>
          <w:szCs w:val="24"/>
        </w:rPr>
        <w:t>)*</w:t>
      </w:r>
      <w:proofErr w:type="spellStart"/>
      <w:r w:rsidRPr="005E23EB">
        <w:rPr>
          <w:rFonts w:ascii="Times New Roman" w:hAnsi="Times New Roman" w:cs="Times New Roman"/>
          <w:i/>
          <w:color w:val="000000"/>
          <w:sz w:val="24"/>
          <w:szCs w:val="24"/>
        </w:rPr>
        <w:t>margen</w:t>
      </w:r>
      <w:r w:rsidRPr="005E23EB">
        <w:rPr>
          <w:rFonts w:ascii="Times New Roman" w:hAnsi="Times New Roman" w:cs="Times New Roman"/>
          <w:color w:val="000000"/>
          <w:sz w:val="24"/>
          <w:szCs w:val="24"/>
        </w:rPr>
        <w:t>.</w:t>
      </w:r>
      <w:r w:rsidRPr="005E23EB">
        <w:rPr>
          <w:rFonts w:ascii="Times New Roman" w:hAnsi="Times New Roman" w:cs="Times New Roman"/>
          <w:color w:val="000000"/>
          <w:sz w:val="24"/>
          <w:szCs w:val="24"/>
          <w:vertAlign w:val="subscript"/>
        </w:rPr>
        <w:t>j</w:t>
      </w:r>
      <w:proofErr w:type="spellEnd"/>
      <w:r w:rsidRPr="005E23EB">
        <w:rPr>
          <w:rFonts w:ascii="Times New Roman" w:hAnsi="Times New Roman" w:cs="Times New Roman"/>
          <w:color w:val="000000"/>
          <w:sz w:val="24"/>
          <w:szCs w:val="24"/>
        </w:rPr>
        <w:t xml:space="preserve"> + (g2</w:t>
      </w:r>
      <w:r w:rsidRPr="005E23EB">
        <w:rPr>
          <w:rFonts w:ascii="Times New Roman" w:hAnsi="Times New Roman" w:cs="Times New Roman"/>
          <w:color w:val="000000"/>
          <w:sz w:val="24"/>
          <w:szCs w:val="24"/>
          <w:vertAlign w:val="subscript"/>
        </w:rPr>
        <w:t>0</w:t>
      </w:r>
      <w:r w:rsidRPr="005E23EB">
        <w:rPr>
          <w:rFonts w:ascii="Times New Roman" w:hAnsi="Times New Roman" w:cs="Times New Roman"/>
          <w:color w:val="000000"/>
          <w:sz w:val="24"/>
          <w:szCs w:val="24"/>
        </w:rPr>
        <w:t xml:space="preserve"> + u3.</w:t>
      </w:r>
      <w:r w:rsidRPr="005E23EB">
        <w:rPr>
          <w:rFonts w:ascii="Times New Roman" w:hAnsi="Times New Roman" w:cs="Times New Roman"/>
          <w:color w:val="000000"/>
          <w:sz w:val="24"/>
          <w:szCs w:val="24"/>
          <w:vertAlign w:val="subscript"/>
        </w:rPr>
        <w:t>j</w:t>
      </w:r>
      <w:r w:rsidRPr="005E23EB">
        <w:rPr>
          <w:rFonts w:ascii="Times New Roman" w:hAnsi="Times New Roman" w:cs="Times New Roman"/>
          <w:color w:val="000000"/>
          <w:sz w:val="24"/>
          <w:szCs w:val="24"/>
        </w:rPr>
        <w:t>)*</w:t>
      </w:r>
      <w:proofErr w:type="spellStart"/>
      <w:r w:rsidRPr="005E23EB">
        <w:rPr>
          <w:rFonts w:ascii="Times New Roman" w:hAnsi="Times New Roman" w:cs="Times New Roman"/>
          <w:i/>
          <w:color w:val="000000"/>
          <w:sz w:val="24"/>
          <w:szCs w:val="24"/>
        </w:rPr>
        <w:t>mismo</w:t>
      </w:r>
      <w:r w:rsidRPr="005E23EB">
        <w:rPr>
          <w:rFonts w:ascii="Times New Roman" w:hAnsi="Times New Roman" w:cs="Times New Roman"/>
          <w:color w:val="000000"/>
          <w:sz w:val="24"/>
          <w:szCs w:val="24"/>
        </w:rPr>
        <w:t>.</w:t>
      </w:r>
      <w:r w:rsidRPr="005E23EB">
        <w:rPr>
          <w:rFonts w:ascii="Times New Roman" w:hAnsi="Times New Roman" w:cs="Times New Roman"/>
          <w:color w:val="000000"/>
          <w:sz w:val="24"/>
          <w:szCs w:val="24"/>
          <w:vertAlign w:val="subscript"/>
        </w:rPr>
        <w:t>j</w:t>
      </w:r>
      <w:proofErr w:type="spellEnd"/>
      <w:r w:rsidRPr="005E23EB">
        <w:rPr>
          <w:rFonts w:ascii="Times New Roman" w:hAnsi="Times New Roman" w:cs="Times New Roman"/>
          <w:color w:val="000000"/>
          <w:sz w:val="24"/>
          <w:szCs w:val="24"/>
        </w:rPr>
        <w:t xml:space="preserve"> + (g3</w:t>
      </w:r>
      <w:r w:rsidRPr="005E23EB">
        <w:rPr>
          <w:rFonts w:ascii="Times New Roman" w:hAnsi="Times New Roman" w:cs="Times New Roman"/>
          <w:color w:val="000000"/>
          <w:sz w:val="24"/>
          <w:szCs w:val="24"/>
          <w:vertAlign w:val="subscript"/>
        </w:rPr>
        <w:t>0</w:t>
      </w:r>
      <w:r w:rsidRPr="005E23EB">
        <w:rPr>
          <w:rFonts w:ascii="Times New Roman" w:hAnsi="Times New Roman" w:cs="Times New Roman"/>
          <w:color w:val="000000"/>
          <w:sz w:val="24"/>
          <w:szCs w:val="24"/>
        </w:rPr>
        <w:t xml:space="preserve"> + u4.</w:t>
      </w:r>
      <w:r w:rsidRPr="005E23EB">
        <w:rPr>
          <w:rFonts w:ascii="Times New Roman" w:hAnsi="Times New Roman" w:cs="Times New Roman"/>
          <w:color w:val="000000"/>
          <w:sz w:val="24"/>
          <w:szCs w:val="24"/>
          <w:vertAlign w:val="subscript"/>
        </w:rPr>
        <w:t>j</w:t>
      </w:r>
      <w:r w:rsidRPr="005E23EB">
        <w:rPr>
          <w:rFonts w:ascii="Times New Roman" w:hAnsi="Times New Roman" w:cs="Times New Roman"/>
          <w:color w:val="000000"/>
          <w:sz w:val="24"/>
          <w:szCs w:val="24"/>
        </w:rPr>
        <w:t>)*</w:t>
      </w:r>
      <w:proofErr w:type="spellStart"/>
      <w:r w:rsidR="004719DA">
        <w:rPr>
          <w:rFonts w:ascii="Times New Roman" w:hAnsi="Times New Roman" w:cs="Times New Roman"/>
          <w:i/>
          <w:color w:val="000000"/>
          <w:sz w:val="24"/>
          <w:szCs w:val="24"/>
        </w:rPr>
        <w:t>IDH</w:t>
      </w:r>
      <w:r w:rsidRPr="005E23EB">
        <w:rPr>
          <w:rFonts w:ascii="Times New Roman" w:hAnsi="Times New Roman" w:cs="Times New Roman"/>
          <w:color w:val="000000"/>
          <w:sz w:val="24"/>
          <w:szCs w:val="24"/>
        </w:rPr>
        <w:t>.</w:t>
      </w:r>
      <w:r w:rsidRPr="005E23EB">
        <w:rPr>
          <w:rFonts w:ascii="Times New Roman" w:hAnsi="Times New Roman" w:cs="Times New Roman"/>
          <w:color w:val="000000"/>
          <w:sz w:val="24"/>
          <w:szCs w:val="24"/>
          <w:vertAlign w:val="subscript"/>
        </w:rPr>
        <w:t>j</w:t>
      </w:r>
      <w:proofErr w:type="spellEnd"/>
      <w:r w:rsidRPr="005E23EB">
        <w:rPr>
          <w:rFonts w:ascii="Times New Roman" w:hAnsi="Times New Roman" w:cs="Times New Roman"/>
          <w:color w:val="000000"/>
          <w:sz w:val="24"/>
          <w:szCs w:val="24"/>
        </w:rPr>
        <w:t xml:space="preserve"> + (g4</w:t>
      </w:r>
      <w:r w:rsidRPr="005E23EB">
        <w:rPr>
          <w:rFonts w:ascii="Times New Roman" w:hAnsi="Times New Roman" w:cs="Times New Roman"/>
          <w:color w:val="000000"/>
          <w:sz w:val="24"/>
          <w:szCs w:val="24"/>
          <w:vertAlign w:val="subscript"/>
        </w:rPr>
        <w:t>0</w:t>
      </w:r>
      <w:r w:rsidRPr="005E23EB">
        <w:rPr>
          <w:rFonts w:ascii="Times New Roman" w:hAnsi="Times New Roman" w:cs="Times New Roman"/>
          <w:color w:val="000000"/>
          <w:sz w:val="24"/>
          <w:szCs w:val="24"/>
        </w:rPr>
        <w:t xml:space="preserve"> + u5.</w:t>
      </w:r>
      <w:r w:rsidRPr="005E23EB">
        <w:rPr>
          <w:rFonts w:ascii="Times New Roman" w:hAnsi="Times New Roman" w:cs="Times New Roman"/>
          <w:color w:val="000000"/>
          <w:sz w:val="24"/>
          <w:szCs w:val="24"/>
          <w:vertAlign w:val="subscript"/>
        </w:rPr>
        <w:t>j</w:t>
      </w:r>
      <w:r w:rsidRPr="005E23EB">
        <w:rPr>
          <w:rFonts w:ascii="Times New Roman" w:hAnsi="Times New Roman" w:cs="Times New Roman"/>
          <w:color w:val="000000"/>
          <w:sz w:val="24"/>
          <w:szCs w:val="24"/>
        </w:rPr>
        <w:t>)*</w:t>
      </w:r>
      <w:proofErr w:type="spellStart"/>
      <w:r w:rsidRPr="005E23EB">
        <w:rPr>
          <w:rFonts w:ascii="Times New Roman" w:hAnsi="Times New Roman" w:cs="Times New Roman"/>
          <w:i/>
          <w:color w:val="000000"/>
          <w:sz w:val="24"/>
          <w:szCs w:val="24"/>
        </w:rPr>
        <w:t>cambio</w:t>
      </w:r>
      <w:r w:rsidRPr="005E23EB">
        <w:rPr>
          <w:rFonts w:ascii="Times New Roman" w:hAnsi="Times New Roman" w:cs="Times New Roman"/>
          <w:color w:val="000000"/>
          <w:sz w:val="24"/>
          <w:szCs w:val="24"/>
        </w:rPr>
        <w:t>.</w:t>
      </w:r>
      <w:r w:rsidRPr="005E23EB">
        <w:rPr>
          <w:rFonts w:ascii="Times New Roman" w:hAnsi="Times New Roman" w:cs="Times New Roman"/>
          <w:color w:val="000000"/>
          <w:sz w:val="24"/>
          <w:szCs w:val="24"/>
          <w:vertAlign w:val="subscript"/>
        </w:rPr>
        <w:t>j</w:t>
      </w:r>
      <w:proofErr w:type="spellEnd"/>
      <w:r w:rsidRPr="005E23EB">
        <w:rPr>
          <w:rFonts w:ascii="Times New Roman" w:hAnsi="Times New Roman" w:cs="Times New Roman"/>
          <w:color w:val="000000"/>
          <w:sz w:val="24"/>
          <w:szCs w:val="24"/>
        </w:rPr>
        <w:t xml:space="preserve"> + (g5</w:t>
      </w:r>
      <w:r w:rsidRPr="005E23EB">
        <w:rPr>
          <w:rFonts w:ascii="Times New Roman" w:hAnsi="Times New Roman" w:cs="Times New Roman"/>
          <w:color w:val="000000"/>
          <w:sz w:val="24"/>
          <w:szCs w:val="24"/>
          <w:vertAlign w:val="subscript"/>
        </w:rPr>
        <w:t>0</w:t>
      </w:r>
      <w:r w:rsidRPr="005E23EB">
        <w:rPr>
          <w:rFonts w:ascii="Times New Roman" w:hAnsi="Times New Roman" w:cs="Times New Roman"/>
          <w:color w:val="000000"/>
          <w:sz w:val="24"/>
          <w:szCs w:val="24"/>
        </w:rPr>
        <w:t xml:space="preserve"> + u6.</w:t>
      </w:r>
      <w:r w:rsidRPr="005E23EB">
        <w:rPr>
          <w:rFonts w:ascii="Times New Roman" w:hAnsi="Times New Roman" w:cs="Times New Roman"/>
          <w:color w:val="000000"/>
          <w:sz w:val="24"/>
          <w:szCs w:val="24"/>
          <w:vertAlign w:val="subscript"/>
        </w:rPr>
        <w:t>j</w:t>
      </w:r>
      <w:r w:rsidRPr="005E23EB">
        <w:rPr>
          <w:rFonts w:ascii="Times New Roman" w:hAnsi="Times New Roman" w:cs="Times New Roman"/>
          <w:color w:val="000000"/>
          <w:sz w:val="24"/>
          <w:szCs w:val="24"/>
        </w:rPr>
        <w:t>)*</w:t>
      </w:r>
      <w:proofErr w:type="spellStart"/>
      <w:r w:rsidRPr="005E23EB">
        <w:rPr>
          <w:rFonts w:ascii="Times New Roman" w:hAnsi="Times New Roman" w:cs="Times New Roman"/>
          <w:i/>
          <w:color w:val="000000"/>
          <w:sz w:val="24"/>
          <w:szCs w:val="24"/>
        </w:rPr>
        <w:t>anio</w:t>
      </w:r>
      <w:r w:rsidRPr="005E23EB">
        <w:rPr>
          <w:rFonts w:ascii="Times New Roman" w:hAnsi="Times New Roman" w:cs="Times New Roman"/>
          <w:color w:val="000000"/>
          <w:sz w:val="24"/>
          <w:szCs w:val="24"/>
        </w:rPr>
        <w:t>.</w:t>
      </w:r>
      <w:r w:rsidRPr="005E23EB">
        <w:rPr>
          <w:rFonts w:ascii="Times New Roman" w:hAnsi="Times New Roman" w:cs="Times New Roman"/>
          <w:color w:val="000000"/>
          <w:sz w:val="24"/>
          <w:szCs w:val="24"/>
          <w:vertAlign w:val="subscript"/>
        </w:rPr>
        <w:t>ij</w:t>
      </w:r>
      <w:proofErr w:type="spellEnd"/>
      <w:r w:rsidRPr="005E23EB">
        <w:rPr>
          <w:rFonts w:ascii="Times New Roman" w:hAnsi="Times New Roman" w:cs="Times New Roman"/>
          <w:color w:val="000000"/>
          <w:sz w:val="24"/>
          <w:szCs w:val="24"/>
        </w:rPr>
        <w:t xml:space="preserve"> + (g6</w:t>
      </w:r>
      <w:r w:rsidRPr="005E23EB">
        <w:rPr>
          <w:rFonts w:ascii="Times New Roman" w:hAnsi="Times New Roman" w:cs="Times New Roman"/>
          <w:color w:val="000000"/>
          <w:sz w:val="24"/>
          <w:szCs w:val="24"/>
          <w:vertAlign w:val="subscript"/>
        </w:rPr>
        <w:t>0</w:t>
      </w:r>
      <w:r w:rsidRPr="005E23EB">
        <w:rPr>
          <w:rFonts w:ascii="Times New Roman" w:hAnsi="Times New Roman" w:cs="Times New Roman"/>
          <w:color w:val="000000"/>
          <w:sz w:val="24"/>
          <w:szCs w:val="24"/>
        </w:rPr>
        <w:t xml:space="preserve"> + u7.</w:t>
      </w:r>
      <w:r w:rsidRPr="005E23EB">
        <w:rPr>
          <w:rFonts w:ascii="Times New Roman" w:hAnsi="Times New Roman" w:cs="Times New Roman"/>
          <w:color w:val="000000"/>
          <w:sz w:val="24"/>
          <w:szCs w:val="24"/>
          <w:vertAlign w:val="subscript"/>
        </w:rPr>
        <w:t>j</w:t>
      </w:r>
      <w:r w:rsidRPr="005E23EB">
        <w:rPr>
          <w:rFonts w:ascii="Times New Roman" w:hAnsi="Times New Roman" w:cs="Times New Roman"/>
          <w:color w:val="000000"/>
          <w:sz w:val="24"/>
          <w:szCs w:val="24"/>
        </w:rPr>
        <w:t>)*</w:t>
      </w:r>
      <w:proofErr w:type="spellStart"/>
      <w:r w:rsidRPr="005E23EB">
        <w:rPr>
          <w:rFonts w:ascii="Times New Roman" w:hAnsi="Times New Roman" w:cs="Times New Roman"/>
          <w:i/>
          <w:color w:val="000000"/>
          <w:sz w:val="24"/>
          <w:szCs w:val="24"/>
        </w:rPr>
        <w:t>pobacion</w:t>
      </w:r>
      <w:r w:rsidRPr="005E23EB">
        <w:rPr>
          <w:rFonts w:ascii="Times New Roman" w:hAnsi="Times New Roman" w:cs="Times New Roman"/>
          <w:color w:val="000000"/>
          <w:sz w:val="24"/>
          <w:szCs w:val="24"/>
        </w:rPr>
        <w:t>.</w:t>
      </w:r>
      <w:r w:rsidRPr="005E23EB">
        <w:rPr>
          <w:rFonts w:ascii="Times New Roman" w:hAnsi="Times New Roman" w:cs="Times New Roman"/>
          <w:color w:val="000000"/>
          <w:sz w:val="24"/>
          <w:szCs w:val="24"/>
          <w:vertAlign w:val="subscript"/>
        </w:rPr>
        <w:t>j</w:t>
      </w:r>
      <w:proofErr w:type="spellEnd"/>
      <w:r w:rsidRPr="005E23EB">
        <w:rPr>
          <w:rFonts w:ascii="Times New Roman" w:hAnsi="Times New Roman" w:cs="Times New Roman"/>
          <w:color w:val="000000"/>
          <w:sz w:val="24"/>
          <w:szCs w:val="24"/>
        </w:rPr>
        <w:t xml:space="preserve"> + (g7</w:t>
      </w:r>
      <w:r w:rsidRPr="005E23EB">
        <w:rPr>
          <w:rFonts w:ascii="Times New Roman" w:hAnsi="Times New Roman" w:cs="Times New Roman"/>
          <w:color w:val="000000"/>
          <w:sz w:val="24"/>
          <w:szCs w:val="24"/>
          <w:vertAlign w:val="subscript"/>
        </w:rPr>
        <w:t>0</w:t>
      </w:r>
      <w:r w:rsidRPr="005E23EB">
        <w:rPr>
          <w:rFonts w:ascii="Times New Roman" w:hAnsi="Times New Roman" w:cs="Times New Roman"/>
          <w:color w:val="000000"/>
          <w:sz w:val="24"/>
          <w:szCs w:val="24"/>
        </w:rPr>
        <w:t xml:space="preserve"> + u8.</w:t>
      </w:r>
      <w:r w:rsidRPr="005E23EB">
        <w:rPr>
          <w:rFonts w:ascii="Times New Roman" w:hAnsi="Times New Roman" w:cs="Times New Roman"/>
          <w:color w:val="000000"/>
          <w:sz w:val="24"/>
          <w:szCs w:val="24"/>
          <w:vertAlign w:val="subscript"/>
        </w:rPr>
        <w:t>j</w:t>
      </w:r>
      <w:r w:rsidRPr="005E23EB">
        <w:rPr>
          <w:rFonts w:ascii="Times New Roman" w:hAnsi="Times New Roman" w:cs="Times New Roman"/>
          <w:color w:val="000000"/>
          <w:sz w:val="24"/>
          <w:szCs w:val="24"/>
        </w:rPr>
        <w:t>)*</w:t>
      </w:r>
      <w:proofErr w:type="spellStart"/>
      <w:r w:rsidR="00AD3B67">
        <w:rPr>
          <w:rFonts w:ascii="Times New Roman" w:hAnsi="Times New Roman" w:cs="Times New Roman"/>
          <w:i/>
          <w:color w:val="000000"/>
          <w:sz w:val="24"/>
          <w:szCs w:val="24"/>
        </w:rPr>
        <w:t>urbanizacion</w:t>
      </w:r>
      <w:r w:rsidRPr="005E23EB">
        <w:rPr>
          <w:rFonts w:ascii="Times New Roman" w:hAnsi="Times New Roman" w:cs="Times New Roman"/>
          <w:color w:val="000000"/>
          <w:sz w:val="24"/>
          <w:szCs w:val="24"/>
        </w:rPr>
        <w:t>.</w:t>
      </w:r>
      <w:r w:rsidRPr="005E23EB">
        <w:rPr>
          <w:rFonts w:ascii="Times New Roman" w:hAnsi="Times New Roman" w:cs="Times New Roman"/>
          <w:color w:val="000000"/>
          <w:sz w:val="24"/>
          <w:szCs w:val="24"/>
          <w:vertAlign w:val="subscript"/>
        </w:rPr>
        <w:t>j</w:t>
      </w:r>
      <w:proofErr w:type="spellEnd"/>
      <w:r w:rsidRPr="005E23EB">
        <w:rPr>
          <w:rFonts w:ascii="Times New Roman" w:hAnsi="Times New Roman" w:cs="Times New Roman"/>
          <w:color w:val="000000"/>
          <w:sz w:val="24"/>
          <w:szCs w:val="24"/>
        </w:rPr>
        <w:t xml:space="preserve"> + (g8</w:t>
      </w:r>
      <w:r w:rsidRPr="005E23EB">
        <w:rPr>
          <w:rFonts w:ascii="Times New Roman" w:hAnsi="Times New Roman" w:cs="Times New Roman"/>
          <w:color w:val="000000"/>
          <w:sz w:val="24"/>
          <w:szCs w:val="24"/>
          <w:vertAlign w:val="subscript"/>
        </w:rPr>
        <w:t>0</w:t>
      </w:r>
      <w:r w:rsidRPr="005E23EB">
        <w:rPr>
          <w:rFonts w:ascii="Times New Roman" w:hAnsi="Times New Roman" w:cs="Times New Roman"/>
          <w:color w:val="000000"/>
          <w:sz w:val="24"/>
          <w:szCs w:val="24"/>
        </w:rPr>
        <w:t xml:space="preserve"> + u9.</w:t>
      </w:r>
      <w:r w:rsidRPr="005E23EB">
        <w:rPr>
          <w:rFonts w:ascii="Times New Roman" w:hAnsi="Times New Roman" w:cs="Times New Roman"/>
          <w:color w:val="000000"/>
          <w:sz w:val="24"/>
          <w:szCs w:val="24"/>
          <w:vertAlign w:val="subscript"/>
        </w:rPr>
        <w:t>j</w:t>
      </w:r>
      <w:r w:rsidRPr="005E23EB">
        <w:rPr>
          <w:rFonts w:ascii="Times New Roman" w:hAnsi="Times New Roman" w:cs="Times New Roman"/>
          <w:color w:val="000000"/>
          <w:sz w:val="24"/>
          <w:szCs w:val="24"/>
        </w:rPr>
        <w:t>) *</w:t>
      </w:r>
      <w:proofErr w:type="spellStart"/>
      <w:r w:rsidRPr="005E23EB">
        <w:rPr>
          <w:rFonts w:ascii="Times New Roman" w:hAnsi="Times New Roman" w:cs="Times New Roman"/>
          <w:i/>
          <w:color w:val="000000"/>
          <w:sz w:val="24"/>
          <w:szCs w:val="24"/>
        </w:rPr>
        <w:t>anprevmun</w:t>
      </w:r>
      <w:r w:rsidRPr="005E23EB">
        <w:rPr>
          <w:rFonts w:ascii="Times New Roman" w:hAnsi="Times New Roman" w:cs="Times New Roman"/>
          <w:color w:val="000000"/>
          <w:sz w:val="24"/>
          <w:szCs w:val="24"/>
        </w:rPr>
        <w:t>.</w:t>
      </w:r>
      <w:r w:rsidRPr="005E23EB">
        <w:rPr>
          <w:rFonts w:ascii="Times New Roman" w:hAnsi="Times New Roman" w:cs="Times New Roman"/>
          <w:color w:val="000000"/>
          <w:sz w:val="24"/>
          <w:szCs w:val="24"/>
          <w:vertAlign w:val="subscript"/>
        </w:rPr>
        <w:t>ij</w:t>
      </w:r>
      <w:proofErr w:type="spellEnd"/>
      <w:r w:rsidR="0096687D">
        <w:rPr>
          <w:rFonts w:ascii="Times New Roman" w:hAnsi="Times New Roman" w:cs="Times New Roman"/>
          <w:color w:val="000000"/>
          <w:sz w:val="24"/>
          <w:szCs w:val="24"/>
        </w:rPr>
        <w:t xml:space="preserve"> </w:t>
      </w:r>
      <w:r w:rsidRPr="005E23EB">
        <w:rPr>
          <w:rFonts w:ascii="Times New Roman" w:hAnsi="Times New Roman" w:cs="Times New Roman"/>
          <w:color w:val="000000"/>
          <w:sz w:val="24"/>
          <w:szCs w:val="24"/>
        </w:rPr>
        <w:t>+ (g9</w:t>
      </w:r>
      <w:r w:rsidRPr="005E23EB">
        <w:rPr>
          <w:rFonts w:ascii="Times New Roman" w:hAnsi="Times New Roman" w:cs="Times New Roman"/>
          <w:color w:val="000000"/>
          <w:sz w:val="24"/>
          <w:szCs w:val="24"/>
          <w:vertAlign w:val="subscript"/>
        </w:rPr>
        <w:t>0</w:t>
      </w:r>
      <w:r w:rsidRPr="005E23EB">
        <w:rPr>
          <w:rFonts w:ascii="Times New Roman" w:hAnsi="Times New Roman" w:cs="Times New Roman"/>
          <w:color w:val="000000"/>
          <w:sz w:val="24"/>
          <w:szCs w:val="24"/>
        </w:rPr>
        <w:t xml:space="preserve"> + u10.</w:t>
      </w:r>
      <w:r w:rsidRPr="005E23EB">
        <w:rPr>
          <w:rFonts w:ascii="Times New Roman" w:hAnsi="Times New Roman" w:cs="Times New Roman"/>
          <w:color w:val="000000"/>
          <w:sz w:val="24"/>
          <w:szCs w:val="24"/>
          <w:vertAlign w:val="subscript"/>
        </w:rPr>
        <w:t>j</w:t>
      </w:r>
      <w:r w:rsidRPr="005E23EB">
        <w:rPr>
          <w:rFonts w:ascii="Times New Roman" w:hAnsi="Times New Roman" w:cs="Times New Roman"/>
          <w:color w:val="000000"/>
          <w:sz w:val="24"/>
          <w:szCs w:val="24"/>
        </w:rPr>
        <w:t>)*</w:t>
      </w:r>
      <w:proofErr w:type="spellStart"/>
      <w:r w:rsidRPr="005E23EB">
        <w:rPr>
          <w:rFonts w:ascii="Times New Roman" w:hAnsi="Times New Roman" w:cs="Times New Roman"/>
          <w:i/>
          <w:color w:val="000000"/>
          <w:sz w:val="24"/>
          <w:szCs w:val="24"/>
        </w:rPr>
        <w:t>anelectmun</w:t>
      </w:r>
      <w:r w:rsidRPr="005E23EB">
        <w:rPr>
          <w:rFonts w:ascii="Times New Roman" w:hAnsi="Times New Roman" w:cs="Times New Roman"/>
          <w:color w:val="000000"/>
          <w:sz w:val="24"/>
          <w:szCs w:val="24"/>
        </w:rPr>
        <w:t>.</w:t>
      </w:r>
      <w:r w:rsidRPr="005E23EB">
        <w:rPr>
          <w:rFonts w:ascii="Times New Roman" w:hAnsi="Times New Roman" w:cs="Times New Roman"/>
          <w:color w:val="000000"/>
          <w:sz w:val="24"/>
          <w:szCs w:val="24"/>
          <w:vertAlign w:val="subscript"/>
        </w:rPr>
        <w:t>ij</w:t>
      </w:r>
      <w:proofErr w:type="spellEnd"/>
      <w:r w:rsidRPr="005E23EB">
        <w:rPr>
          <w:rFonts w:ascii="Times New Roman" w:hAnsi="Times New Roman" w:cs="Times New Roman"/>
          <w:color w:val="000000"/>
          <w:sz w:val="24"/>
          <w:szCs w:val="24"/>
        </w:rPr>
        <w:t xml:space="preserve"> + (g10</w:t>
      </w:r>
      <w:r w:rsidRPr="005E23EB">
        <w:rPr>
          <w:rFonts w:ascii="Times New Roman" w:hAnsi="Times New Roman" w:cs="Times New Roman"/>
          <w:color w:val="000000"/>
          <w:sz w:val="24"/>
          <w:szCs w:val="24"/>
          <w:vertAlign w:val="subscript"/>
        </w:rPr>
        <w:t>0</w:t>
      </w:r>
      <w:r w:rsidRPr="005E23EB">
        <w:rPr>
          <w:rFonts w:ascii="Times New Roman" w:hAnsi="Times New Roman" w:cs="Times New Roman"/>
          <w:color w:val="000000"/>
          <w:sz w:val="24"/>
          <w:szCs w:val="24"/>
        </w:rPr>
        <w:t xml:space="preserve"> + u11.</w:t>
      </w:r>
      <w:r w:rsidRPr="005E23EB">
        <w:rPr>
          <w:rFonts w:ascii="Times New Roman" w:hAnsi="Times New Roman" w:cs="Times New Roman"/>
          <w:color w:val="000000"/>
          <w:sz w:val="24"/>
          <w:szCs w:val="24"/>
          <w:vertAlign w:val="subscript"/>
        </w:rPr>
        <w:t>j</w:t>
      </w:r>
      <w:r w:rsidRPr="005E23EB">
        <w:rPr>
          <w:rFonts w:ascii="Times New Roman" w:hAnsi="Times New Roman" w:cs="Times New Roman"/>
          <w:color w:val="000000"/>
          <w:sz w:val="24"/>
          <w:szCs w:val="24"/>
        </w:rPr>
        <w:t>)*</w:t>
      </w:r>
      <w:proofErr w:type="spellStart"/>
      <w:r w:rsidRPr="005E23EB">
        <w:rPr>
          <w:rFonts w:ascii="Times New Roman" w:hAnsi="Times New Roman" w:cs="Times New Roman"/>
          <w:i/>
          <w:color w:val="000000"/>
          <w:sz w:val="24"/>
          <w:szCs w:val="24"/>
        </w:rPr>
        <w:t>anprevgob</w:t>
      </w:r>
      <w:r w:rsidRPr="005E23EB">
        <w:rPr>
          <w:rFonts w:ascii="Times New Roman" w:hAnsi="Times New Roman" w:cs="Times New Roman"/>
          <w:color w:val="000000"/>
          <w:sz w:val="24"/>
          <w:szCs w:val="24"/>
        </w:rPr>
        <w:t>.</w:t>
      </w:r>
      <w:r w:rsidRPr="005E23EB">
        <w:rPr>
          <w:rFonts w:ascii="Times New Roman" w:hAnsi="Times New Roman" w:cs="Times New Roman"/>
          <w:color w:val="000000"/>
          <w:sz w:val="24"/>
          <w:szCs w:val="24"/>
          <w:vertAlign w:val="subscript"/>
        </w:rPr>
        <w:t>ij</w:t>
      </w:r>
      <w:proofErr w:type="spellEnd"/>
      <w:r w:rsidRPr="005E23EB">
        <w:rPr>
          <w:rFonts w:ascii="Times New Roman" w:hAnsi="Times New Roman" w:cs="Times New Roman"/>
          <w:color w:val="000000"/>
          <w:sz w:val="24"/>
          <w:szCs w:val="24"/>
        </w:rPr>
        <w:t xml:space="preserve"> + (g11</w:t>
      </w:r>
      <w:r w:rsidRPr="005E23EB">
        <w:rPr>
          <w:rFonts w:ascii="Times New Roman" w:hAnsi="Times New Roman" w:cs="Times New Roman"/>
          <w:color w:val="000000"/>
          <w:sz w:val="24"/>
          <w:szCs w:val="24"/>
          <w:vertAlign w:val="subscript"/>
        </w:rPr>
        <w:t>0</w:t>
      </w:r>
      <w:r w:rsidRPr="005E23EB">
        <w:rPr>
          <w:rFonts w:ascii="Times New Roman" w:hAnsi="Times New Roman" w:cs="Times New Roman"/>
          <w:color w:val="000000"/>
          <w:sz w:val="24"/>
          <w:szCs w:val="24"/>
        </w:rPr>
        <w:t xml:space="preserve"> + u12.</w:t>
      </w:r>
      <w:r w:rsidRPr="005E23EB">
        <w:rPr>
          <w:rFonts w:ascii="Times New Roman" w:hAnsi="Times New Roman" w:cs="Times New Roman"/>
          <w:color w:val="000000"/>
          <w:sz w:val="24"/>
          <w:szCs w:val="24"/>
          <w:vertAlign w:val="subscript"/>
        </w:rPr>
        <w:t>j</w:t>
      </w:r>
      <w:r w:rsidRPr="005E23EB">
        <w:rPr>
          <w:rFonts w:ascii="Times New Roman" w:hAnsi="Times New Roman" w:cs="Times New Roman"/>
          <w:color w:val="000000"/>
          <w:sz w:val="24"/>
          <w:szCs w:val="24"/>
        </w:rPr>
        <w:t>)*</w:t>
      </w:r>
      <w:proofErr w:type="spellStart"/>
      <w:r w:rsidRPr="005E23EB">
        <w:rPr>
          <w:rFonts w:ascii="Times New Roman" w:hAnsi="Times New Roman" w:cs="Times New Roman"/>
          <w:i/>
          <w:color w:val="000000"/>
          <w:sz w:val="24"/>
          <w:szCs w:val="24"/>
        </w:rPr>
        <w:t>anelectgob</w:t>
      </w:r>
      <w:r w:rsidRPr="005E23EB">
        <w:rPr>
          <w:rFonts w:ascii="Times New Roman" w:hAnsi="Times New Roman" w:cs="Times New Roman"/>
          <w:color w:val="000000"/>
          <w:sz w:val="24"/>
          <w:szCs w:val="24"/>
        </w:rPr>
        <w:t>.</w:t>
      </w:r>
      <w:r w:rsidRPr="005E23EB">
        <w:rPr>
          <w:rFonts w:ascii="Times New Roman" w:hAnsi="Times New Roman" w:cs="Times New Roman"/>
          <w:color w:val="000000"/>
          <w:sz w:val="24"/>
          <w:szCs w:val="24"/>
          <w:vertAlign w:val="subscript"/>
        </w:rPr>
        <w:t>ij</w:t>
      </w:r>
      <w:proofErr w:type="spellEnd"/>
      <w:r w:rsidRPr="005E23EB">
        <w:rPr>
          <w:rFonts w:ascii="Times New Roman" w:hAnsi="Times New Roman" w:cs="Times New Roman"/>
          <w:color w:val="000000"/>
          <w:sz w:val="24"/>
          <w:szCs w:val="24"/>
        </w:rPr>
        <w:t xml:space="preserve"> + </w:t>
      </w:r>
      <w:proofErr w:type="spellStart"/>
      <w:r w:rsidRPr="005E23EB">
        <w:rPr>
          <w:rFonts w:ascii="Times New Roman" w:hAnsi="Times New Roman" w:cs="Times New Roman"/>
          <w:color w:val="000000"/>
          <w:sz w:val="24"/>
          <w:szCs w:val="24"/>
        </w:rPr>
        <w:t>e.</w:t>
      </w:r>
      <w:r w:rsidRPr="005E23EB">
        <w:rPr>
          <w:rFonts w:ascii="Times New Roman" w:hAnsi="Times New Roman" w:cs="Times New Roman"/>
          <w:color w:val="000000"/>
          <w:sz w:val="24"/>
          <w:szCs w:val="24"/>
          <w:vertAlign w:val="subscript"/>
        </w:rPr>
        <w:t>ij</w:t>
      </w:r>
      <w:proofErr w:type="spellEnd"/>
      <w:r w:rsidRPr="005E23EB">
        <w:rPr>
          <w:rFonts w:ascii="Times New Roman" w:hAnsi="Times New Roman" w:cs="Times New Roman"/>
          <w:color w:val="000000"/>
          <w:sz w:val="24"/>
          <w:szCs w:val="24"/>
        </w:rPr>
        <w:t xml:space="preserve"> </w:t>
      </w:r>
    </w:p>
    <w:p w14:paraId="32F96D6E" w14:textId="77777777" w:rsidR="00E71756" w:rsidRPr="005E23EB" w:rsidRDefault="00E71756" w:rsidP="002570EB">
      <w:pPr>
        <w:pStyle w:val="HTMLconformatoprevio"/>
        <w:jc w:val="both"/>
        <w:rPr>
          <w:color w:val="000000"/>
        </w:rPr>
      </w:pPr>
    </w:p>
    <w:p w14:paraId="25E7DED8" w14:textId="77777777" w:rsidR="007760D0" w:rsidRPr="005E23EB" w:rsidRDefault="007760D0" w:rsidP="002570EB">
      <w:pPr>
        <w:pStyle w:val="HTMLconformatoprevio"/>
        <w:jc w:val="both"/>
        <w:rPr>
          <w:color w:val="000000"/>
        </w:rPr>
      </w:pPr>
    </w:p>
    <w:p w14:paraId="4B5CBBB1" w14:textId="1C6BA956" w:rsidR="007760D0" w:rsidRPr="005E23EB" w:rsidRDefault="007760D0" w:rsidP="002570EB">
      <w:pPr>
        <w:pStyle w:val="HTMLconformatoprevio"/>
        <w:ind w:left="1276" w:hanging="1276"/>
        <w:jc w:val="both"/>
        <w:rPr>
          <w:rFonts w:ascii="Times New Roman" w:hAnsi="Times New Roman" w:cs="Times New Roman"/>
          <w:color w:val="000000"/>
          <w:sz w:val="24"/>
          <w:szCs w:val="24"/>
          <w:vertAlign w:val="subscript"/>
        </w:rPr>
      </w:pPr>
      <w:proofErr w:type="spellStart"/>
      <w:proofErr w:type="gramStart"/>
      <w:r w:rsidRPr="005E23EB">
        <w:rPr>
          <w:rFonts w:ascii="Times New Roman" w:hAnsi="Times New Roman" w:cs="Times New Roman"/>
          <w:i/>
          <w:color w:val="000000"/>
          <w:sz w:val="24"/>
          <w:szCs w:val="24"/>
        </w:rPr>
        <w:t>numproy</w:t>
      </w:r>
      <w:r w:rsidRPr="005E23EB">
        <w:rPr>
          <w:rFonts w:ascii="Times New Roman" w:hAnsi="Times New Roman" w:cs="Times New Roman"/>
          <w:color w:val="000000"/>
          <w:sz w:val="24"/>
          <w:szCs w:val="24"/>
          <w:vertAlign w:val="subscript"/>
        </w:rPr>
        <w:t>ij</w:t>
      </w:r>
      <w:proofErr w:type="spellEnd"/>
      <w:proofErr w:type="gramEnd"/>
      <w:r w:rsidRPr="005E23EB">
        <w:rPr>
          <w:rFonts w:ascii="Times New Roman" w:hAnsi="Times New Roman" w:cs="Times New Roman"/>
          <w:color w:val="000000"/>
          <w:sz w:val="24"/>
          <w:szCs w:val="24"/>
          <w:vertAlign w:val="subscript"/>
        </w:rPr>
        <w:t xml:space="preserve"> </w:t>
      </w:r>
      <w:r w:rsidRPr="005E23EB">
        <w:rPr>
          <w:rFonts w:ascii="Times New Roman" w:hAnsi="Times New Roman" w:cs="Times New Roman"/>
          <w:color w:val="000000"/>
          <w:sz w:val="24"/>
          <w:szCs w:val="24"/>
        </w:rPr>
        <w:t>=</w:t>
      </w:r>
      <w:r w:rsidR="0096687D">
        <w:rPr>
          <w:rFonts w:ascii="Times New Roman" w:hAnsi="Times New Roman" w:cs="Times New Roman"/>
          <w:color w:val="000000"/>
          <w:sz w:val="24"/>
          <w:szCs w:val="24"/>
        </w:rPr>
        <w:t xml:space="preserve"> </w:t>
      </w:r>
      <w:r w:rsidRPr="005E23EB">
        <w:rPr>
          <w:rFonts w:ascii="Times New Roman" w:hAnsi="Times New Roman" w:cs="Times New Roman"/>
          <w:color w:val="000000"/>
          <w:sz w:val="24"/>
          <w:szCs w:val="24"/>
        </w:rPr>
        <w:t>g0</w:t>
      </w:r>
      <w:r w:rsidRPr="005E23EB">
        <w:rPr>
          <w:rFonts w:ascii="Times New Roman" w:hAnsi="Times New Roman" w:cs="Times New Roman"/>
          <w:color w:val="000000"/>
          <w:sz w:val="24"/>
          <w:szCs w:val="24"/>
          <w:vertAlign w:val="subscript"/>
        </w:rPr>
        <w:t>0</w:t>
      </w:r>
      <w:r w:rsidRPr="005E23EB">
        <w:rPr>
          <w:rFonts w:ascii="Times New Roman" w:hAnsi="Times New Roman" w:cs="Times New Roman"/>
          <w:color w:val="000000"/>
          <w:sz w:val="24"/>
          <w:szCs w:val="24"/>
        </w:rPr>
        <w:t xml:space="preserve"> + u1.</w:t>
      </w:r>
      <w:r w:rsidRPr="005E23EB">
        <w:rPr>
          <w:rFonts w:ascii="Times New Roman" w:hAnsi="Times New Roman" w:cs="Times New Roman"/>
          <w:color w:val="000000"/>
          <w:sz w:val="24"/>
          <w:szCs w:val="24"/>
          <w:vertAlign w:val="subscript"/>
        </w:rPr>
        <w:t>j</w:t>
      </w:r>
      <w:r w:rsidR="0096687D">
        <w:rPr>
          <w:rFonts w:ascii="Times New Roman" w:hAnsi="Times New Roman" w:cs="Times New Roman"/>
          <w:color w:val="000000"/>
          <w:sz w:val="24"/>
          <w:szCs w:val="24"/>
          <w:vertAlign w:val="subscript"/>
        </w:rPr>
        <w:t xml:space="preserve"> </w:t>
      </w:r>
      <w:r w:rsidRPr="005E23EB">
        <w:rPr>
          <w:rFonts w:ascii="Times New Roman" w:hAnsi="Times New Roman" w:cs="Times New Roman"/>
          <w:color w:val="000000"/>
          <w:sz w:val="24"/>
          <w:szCs w:val="24"/>
        </w:rPr>
        <w:t>+ (g1</w:t>
      </w:r>
      <w:r w:rsidRPr="005E23EB">
        <w:rPr>
          <w:rFonts w:ascii="Times New Roman" w:hAnsi="Times New Roman" w:cs="Times New Roman"/>
          <w:color w:val="000000"/>
          <w:sz w:val="24"/>
          <w:szCs w:val="24"/>
          <w:vertAlign w:val="subscript"/>
        </w:rPr>
        <w:t>0</w:t>
      </w:r>
      <w:r w:rsidRPr="005E23EB">
        <w:rPr>
          <w:rFonts w:ascii="Times New Roman" w:hAnsi="Times New Roman" w:cs="Times New Roman"/>
          <w:color w:val="000000"/>
          <w:sz w:val="24"/>
          <w:szCs w:val="24"/>
        </w:rPr>
        <w:t xml:space="preserve"> + u2.</w:t>
      </w:r>
      <w:r w:rsidRPr="005E23EB">
        <w:rPr>
          <w:rFonts w:ascii="Times New Roman" w:hAnsi="Times New Roman" w:cs="Times New Roman"/>
          <w:color w:val="000000"/>
          <w:sz w:val="24"/>
          <w:szCs w:val="24"/>
          <w:vertAlign w:val="subscript"/>
        </w:rPr>
        <w:t>j</w:t>
      </w:r>
      <w:r w:rsidRPr="005E23EB">
        <w:rPr>
          <w:rFonts w:ascii="Times New Roman" w:hAnsi="Times New Roman" w:cs="Times New Roman"/>
          <w:color w:val="000000"/>
          <w:sz w:val="24"/>
          <w:szCs w:val="24"/>
        </w:rPr>
        <w:t>)*</w:t>
      </w:r>
      <w:proofErr w:type="spellStart"/>
      <w:r w:rsidRPr="005E23EB">
        <w:rPr>
          <w:rFonts w:ascii="Times New Roman" w:hAnsi="Times New Roman" w:cs="Times New Roman"/>
          <w:i/>
          <w:color w:val="000000"/>
          <w:sz w:val="24"/>
          <w:szCs w:val="24"/>
        </w:rPr>
        <w:t>margen</w:t>
      </w:r>
      <w:r w:rsidRPr="005E23EB">
        <w:rPr>
          <w:rFonts w:ascii="Times New Roman" w:hAnsi="Times New Roman" w:cs="Times New Roman"/>
          <w:color w:val="000000"/>
          <w:sz w:val="24"/>
          <w:szCs w:val="24"/>
        </w:rPr>
        <w:t>.</w:t>
      </w:r>
      <w:r w:rsidRPr="005E23EB">
        <w:rPr>
          <w:rFonts w:ascii="Times New Roman" w:hAnsi="Times New Roman" w:cs="Times New Roman"/>
          <w:color w:val="000000"/>
          <w:sz w:val="24"/>
          <w:szCs w:val="24"/>
          <w:vertAlign w:val="subscript"/>
        </w:rPr>
        <w:t>j</w:t>
      </w:r>
      <w:proofErr w:type="spellEnd"/>
      <w:r w:rsidRPr="005E23EB">
        <w:rPr>
          <w:rFonts w:ascii="Times New Roman" w:hAnsi="Times New Roman" w:cs="Times New Roman"/>
          <w:color w:val="000000"/>
          <w:sz w:val="24"/>
          <w:szCs w:val="24"/>
        </w:rPr>
        <w:t xml:space="preserve"> + (g2</w:t>
      </w:r>
      <w:r w:rsidRPr="005E23EB">
        <w:rPr>
          <w:rFonts w:ascii="Times New Roman" w:hAnsi="Times New Roman" w:cs="Times New Roman"/>
          <w:color w:val="000000"/>
          <w:sz w:val="24"/>
          <w:szCs w:val="24"/>
          <w:vertAlign w:val="subscript"/>
        </w:rPr>
        <w:t>0</w:t>
      </w:r>
      <w:r w:rsidRPr="005E23EB">
        <w:rPr>
          <w:rFonts w:ascii="Times New Roman" w:hAnsi="Times New Roman" w:cs="Times New Roman"/>
          <w:color w:val="000000"/>
          <w:sz w:val="24"/>
          <w:szCs w:val="24"/>
        </w:rPr>
        <w:t xml:space="preserve"> + u3.</w:t>
      </w:r>
      <w:r w:rsidRPr="005E23EB">
        <w:rPr>
          <w:rFonts w:ascii="Times New Roman" w:hAnsi="Times New Roman" w:cs="Times New Roman"/>
          <w:color w:val="000000"/>
          <w:sz w:val="24"/>
          <w:szCs w:val="24"/>
          <w:vertAlign w:val="subscript"/>
        </w:rPr>
        <w:t>j</w:t>
      </w:r>
      <w:r w:rsidRPr="005E23EB">
        <w:rPr>
          <w:rFonts w:ascii="Times New Roman" w:hAnsi="Times New Roman" w:cs="Times New Roman"/>
          <w:color w:val="000000"/>
          <w:sz w:val="24"/>
          <w:szCs w:val="24"/>
        </w:rPr>
        <w:t>)*</w:t>
      </w:r>
      <w:proofErr w:type="spellStart"/>
      <w:r w:rsidRPr="005E23EB">
        <w:rPr>
          <w:rFonts w:ascii="Times New Roman" w:hAnsi="Times New Roman" w:cs="Times New Roman"/>
          <w:i/>
          <w:color w:val="000000"/>
          <w:sz w:val="24"/>
          <w:szCs w:val="24"/>
        </w:rPr>
        <w:t>mismo</w:t>
      </w:r>
      <w:r w:rsidRPr="005E23EB">
        <w:rPr>
          <w:rFonts w:ascii="Times New Roman" w:hAnsi="Times New Roman" w:cs="Times New Roman"/>
          <w:color w:val="000000"/>
          <w:sz w:val="24"/>
          <w:szCs w:val="24"/>
        </w:rPr>
        <w:t>.</w:t>
      </w:r>
      <w:r w:rsidRPr="005E23EB">
        <w:rPr>
          <w:rFonts w:ascii="Times New Roman" w:hAnsi="Times New Roman" w:cs="Times New Roman"/>
          <w:color w:val="000000"/>
          <w:sz w:val="24"/>
          <w:szCs w:val="24"/>
          <w:vertAlign w:val="subscript"/>
        </w:rPr>
        <w:t>j</w:t>
      </w:r>
      <w:proofErr w:type="spellEnd"/>
      <w:r w:rsidRPr="005E23EB">
        <w:rPr>
          <w:rFonts w:ascii="Times New Roman" w:hAnsi="Times New Roman" w:cs="Times New Roman"/>
          <w:color w:val="000000"/>
          <w:sz w:val="24"/>
          <w:szCs w:val="24"/>
        </w:rPr>
        <w:t xml:space="preserve"> + (g3</w:t>
      </w:r>
      <w:r w:rsidRPr="005E23EB">
        <w:rPr>
          <w:rFonts w:ascii="Times New Roman" w:hAnsi="Times New Roman" w:cs="Times New Roman"/>
          <w:color w:val="000000"/>
          <w:sz w:val="24"/>
          <w:szCs w:val="24"/>
          <w:vertAlign w:val="subscript"/>
        </w:rPr>
        <w:t>0</w:t>
      </w:r>
      <w:r w:rsidRPr="005E23EB">
        <w:rPr>
          <w:rFonts w:ascii="Times New Roman" w:hAnsi="Times New Roman" w:cs="Times New Roman"/>
          <w:color w:val="000000"/>
          <w:sz w:val="24"/>
          <w:szCs w:val="24"/>
        </w:rPr>
        <w:t xml:space="preserve"> + u4.</w:t>
      </w:r>
      <w:r w:rsidRPr="005E23EB">
        <w:rPr>
          <w:rFonts w:ascii="Times New Roman" w:hAnsi="Times New Roman" w:cs="Times New Roman"/>
          <w:color w:val="000000"/>
          <w:sz w:val="24"/>
          <w:szCs w:val="24"/>
          <w:vertAlign w:val="subscript"/>
        </w:rPr>
        <w:t>j</w:t>
      </w:r>
      <w:r w:rsidRPr="005E23EB">
        <w:rPr>
          <w:rFonts w:ascii="Times New Roman" w:hAnsi="Times New Roman" w:cs="Times New Roman"/>
          <w:color w:val="000000"/>
          <w:sz w:val="24"/>
          <w:szCs w:val="24"/>
        </w:rPr>
        <w:t>)*</w:t>
      </w:r>
      <w:proofErr w:type="spellStart"/>
      <w:r w:rsidR="004719DA">
        <w:rPr>
          <w:rFonts w:ascii="Times New Roman" w:hAnsi="Times New Roman" w:cs="Times New Roman"/>
          <w:i/>
          <w:color w:val="000000"/>
          <w:sz w:val="24"/>
          <w:szCs w:val="24"/>
        </w:rPr>
        <w:t>IDH</w:t>
      </w:r>
      <w:r w:rsidRPr="005E23EB">
        <w:rPr>
          <w:rFonts w:ascii="Times New Roman" w:hAnsi="Times New Roman" w:cs="Times New Roman"/>
          <w:color w:val="000000"/>
          <w:sz w:val="24"/>
          <w:szCs w:val="24"/>
        </w:rPr>
        <w:t>.</w:t>
      </w:r>
      <w:r w:rsidRPr="005E23EB">
        <w:rPr>
          <w:rFonts w:ascii="Times New Roman" w:hAnsi="Times New Roman" w:cs="Times New Roman"/>
          <w:color w:val="000000"/>
          <w:sz w:val="24"/>
          <w:szCs w:val="24"/>
          <w:vertAlign w:val="subscript"/>
        </w:rPr>
        <w:t>j</w:t>
      </w:r>
      <w:proofErr w:type="spellEnd"/>
      <w:r w:rsidRPr="005E23EB">
        <w:rPr>
          <w:rFonts w:ascii="Times New Roman" w:hAnsi="Times New Roman" w:cs="Times New Roman"/>
          <w:color w:val="000000"/>
          <w:sz w:val="24"/>
          <w:szCs w:val="24"/>
        </w:rPr>
        <w:t xml:space="preserve"> + (g4</w:t>
      </w:r>
      <w:r w:rsidRPr="005E23EB">
        <w:rPr>
          <w:rFonts w:ascii="Times New Roman" w:hAnsi="Times New Roman" w:cs="Times New Roman"/>
          <w:color w:val="000000"/>
          <w:sz w:val="24"/>
          <w:szCs w:val="24"/>
          <w:vertAlign w:val="subscript"/>
        </w:rPr>
        <w:t>0</w:t>
      </w:r>
      <w:r w:rsidRPr="005E23EB">
        <w:rPr>
          <w:rFonts w:ascii="Times New Roman" w:hAnsi="Times New Roman" w:cs="Times New Roman"/>
          <w:color w:val="000000"/>
          <w:sz w:val="24"/>
          <w:szCs w:val="24"/>
        </w:rPr>
        <w:t xml:space="preserve"> + u5.</w:t>
      </w:r>
      <w:r w:rsidRPr="005E23EB">
        <w:rPr>
          <w:rFonts w:ascii="Times New Roman" w:hAnsi="Times New Roman" w:cs="Times New Roman"/>
          <w:color w:val="000000"/>
          <w:sz w:val="24"/>
          <w:szCs w:val="24"/>
          <w:vertAlign w:val="subscript"/>
        </w:rPr>
        <w:t>j</w:t>
      </w:r>
      <w:r w:rsidRPr="005E23EB">
        <w:rPr>
          <w:rFonts w:ascii="Times New Roman" w:hAnsi="Times New Roman" w:cs="Times New Roman"/>
          <w:color w:val="000000"/>
          <w:sz w:val="24"/>
          <w:szCs w:val="24"/>
        </w:rPr>
        <w:t>)*</w:t>
      </w:r>
      <w:proofErr w:type="spellStart"/>
      <w:r w:rsidRPr="005E23EB">
        <w:rPr>
          <w:rFonts w:ascii="Times New Roman" w:hAnsi="Times New Roman" w:cs="Times New Roman"/>
          <w:i/>
          <w:color w:val="000000"/>
          <w:sz w:val="24"/>
          <w:szCs w:val="24"/>
        </w:rPr>
        <w:t>cambio</w:t>
      </w:r>
      <w:r w:rsidRPr="005E23EB">
        <w:rPr>
          <w:rFonts w:ascii="Times New Roman" w:hAnsi="Times New Roman" w:cs="Times New Roman"/>
          <w:color w:val="000000"/>
          <w:sz w:val="24"/>
          <w:szCs w:val="24"/>
        </w:rPr>
        <w:t>.</w:t>
      </w:r>
      <w:r w:rsidRPr="005E23EB">
        <w:rPr>
          <w:rFonts w:ascii="Times New Roman" w:hAnsi="Times New Roman" w:cs="Times New Roman"/>
          <w:color w:val="000000"/>
          <w:sz w:val="24"/>
          <w:szCs w:val="24"/>
          <w:vertAlign w:val="subscript"/>
        </w:rPr>
        <w:t>j</w:t>
      </w:r>
      <w:proofErr w:type="spellEnd"/>
      <w:r w:rsidRPr="005E23EB">
        <w:rPr>
          <w:rFonts w:ascii="Times New Roman" w:hAnsi="Times New Roman" w:cs="Times New Roman"/>
          <w:color w:val="000000"/>
          <w:sz w:val="24"/>
          <w:szCs w:val="24"/>
        </w:rPr>
        <w:t xml:space="preserve"> + (g5</w:t>
      </w:r>
      <w:r w:rsidRPr="005E23EB">
        <w:rPr>
          <w:rFonts w:ascii="Times New Roman" w:hAnsi="Times New Roman" w:cs="Times New Roman"/>
          <w:color w:val="000000"/>
          <w:sz w:val="24"/>
          <w:szCs w:val="24"/>
          <w:vertAlign w:val="subscript"/>
        </w:rPr>
        <w:t>0</w:t>
      </w:r>
      <w:r w:rsidRPr="005E23EB">
        <w:rPr>
          <w:rFonts w:ascii="Times New Roman" w:hAnsi="Times New Roman" w:cs="Times New Roman"/>
          <w:color w:val="000000"/>
          <w:sz w:val="24"/>
          <w:szCs w:val="24"/>
        </w:rPr>
        <w:t xml:space="preserve"> + u6.</w:t>
      </w:r>
      <w:r w:rsidRPr="005E23EB">
        <w:rPr>
          <w:rFonts w:ascii="Times New Roman" w:hAnsi="Times New Roman" w:cs="Times New Roman"/>
          <w:color w:val="000000"/>
          <w:sz w:val="24"/>
          <w:szCs w:val="24"/>
          <w:vertAlign w:val="subscript"/>
        </w:rPr>
        <w:t>j</w:t>
      </w:r>
      <w:r w:rsidRPr="005E23EB">
        <w:rPr>
          <w:rFonts w:ascii="Times New Roman" w:hAnsi="Times New Roman" w:cs="Times New Roman"/>
          <w:color w:val="000000"/>
          <w:sz w:val="24"/>
          <w:szCs w:val="24"/>
        </w:rPr>
        <w:t>)*</w:t>
      </w:r>
      <w:proofErr w:type="spellStart"/>
      <w:r w:rsidRPr="005E23EB">
        <w:rPr>
          <w:rFonts w:ascii="Times New Roman" w:hAnsi="Times New Roman" w:cs="Times New Roman"/>
          <w:i/>
          <w:color w:val="000000"/>
          <w:sz w:val="24"/>
          <w:szCs w:val="24"/>
        </w:rPr>
        <w:t>anio</w:t>
      </w:r>
      <w:r w:rsidRPr="005E23EB">
        <w:rPr>
          <w:rFonts w:ascii="Times New Roman" w:hAnsi="Times New Roman" w:cs="Times New Roman"/>
          <w:color w:val="000000"/>
          <w:sz w:val="24"/>
          <w:szCs w:val="24"/>
        </w:rPr>
        <w:t>.</w:t>
      </w:r>
      <w:r w:rsidRPr="005E23EB">
        <w:rPr>
          <w:rFonts w:ascii="Times New Roman" w:hAnsi="Times New Roman" w:cs="Times New Roman"/>
          <w:color w:val="000000"/>
          <w:sz w:val="24"/>
          <w:szCs w:val="24"/>
          <w:vertAlign w:val="subscript"/>
        </w:rPr>
        <w:t>ij</w:t>
      </w:r>
      <w:proofErr w:type="spellEnd"/>
      <w:r w:rsidRPr="005E23EB">
        <w:rPr>
          <w:rFonts w:ascii="Times New Roman" w:hAnsi="Times New Roman" w:cs="Times New Roman"/>
          <w:color w:val="000000"/>
          <w:sz w:val="24"/>
          <w:szCs w:val="24"/>
        </w:rPr>
        <w:t xml:space="preserve"> + (g6</w:t>
      </w:r>
      <w:r w:rsidRPr="005E23EB">
        <w:rPr>
          <w:rFonts w:ascii="Times New Roman" w:hAnsi="Times New Roman" w:cs="Times New Roman"/>
          <w:color w:val="000000"/>
          <w:sz w:val="24"/>
          <w:szCs w:val="24"/>
          <w:vertAlign w:val="subscript"/>
        </w:rPr>
        <w:t>0</w:t>
      </w:r>
      <w:r w:rsidRPr="005E23EB">
        <w:rPr>
          <w:rFonts w:ascii="Times New Roman" w:hAnsi="Times New Roman" w:cs="Times New Roman"/>
          <w:color w:val="000000"/>
          <w:sz w:val="24"/>
          <w:szCs w:val="24"/>
        </w:rPr>
        <w:t xml:space="preserve"> + u7.</w:t>
      </w:r>
      <w:r w:rsidRPr="005E23EB">
        <w:rPr>
          <w:rFonts w:ascii="Times New Roman" w:hAnsi="Times New Roman" w:cs="Times New Roman"/>
          <w:color w:val="000000"/>
          <w:sz w:val="24"/>
          <w:szCs w:val="24"/>
          <w:vertAlign w:val="subscript"/>
        </w:rPr>
        <w:t>j</w:t>
      </w:r>
      <w:r w:rsidRPr="005E23EB">
        <w:rPr>
          <w:rFonts w:ascii="Times New Roman" w:hAnsi="Times New Roman" w:cs="Times New Roman"/>
          <w:color w:val="000000"/>
          <w:sz w:val="24"/>
          <w:szCs w:val="24"/>
        </w:rPr>
        <w:t>)*</w:t>
      </w:r>
      <w:proofErr w:type="spellStart"/>
      <w:r w:rsidRPr="005E23EB">
        <w:rPr>
          <w:rFonts w:ascii="Times New Roman" w:hAnsi="Times New Roman" w:cs="Times New Roman"/>
          <w:i/>
          <w:color w:val="000000"/>
          <w:sz w:val="24"/>
          <w:szCs w:val="24"/>
        </w:rPr>
        <w:t>pobacion</w:t>
      </w:r>
      <w:r w:rsidRPr="005E23EB">
        <w:rPr>
          <w:rFonts w:ascii="Times New Roman" w:hAnsi="Times New Roman" w:cs="Times New Roman"/>
          <w:color w:val="000000"/>
          <w:sz w:val="24"/>
          <w:szCs w:val="24"/>
        </w:rPr>
        <w:t>.</w:t>
      </w:r>
      <w:r w:rsidRPr="005E23EB">
        <w:rPr>
          <w:rFonts w:ascii="Times New Roman" w:hAnsi="Times New Roman" w:cs="Times New Roman"/>
          <w:color w:val="000000"/>
          <w:sz w:val="24"/>
          <w:szCs w:val="24"/>
          <w:vertAlign w:val="subscript"/>
        </w:rPr>
        <w:t>j</w:t>
      </w:r>
      <w:proofErr w:type="spellEnd"/>
      <w:r w:rsidRPr="005E23EB">
        <w:rPr>
          <w:rFonts w:ascii="Times New Roman" w:hAnsi="Times New Roman" w:cs="Times New Roman"/>
          <w:color w:val="000000"/>
          <w:sz w:val="24"/>
          <w:szCs w:val="24"/>
        </w:rPr>
        <w:t xml:space="preserve"> + (g7</w:t>
      </w:r>
      <w:r w:rsidRPr="005E23EB">
        <w:rPr>
          <w:rFonts w:ascii="Times New Roman" w:hAnsi="Times New Roman" w:cs="Times New Roman"/>
          <w:color w:val="000000"/>
          <w:sz w:val="24"/>
          <w:szCs w:val="24"/>
          <w:vertAlign w:val="subscript"/>
        </w:rPr>
        <w:t>0</w:t>
      </w:r>
      <w:r w:rsidRPr="005E23EB">
        <w:rPr>
          <w:rFonts w:ascii="Times New Roman" w:hAnsi="Times New Roman" w:cs="Times New Roman"/>
          <w:color w:val="000000"/>
          <w:sz w:val="24"/>
          <w:szCs w:val="24"/>
        </w:rPr>
        <w:t xml:space="preserve"> + u8.</w:t>
      </w:r>
      <w:r w:rsidRPr="005E23EB">
        <w:rPr>
          <w:rFonts w:ascii="Times New Roman" w:hAnsi="Times New Roman" w:cs="Times New Roman"/>
          <w:color w:val="000000"/>
          <w:sz w:val="24"/>
          <w:szCs w:val="24"/>
          <w:vertAlign w:val="subscript"/>
        </w:rPr>
        <w:t>j</w:t>
      </w:r>
      <w:r w:rsidRPr="005E23EB">
        <w:rPr>
          <w:rFonts w:ascii="Times New Roman" w:hAnsi="Times New Roman" w:cs="Times New Roman"/>
          <w:color w:val="000000"/>
          <w:sz w:val="24"/>
          <w:szCs w:val="24"/>
        </w:rPr>
        <w:t>)*</w:t>
      </w:r>
      <w:proofErr w:type="spellStart"/>
      <w:r w:rsidR="00AD3B67">
        <w:rPr>
          <w:rFonts w:ascii="Times New Roman" w:hAnsi="Times New Roman" w:cs="Times New Roman"/>
          <w:i/>
          <w:color w:val="000000"/>
          <w:sz w:val="24"/>
          <w:szCs w:val="24"/>
        </w:rPr>
        <w:t>urbanizacion</w:t>
      </w:r>
      <w:r w:rsidRPr="005E23EB">
        <w:rPr>
          <w:rFonts w:ascii="Times New Roman" w:hAnsi="Times New Roman" w:cs="Times New Roman"/>
          <w:color w:val="000000"/>
          <w:sz w:val="24"/>
          <w:szCs w:val="24"/>
        </w:rPr>
        <w:t>.</w:t>
      </w:r>
      <w:r w:rsidRPr="005E23EB">
        <w:rPr>
          <w:rFonts w:ascii="Times New Roman" w:hAnsi="Times New Roman" w:cs="Times New Roman"/>
          <w:color w:val="000000"/>
          <w:sz w:val="24"/>
          <w:szCs w:val="24"/>
          <w:vertAlign w:val="subscript"/>
        </w:rPr>
        <w:t>j</w:t>
      </w:r>
      <w:proofErr w:type="spellEnd"/>
      <w:r w:rsidRPr="005E23EB">
        <w:rPr>
          <w:rFonts w:ascii="Times New Roman" w:hAnsi="Times New Roman" w:cs="Times New Roman"/>
          <w:color w:val="000000"/>
          <w:sz w:val="24"/>
          <w:szCs w:val="24"/>
        </w:rPr>
        <w:t xml:space="preserve"> + (g8</w:t>
      </w:r>
      <w:r w:rsidRPr="005E23EB">
        <w:rPr>
          <w:rFonts w:ascii="Times New Roman" w:hAnsi="Times New Roman" w:cs="Times New Roman"/>
          <w:color w:val="000000"/>
          <w:sz w:val="24"/>
          <w:szCs w:val="24"/>
          <w:vertAlign w:val="subscript"/>
        </w:rPr>
        <w:t>0</w:t>
      </w:r>
      <w:r w:rsidRPr="005E23EB">
        <w:rPr>
          <w:rFonts w:ascii="Times New Roman" w:hAnsi="Times New Roman" w:cs="Times New Roman"/>
          <w:color w:val="000000"/>
          <w:sz w:val="24"/>
          <w:szCs w:val="24"/>
        </w:rPr>
        <w:t xml:space="preserve"> + u9.</w:t>
      </w:r>
      <w:r w:rsidRPr="005E23EB">
        <w:rPr>
          <w:rFonts w:ascii="Times New Roman" w:hAnsi="Times New Roman" w:cs="Times New Roman"/>
          <w:color w:val="000000"/>
          <w:sz w:val="24"/>
          <w:szCs w:val="24"/>
          <w:vertAlign w:val="subscript"/>
        </w:rPr>
        <w:t>j</w:t>
      </w:r>
      <w:r w:rsidRPr="005E23EB">
        <w:rPr>
          <w:rFonts w:ascii="Times New Roman" w:hAnsi="Times New Roman" w:cs="Times New Roman"/>
          <w:color w:val="000000"/>
          <w:sz w:val="24"/>
          <w:szCs w:val="24"/>
        </w:rPr>
        <w:t>) *</w:t>
      </w:r>
      <w:proofErr w:type="spellStart"/>
      <w:r w:rsidRPr="005E23EB">
        <w:rPr>
          <w:rFonts w:ascii="Times New Roman" w:hAnsi="Times New Roman" w:cs="Times New Roman"/>
          <w:i/>
          <w:color w:val="000000"/>
          <w:sz w:val="24"/>
          <w:szCs w:val="24"/>
        </w:rPr>
        <w:t>anprevmun</w:t>
      </w:r>
      <w:r w:rsidRPr="005E23EB">
        <w:rPr>
          <w:rFonts w:ascii="Times New Roman" w:hAnsi="Times New Roman" w:cs="Times New Roman"/>
          <w:color w:val="000000"/>
          <w:sz w:val="24"/>
          <w:szCs w:val="24"/>
        </w:rPr>
        <w:t>.</w:t>
      </w:r>
      <w:r w:rsidRPr="005E23EB">
        <w:rPr>
          <w:rFonts w:ascii="Times New Roman" w:hAnsi="Times New Roman" w:cs="Times New Roman"/>
          <w:color w:val="000000"/>
          <w:sz w:val="24"/>
          <w:szCs w:val="24"/>
          <w:vertAlign w:val="subscript"/>
        </w:rPr>
        <w:t>ij</w:t>
      </w:r>
      <w:proofErr w:type="spellEnd"/>
      <w:r w:rsidR="0096687D">
        <w:rPr>
          <w:rFonts w:ascii="Times New Roman" w:hAnsi="Times New Roman" w:cs="Times New Roman"/>
          <w:color w:val="000000"/>
          <w:sz w:val="24"/>
          <w:szCs w:val="24"/>
        </w:rPr>
        <w:t xml:space="preserve"> </w:t>
      </w:r>
      <w:r w:rsidRPr="005E23EB">
        <w:rPr>
          <w:rFonts w:ascii="Times New Roman" w:hAnsi="Times New Roman" w:cs="Times New Roman"/>
          <w:color w:val="000000"/>
          <w:sz w:val="24"/>
          <w:szCs w:val="24"/>
        </w:rPr>
        <w:t>+ (g9</w:t>
      </w:r>
      <w:r w:rsidRPr="005E23EB">
        <w:rPr>
          <w:rFonts w:ascii="Times New Roman" w:hAnsi="Times New Roman" w:cs="Times New Roman"/>
          <w:color w:val="000000"/>
          <w:sz w:val="24"/>
          <w:szCs w:val="24"/>
          <w:vertAlign w:val="subscript"/>
        </w:rPr>
        <w:t>0</w:t>
      </w:r>
      <w:r w:rsidRPr="005E23EB">
        <w:rPr>
          <w:rFonts w:ascii="Times New Roman" w:hAnsi="Times New Roman" w:cs="Times New Roman"/>
          <w:color w:val="000000"/>
          <w:sz w:val="24"/>
          <w:szCs w:val="24"/>
        </w:rPr>
        <w:t xml:space="preserve"> + u10.</w:t>
      </w:r>
      <w:r w:rsidRPr="005E23EB">
        <w:rPr>
          <w:rFonts w:ascii="Times New Roman" w:hAnsi="Times New Roman" w:cs="Times New Roman"/>
          <w:color w:val="000000"/>
          <w:sz w:val="24"/>
          <w:szCs w:val="24"/>
          <w:vertAlign w:val="subscript"/>
        </w:rPr>
        <w:t>j</w:t>
      </w:r>
      <w:r w:rsidRPr="005E23EB">
        <w:rPr>
          <w:rFonts w:ascii="Times New Roman" w:hAnsi="Times New Roman" w:cs="Times New Roman"/>
          <w:color w:val="000000"/>
          <w:sz w:val="24"/>
          <w:szCs w:val="24"/>
        </w:rPr>
        <w:t>)*</w:t>
      </w:r>
      <w:proofErr w:type="spellStart"/>
      <w:r w:rsidRPr="005E23EB">
        <w:rPr>
          <w:rFonts w:ascii="Times New Roman" w:hAnsi="Times New Roman" w:cs="Times New Roman"/>
          <w:i/>
          <w:color w:val="000000"/>
          <w:sz w:val="24"/>
          <w:szCs w:val="24"/>
        </w:rPr>
        <w:t>anelectmun</w:t>
      </w:r>
      <w:r w:rsidRPr="005E23EB">
        <w:rPr>
          <w:rFonts w:ascii="Times New Roman" w:hAnsi="Times New Roman" w:cs="Times New Roman"/>
          <w:color w:val="000000"/>
          <w:sz w:val="24"/>
          <w:szCs w:val="24"/>
        </w:rPr>
        <w:t>.</w:t>
      </w:r>
      <w:r w:rsidRPr="005E23EB">
        <w:rPr>
          <w:rFonts w:ascii="Times New Roman" w:hAnsi="Times New Roman" w:cs="Times New Roman"/>
          <w:color w:val="000000"/>
          <w:sz w:val="24"/>
          <w:szCs w:val="24"/>
          <w:vertAlign w:val="subscript"/>
        </w:rPr>
        <w:t>ij</w:t>
      </w:r>
      <w:proofErr w:type="spellEnd"/>
      <w:r w:rsidRPr="005E23EB">
        <w:rPr>
          <w:rFonts w:ascii="Times New Roman" w:hAnsi="Times New Roman" w:cs="Times New Roman"/>
          <w:color w:val="000000"/>
          <w:sz w:val="24"/>
          <w:szCs w:val="24"/>
        </w:rPr>
        <w:t xml:space="preserve"> + (g10</w:t>
      </w:r>
      <w:r w:rsidRPr="005E23EB">
        <w:rPr>
          <w:rFonts w:ascii="Times New Roman" w:hAnsi="Times New Roman" w:cs="Times New Roman"/>
          <w:color w:val="000000"/>
          <w:sz w:val="24"/>
          <w:szCs w:val="24"/>
          <w:vertAlign w:val="subscript"/>
        </w:rPr>
        <w:t>0</w:t>
      </w:r>
      <w:r w:rsidRPr="005E23EB">
        <w:rPr>
          <w:rFonts w:ascii="Times New Roman" w:hAnsi="Times New Roman" w:cs="Times New Roman"/>
          <w:color w:val="000000"/>
          <w:sz w:val="24"/>
          <w:szCs w:val="24"/>
        </w:rPr>
        <w:t xml:space="preserve"> + u11.</w:t>
      </w:r>
      <w:r w:rsidRPr="005E23EB">
        <w:rPr>
          <w:rFonts w:ascii="Times New Roman" w:hAnsi="Times New Roman" w:cs="Times New Roman"/>
          <w:color w:val="000000"/>
          <w:sz w:val="24"/>
          <w:szCs w:val="24"/>
          <w:vertAlign w:val="subscript"/>
        </w:rPr>
        <w:t>j</w:t>
      </w:r>
      <w:r w:rsidRPr="005E23EB">
        <w:rPr>
          <w:rFonts w:ascii="Times New Roman" w:hAnsi="Times New Roman" w:cs="Times New Roman"/>
          <w:color w:val="000000"/>
          <w:sz w:val="24"/>
          <w:szCs w:val="24"/>
        </w:rPr>
        <w:t>)*</w:t>
      </w:r>
      <w:proofErr w:type="spellStart"/>
      <w:r w:rsidRPr="005E23EB">
        <w:rPr>
          <w:rFonts w:ascii="Times New Roman" w:hAnsi="Times New Roman" w:cs="Times New Roman"/>
          <w:i/>
          <w:color w:val="000000"/>
          <w:sz w:val="24"/>
          <w:szCs w:val="24"/>
        </w:rPr>
        <w:t>anprevgob</w:t>
      </w:r>
      <w:r w:rsidRPr="005E23EB">
        <w:rPr>
          <w:rFonts w:ascii="Times New Roman" w:hAnsi="Times New Roman" w:cs="Times New Roman"/>
          <w:color w:val="000000"/>
          <w:sz w:val="24"/>
          <w:szCs w:val="24"/>
        </w:rPr>
        <w:t>.</w:t>
      </w:r>
      <w:r w:rsidRPr="005E23EB">
        <w:rPr>
          <w:rFonts w:ascii="Times New Roman" w:hAnsi="Times New Roman" w:cs="Times New Roman"/>
          <w:color w:val="000000"/>
          <w:sz w:val="24"/>
          <w:szCs w:val="24"/>
          <w:vertAlign w:val="subscript"/>
        </w:rPr>
        <w:t>ij</w:t>
      </w:r>
      <w:proofErr w:type="spellEnd"/>
      <w:r w:rsidRPr="005E23EB">
        <w:rPr>
          <w:rFonts w:ascii="Times New Roman" w:hAnsi="Times New Roman" w:cs="Times New Roman"/>
          <w:color w:val="000000"/>
          <w:sz w:val="24"/>
          <w:szCs w:val="24"/>
        </w:rPr>
        <w:t xml:space="preserve"> + (g11</w:t>
      </w:r>
      <w:r w:rsidRPr="005E23EB">
        <w:rPr>
          <w:rFonts w:ascii="Times New Roman" w:hAnsi="Times New Roman" w:cs="Times New Roman"/>
          <w:color w:val="000000"/>
          <w:sz w:val="24"/>
          <w:szCs w:val="24"/>
          <w:vertAlign w:val="subscript"/>
        </w:rPr>
        <w:t>0</w:t>
      </w:r>
      <w:r w:rsidRPr="005E23EB">
        <w:rPr>
          <w:rFonts w:ascii="Times New Roman" w:hAnsi="Times New Roman" w:cs="Times New Roman"/>
          <w:color w:val="000000"/>
          <w:sz w:val="24"/>
          <w:szCs w:val="24"/>
        </w:rPr>
        <w:t xml:space="preserve"> + u12.</w:t>
      </w:r>
      <w:r w:rsidRPr="005E23EB">
        <w:rPr>
          <w:rFonts w:ascii="Times New Roman" w:hAnsi="Times New Roman" w:cs="Times New Roman"/>
          <w:color w:val="000000"/>
          <w:sz w:val="24"/>
          <w:szCs w:val="24"/>
          <w:vertAlign w:val="subscript"/>
        </w:rPr>
        <w:t>j</w:t>
      </w:r>
      <w:r w:rsidRPr="005E23EB">
        <w:rPr>
          <w:rFonts w:ascii="Times New Roman" w:hAnsi="Times New Roman" w:cs="Times New Roman"/>
          <w:color w:val="000000"/>
          <w:sz w:val="24"/>
          <w:szCs w:val="24"/>
        </w:rPr>
        <w:t>)*</w:t>
      </w:r>
      <w:proofErr w:type="spellStart"/>
      <w:r w:rsidRPr="005E23EB">
        <w:rPr>
          <w:rFonts w:ascii="Times New Roman" w:hAnsi="Times New Roman" w:cs="Times New Roman"/>
          <w:i/>
          <w:color w:val="000000"/>
          <w:sz w:val="24"/>
          <w:szCs w:val="24"/>
        </w:rPr>
        <w:t>anelectgob</w:t>
      </w:r>
      <w:r w:rsidRPr="005E23EB">
        <w:rPr>
          <w:rFonts w:ascii="Times New Roman" w:hAnsi="Times New Roman" w:cs="Times New Roman"/>
          <w:color w:val="000000"/>
          <w:sz w:val="24"/>
          <w:szCs w:val="24"/>
        </w:rPr>
        <w:t>.</w:t>
      </w:r>
      <w:r w:rsidRPr="005E23EB">
        <w:rPr>
          <w:rFonts w:ascii="Times New Roman" w:hAnsi="Times New Roman" w:cs="Times New Roman"/>
          <w:color w:val="000000"/>
          <w:sz w:val="24"/>
          <w:szCs w:val="24"/>
          <w:vertAlign w:val="subscript"/>
        </w:rPr>
        <w:t>ij</w:t>
      </w:r>
      <w:proofErr w:type="spellEnd"/>
      <w:r w:rsidRPr="005E23EB">
        <w:rPr>
          <w:rFonts w:ascii="Times New Roman" w:hAnsi="Times New Roman" w:cs="Times New Roman"/>
          <w:color w:val="000000"/>
          <w:sz w:val="24"/>
          <w:szCs w:val="24"/>
        </w:rPr>
        <w:t xml:space="preserve"> + </w:t>
      </w:r>
      <w:proofErr w:type="spellStart"/>
      <w:r w:rsidRPr="005E23EB">
        <w:rPr>
          <w:rFonts w:ascii="Times New Roman" w:hAnsi="Times New Roman" w:cs="Times New Roman"/>
          <w:color w:val="000000"/>
          <w:sz w:val="24"/>
          <w:szCs w:val="24"/>
        </w:rPr>
        <w:t>e.</w:t>
      </w:r>
      <w:r w:rsidRPr="005E23EB">
        <w:rPr>
          <w:rFonts w:ascii="Times New Roman" w:hAnsi="Times New Roman" w:cs="Times New Roman"/>
          <w:color w:val="000000"/>
          <w:sz w:val="24"/>
          <w:szCs w:val="24"/>
          <w:vertAlign w:val="subscript"/>
        </w:rPr>
        <w:t>ij</w:t>
      </w:r>
      <w:proofErr w:type="spellEnd"/>
      <w:r w:rsidRPr="005E23EB">
        <w:rPr>
          <w:rFonts w:ascii="Times New Roman" w:hAnsi="Times New Roman" w:cs="Times New Roman"/>
          <w:color w:val="000000"/>
          <w:sz w:val="24"/>
          <w:szCs w:val="24"/>
        </w:rPr>
        <w:t xml:space="preserve"> </w:t>
      </w:r>
    </w:p>
    <w:p w14:paraId="3F994A1F" w14:textId="77777777" w:rsidR="007760D0" w:rsidRPr="005E23EB" w:rsidRDefault="007760D0" w:rsidP="00213A10">
      <w:pPr>
        <w:pStyle w:val="HTMLconformatoprevio"/>
        <w:rPr>
          <w:color w:val="000000"/>
        </w:rPr>
      </w:pPr>
    </w:p>
    <w:p w14:paraId="76BD5269" w14:textId="77777777" w:rsidR="00074C53" w:rsidRPr="005E23EB" w:rsidRDefault="00074C53" w:rsidP="00762442">
      <w:pPr>
        <w:pStyle w:val="HTMLconformatoprevio"/>
        <w:spacing w:line="480" w:lineRule="auto"/>
        <w:jc w:val="both"/>
        <w:rPr>
          <w:rFonts w:ascii="Times New Roman" w:hAnsi="Times New Roman" w:cs="Times New Roman"/>
          <w:color w:val="000000"/>
          <w:sz w:val="24"/>
          <w:szCs w:val="24"/>
        </w:rPr>
      </w:pPr>
    </w:p>
    <w:p w14:paraId="580F8D77" w14:textId="77777777" w:rsidR="009F3D59" w:rsidRDefault="005F60B2" w:rsidP="00762442">
      <w:pPr>
        <w:pStyle w:val="HTMLconformatoprevio"/>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Lo </w:t>
      </w:r>
      <w:r w:rsidR="00023686">
        <w:rPr>
          <w:rFonts w:ascii="Times New Roman" w:hAnsi="Times New Roman" w:cs="Times New Roman"/>
          <w:color w:val="000000"/>
          <w:sz w:val="24"/>
          <w:szCs w:val="24"/>
        </w:rPr>
        <w:t xml:space="preserve">primero que hay que explicar </w:t>
      </w:r>
      <w:r>
        <w:rPr>
          <w:rFonts w:ascii="Times New Roman" w:hAnsi="Times New Roman" w:cs="Times New Roman"/>
          <w:color w:val="000000"/>
          <w:sz w:val="24"/>
          <w:szCs w:val="24"/>
        </w:rPr>
        <w:t>de estos modelos</w:t>
      </w:r>
      <w:r w:rsidR="00F16A3D">
        <w:rPr>
          <w:rFonts w:ascii="Times New Roman" w:hAnsi="Times New Roman" w:cs="Times New Roman"/>
          <w:color w:val="000000"/>
          <w:sz w:val="24"/>
          <w:szCs w:val="24"/>
        </w:rPr>
        <w:t xml:space="preserve"> son los subíndices, </w:t>
      </w:r>
      <w:r w:rsidR="00023686">
        <w:rPr>
          <w:rFonts w:ascii="Times New Roman" w:hAnsi="Times New Roman" w:cs="Times New Roman"/>
          <w:color w:val="000000"/>
          <w:sz w:val="24"/>
          <w:szCs w:val="24"/>
        </w:rPr>
        <w:t>mismos que</w:t>
      </w:r>
      <w:r w:rsidR="00F16A3D">
        <w:rPr>
          <w:rFonts w:ascii="Times New Roman" w:hAnsi="Times New Roman" w:cs="Times New Roman"/>
          <w:color w:val="000000"/>
          <w:sz w:val="24"/>
          <w:szCs w:val="24"/>
        </w:rPr>
        <w:t xml:space="preserve"> indican si </w:t>
      </w:r>
      <w:r w:rsidR="00296661">
        <w:rPr>
          <w:rFonts w:ascii="Times New Roman" w:hAnsi="Times New Roman" w:cs="Times New Roman"/>
          <w:color w:val="000000"/>
          <w:sz w:val="24"/>
          <w:szCs w:val="24"/>
        </w:rPr>
        <w:t>l</w:t>
      </w:r>
      <w:r w:rsidR="00F16A3D">
        <w:rPr>
          <w:rFonts w:ascii="Times New Roman" w:hAnsi="Times New Roman" w:cs="Times New Roman"/>
          <w:color w:val="000000"/>
          <w:sz w:val="24"/>
          <w:szCs w:val="24"/>
        </w:rPr>
        <w:t>a estimación de esa variable requiere efectos fijos o aleatorios.</w:t>
      </w:r>
      <w:r w:rsidR="002570EB">
        <w:rPr>
          <w:rFonts w:ascii="Times New Roman" w:hAnsi="Times New Roman" w:cs="Times New Roman"/>
          <w:color w:val="000000"/>
          <w:sz w:val="24"/>
          <w:szCs w:val="24"/>
        </w:rPr>
        <w:t xml:space="preserve"> Para ponerlo de manera sencilla, </w:t>
      </w:r>
      <w:r w:rsidR="00296661">
        <w:rPr>
          <w:rFonts w:ascii="Times New Roman" w:hAnsi="Times New Roman" w:cs="Times New Roman"/>
          <w:color w:val="000000"/>
          <w:sz w:val="24"/>
          <w:szCs w:val="24"/>
        </w:rPr>
        <w:t xml:space="preserve">las variables explicativas que varían en el nivel 1, es decir, </w:t>
      </w:r>
      <w:r w:rsidR="00702603">
        <w:rPr>
          <w:rFonts w:ascii="Times New Roman" w:hAnsi="Times New Roman" w:cs="Times New Roman"/>
          <w:color w:val="000000"/>
          <w:sz w:val="24"/>
          <w:szCs w:val="24"/>
        </w:rPr>
        <w:t xml:space="preserve">aquellas en </w:t>
      </w:r>
      <w:r w:rsidR="00296661">
        <w:rPr>
          <w:rFonts w:ascii="Times New Roman" w:hAnsi="Times New Roman" w:cs="Times New Roman"/>
          <w:color w:val="000000"/>
          <w:sz w:val="24"/>
          <w:szCs w:val="24"/>
        </w:rPr>
        <w:t>que existan diferencias</w:t>
      </w:r>
      <w:r w:rsidR="005E17D7">
        <w:rPr>
          <w:rFonts w:ascii="Times New Roman" w:hAnsi="Times New Roman" w:cs="Times New Roman"/>
          <w:color w:val="000000"/>
          <w:sz w:val="24"/>
          <w:szCs w:val="24"/>
        </w:rPr>
        <w:t xml:space="preserve"> en las observaciones que registra un mismo municipio a lo largo del tiempo</w:t>
      </w:r>
      <w:r w:rsidR="00296661">
        <w:rPr>
          <w:rFonts w:ascii="Times New Roman" w:hAnsi="Times New Roman" w:cs="Times New Roman"/>
          <w:color w:val="000000"/>
          <w:sz w:val="24"/>
          <w:szCs w:val="24"/>
        </w:rPr>
        <w:t xml:space="preserve"> </w:t>
      </w:r>
      <w:r w:rsidR="00296661">
        <w:rPr>
          <w:rFonts w:ascii="Times New Roman" w:hAnsi="Times New Roman" w:cs="Times New Roman"/>
          <w:color w:val="000000"/>
          <w:sz w:val="24"/>
          <w:szCs w:val="24"/>
        </w:rPr>
        <w:lastRenderedPageBreak/>
        <w:t xml:space="preserve">tendrán subíndice </w:t>
      </w:r>
      <w:proofErr w:type="spellStart"/>
      <w:r w:rsidR="00296661">
        <w:rPr>
          <w:rFonts w:ascii="Times New Roman" w:hAnsi="Times New Roman" w:cs="Times New Roman"/>
          <w:color w:val="000000"/>
          <w:sz w:val="24"/>
          <w:szCs w:val="24"/>
        </w:rPr>
        <w:t>ij</w:t>
      </w:r>
      <w:proofErr w:type="spellEnd"/>
      <w:r w:rsidR="00296661">
        <w:rPr>
          <w:rFonts w:ascii="Times New Roman" w:hAnsi="Times New Roman" w:cs="Times New Roman"/>
          <w:color w:val="000000"/>
          <w:sz w:val="24"/>
          <w:szCs w:val="24"/>
        </w:rPr>
        <w:t>.</w:t>
      </w:r>
      <w:r w:rsidR="005E17D7">
        <w:rPr>
          <w:rFonts w:ascii="Times New Roman" w:hAnsi="Times New Roman" w:cs="Times New Roman"/>
          <w:color w:val="000000"/>
          <w:sz w:val="24"/>
          <w:szCs w:val="24"/>
        </w:rPr>
        <w:t xml:space="preserve"> Por ejemplo, existe variación en la variable de año electoral a lo largo del tiempo dependiendo si hubo alguna elección o no en un mismo municipio.</w:t>
      </w:r>
      <w:r w:rsidR="00296661">
        <w:rPr>
          <w:rFonts w:ascii="Times New Roman" w:hAnsi="Times New Roman" w:cs="Times New Roman"/>
          <w:color w:val="000000"/>
          <w:sz w:val="24"/>
          <w:szCs w:val="24"/>
        </w:rPr>
        <w:t xml:space="preserve"> </w:t>
      </w:r>
    </w:p>
    <w:p w14:paraId="67B2E9DE" w14:textId="77777777" w:rsidR="00F16A3D" w:rsidRDefault="009F3D59" w:rsidP="00762442">
      <w:pPr>
        <w:pStyle w:val="HTMLconformatoprevio"/>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296661">
        <w:rPr>
          <w:rFonts w:ascii="Times New Roman" w:hAnsi="Times New Roman" w:cs="Times New Roman"/>
          <w:color w:val="000000"/>
          <w:sz w:val="24"/>
          <w:szCs w:val="24"/>
        </w:rPr>
        <w:t xml:space="preserve">Por su parte, aquellas variables que sólo cambien entre municipios, pero </w:t>
      </w:r>
      <w:r w:rsidR="005E17D7">
        <w:rPr>
          <w:rFonts w:ascii="Times New Roman" w:hAnsi="Times New Roman" w:cs="Times New Roman"/>
          <w:color w:val="000000"/>
          <w:sz w:val="24"/>
          <w:szCs w:val="24"/>
        </w:rPr>
        <w:t>cada municipio por separado presente los mismos valores a lo largo del tiempo</w:t>
      </w:r>
      <w:r w:rsidR="00296661">
        <w:rPr>
          <w:rFonts w:ascii="Times New Roman" w:hAnsi="Times New Roman" w:cs="Times New Roman"/>
          <w:color w:val="000000"/>
          <w:sz w:val="24"/>
          <w:szCs w:val="24"/>
        </w:rPr>
        <w:t xml:space="preserve"> tendrán </w:t>
      </w:r>
      <w:r w:rsidR="005E17D7">
        <w:rPr>
          <w:rFonts w:ascii="Times New Roman" w:hAnsi="Times New Roman" w:cs="Times New Roman"/>
          <w:color w:val="000000"/>
          <w:sz w:val="24"/>
          <w:szCs w:val="24"/>
        </w:rPr>
        <w:t xml:space="preserve">únicamente </w:t>
      </w:r>
      <w:r w:rsidR="00296661">
        <w:rPr>
          <w:rFonts w:ascii="Times New Roman" w:hAnsi="Times New Roman" w:cs="Times New Roman"/>
          <w:color w:val="000000"/>
          <w:sz w:val="24"/>
          <w:szCs w:val="24"/>
        </w:rPr>
        <w:t>subíndice j, lo que indica que existe variaci</w:t>
      </w:r>
      <w:r w:rsidR="00BC6349">
        <w:rPr>
          <w:rFonts w:ascii="Times New Roman" w:hAnsi="Times New Roman" w:cs="Times New Roman"/>
          <w:color w:val="000000"/>
          <w:sz w:val="24"/>
          <w:szCs w:val="24"/>
        </w:rPr>
        <w:t>ón en el nivel de grupos.</w:t>
      </w:r>
      <w:r w:rsidR="005E17D7">
        <w:rPr>
          <w:rFonts w:ascii="Times New Roman" w:hAnsi="Times New Roman" w:cs="Times New Roman"/>
          <w:color w:val="000000"/>
          <w:sz w:val="24"/>
          <w:szCs w:val="24"/>
        </w:rPr>
        <w:t xml:space="preserve"> Por ejemplo, la población se tomará como constante durante todo el período para un mismo municipio, al no contar con mediciones anuales de dicha variable; sin embargo, sí existe variación entre la población de cada uno de los municipios de la muestra.</w:t>
      </w:r>
    </w:p>
    <w:p w14:paraId="55C2C91B" w14:textId="77777777" w:rsidR="00296661" w:rsidRPr="00BC6349" w:rsidRDefault="00296661" w:rsidP="00762442">
      <w:pPr>
        <w:pStyle w:val="HTMLconformatoprevio"/>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023686">
        <w:rPr>
          <w:rFonts w:ascii="Times New Roman" w:hAnsi="Times New Roman" w:cs="Times New Roman"/>
          <w:color w:val="000000"/>
          <w:sz w:val="24"/>
          <w:szCs w:val="24"/>
        </w:rPr>
        <w:t>Ahora bien, l</w:t>
      </w:r>
      <w:r w:rsidR="00702603">
        <w:rPr>
          <w:rFonts w:ascii="Times New Roman" w:hAnsi="Times New Roman" w:cs="Times New Roman"/>
          <w:color w:val="000000"/>
          <w:sz w:val="24"/>
          <w:szCs w:val="24"/>
        </w:rPr>
        <w:t>os modelos nivel 1 especifican las variables independientes que serán utilizadas para explicar una dependiente, en este caso dos, y el nivel de agregación en el que se tienen los datos</w:t>
      </w:r>
      <w:r w:rsidR="004A0562">
        <w:rPr>
          <w:rFonts w:ascii="Times New Roman" w:hAnsi="Times New Roman" w:cs="Times New Roman"/>
          <w:color w:val="000000"/>
          <w:sz w:val="24"/>
          <w:szCs w:val="24"/>
        </w:rPr>
        <w:t>, a través de los subíndices</w:t>
      </w:r>
      <w:r w:rsidR="00702603">
        <w:rPr>
          <w:rFonts w:ascii="Times New Roman" w:hAnsi="Times New Roman" w:cs="Times New Roman"/>
          <w:color w:val="000000"/>
          <w:sz w:val="24"/>
          <w:szCs w:val="24"/>
        </w:rPr>
        <w:t xml:space="preserve">. </w:t>
      </w:r>
      <w:r>
        <w:rPr>
          <w:rFonts w:ascii="Times New Roman" w:hAnsi="Times New Roman" w:cs="Times New Roman"/>
          <w:color w:val="000000"/>
          <w:sz w:val="24"/>
          <w:szCs w:val="24"/>
        </w:rPr>
        <w:t>La segunda parte (modelos nivel 2) únicamente quiere decir que cada intercepto del modelo uno se compone por un intercepto global que se estima con la totalidad de las observaciones</w:t>
      </w:r>
      <w:r w:rsidR="00BC6349">
        <w:rPr>
          <w:rFonts w:ascii="Times New Roman" w:hAnsi="Times New Roman" w:cs="Times New Roman"/>
          <w:color w:val="000000"/>
          <w:sz w:val="24"/>
          <w:szCs w:val="24"/>
        </w:rPr>
        <w:t>. A su vez</w:t>
      </w:r>
      <w:r w:rsidR="009F3D59">
        <w:rPr>
          <w:rFonts w:ascii="Times New Roman" w:hAnsi="Times New Roman" w:cs="Times New Roman"/>
          <w:color w:val="000000"/>
          <w:sz w:val="24"/>
          <w:szCs w:val="24"/>
        </w:rPr>
        <w:t xml:space="preserve"> se </w:t>
      </w:r>
      <w:r w:rsidR="00BC6349">
        <w:rPr>
          <w:rFonts w:ascii="Times New Roman" w:hAnsi="Times New Roman" w:cs="Times New Roman"/>
          <w:color w:val="000000"/>
          <w:sz w:val="24"/>
          <w:szCs w:val="24"/>
        </w:rPr>
        <w:t>incorpora un error entre grupos</w:t>
      </w:r>
      <w:r>
        <w:rPr>
          <w:rFonts w:ascii="Times New Roman" w:hAnsi="Times New Roman" w:cs="Times New Roman"/>
          <w:color w:val="000000"/>
          <w:sz w:val="24"/>
          <w:szCs w:val="24"/>
        </w:rPr>
        <w:t xml:space="preserve"> </w:t>
      </w:r>
      <w:proofErr w:type="spellStart"/>
      <w:r w:rsidR="00BC6349">
        <w:rPr>
          <w:rFonts w:ascii="Times New Roman" w:hAnsi="Times New Roman" w:cs="Times New Roman"/>
          <w:color w:val="000000"/>
          <w:sz w:val="24"/>
          <w:szCs w:val="24"/>
        </w:rPr>
        <w:t>u</w:t>
      </w:r>
      <w:r w:rsidR="00BC6349">
        <w:rPr>
          <w:rFonts w:ascii="Times New Roman" w:hAnsi="Times New Roman" w:cs="Times New Roman"/>
          <w:color w:val="000000"/>
          <w:sz w:val="24"/>
          <w:szCs w:val="24"/>
          <w:vertAlign w:val="subscript"/>
        </w:rPr>
        <w:t>j</w:t>
      </w:r>
      <w:proofErr w:type="spellEnd"/>
      <w:r w:rsidR="00BC6349">
        <w:rPr>
          <w:rFonts w:ascii="Times New Roman" w:hAnsi="Times New Roman" w:cs="Times New Roman"/>
          <w:color w:val="000000"/>
          <w:sz w:val="24"/>
          <w:szCs w:val="24"/>
        </w:rPr>
        <w:t xml:space="preserve"> y no solamente el error entre individuos (</w:t>
      </w:r>
      <w:proofErr w:type="spellStart"/>
      <w:r w:rsidR="00BC6349">
        <w:rPr>
          <w:rFonts w:ascii="Times New Roman" w:hAnsi="Times New Roman" w:cs="Times New Roman"/>
          <w:color w:val="000000"/>
          <w:sz w:val="24"/>
          <w:szCs w:val="24"/>
        </w:rPr>
        <w:t>e</w:t>
      </w:r>
      <w:r w:rsidR="00BC6349">
        <w:rPr>
          <w:rFonts w:ascii="Times New Roman" w:hAnsi="Times New Roman" w:cs="Times New Roman"/>
          <w:color w:val="000000"/>
          <w:sz w:val="24"/>
          <w:szCs w:val="24"/>
          <w:vertAlign w:val="subscript"/>
        </w:rPr>
        <w:t>ij</w:t>
      </w:r>
      <w:proofErr w:type="spellEnd"/>
      <w:r w:rsidR="00BC6349">
        <w:rPr>
          <w:rFonts w:ascii="Times New Roman" w:hAnsi="Times New Roman" w:cs="Times New Roman"/>
          <w:color w:val="000000"/>
          <w:sz w:val="24"/>
          <w:szCs w:val="24"/>
        </w:rPr>
        <w:t xml:space="preserve">) que se había calculado en el modelo uno. Por último, en las especificaciones compuestas se hace la sustitución de las betas o </w:t>
      </w:r>
      <w:proofErr w:type="spellStart"/>
      <w:r w:rsidR="00BC6349">
        <w:rPr>
          <w:rFonts w:ascii="Times New Roman" w:hAnsi="Times New Roman" w:cs="Times New Roman"/>
          <w:color w:val="000000"/>
          <w:sz w:val="24"/>
          <w:szCs w:val="24"/>
        </w:rPr>
        <w:t>interceptos</w:t>
      </w:r>
      <w:proofErr w:type="spellEnd"/>
      <w:r w:rsidR="00BC6349">
        <w:rPr>
          <w:rFonts w:ascii="Times New Roman" w:hAnsi="Times New Roman" w:cs="Times New Roman"/>
          <w:color w:val="000000"/>
          <w:sz w:val="24"/>
          <w:szCs w:val="24"/>
        </w:rPr>
        <w:t xml:space="preserve">, por los </w:t>
      </w:r>
      <w:proofErr w:type="spellStart"/>
      <w:r w:rsidR="00BC6349">
        <w:rPr>
          <w:rFonts w:ascii="Times New Roman" w:hAnsi="Times New Roman" w:cs="Times New Roman"/>
          <w:color w:val="000000"/>
          <w:sz w:val="24"/>
          <w:szCs w:val="24"/>
        </w:rPr>
        <w:t>interceptos</w:t>
      </w:r>
      <w:proofErr w:type="spellEnd"/>
      <w:r w:rsidR="00BC6349">
        <w:rPr>
          <w:rFonts w:ascii="Times New Roman" w:hAnsi="Times New Roman" w:cs="Times New Roman"/>
          <w:color w:val="000000"/>
          <w:sz w:val="24"/>
          <w:szCs w:val="24"/>
        </w:rPr>
        <w:t xml:space="preserve"> globales y errores entre grupos, para generar así, un modelo parcialmente agrupado (</w:t>
      </w:r>
      <w:proofErr w:type="spellStart"/>
      <w:r w:rsidR="00BC6349">
        <w:rPr>
          <w:rFonts w:ascii="Times New Roman" w:hAnsi="Times New Roman" w:cs="Times New Roman"/>
          <w:i/>
          <w:color w:val="000000"/>
          <w:sz w:val="24"/>
          <w:szCs w:val="24"/>
        </w:rPr>
        <w:t>partially</w:t>
      </w:r>
      <w:proofErr w:type="spellEnd"/>
      <w:r w:rsidR="00BC6349">
        <w:rPr>
          <w:rFonts w:ascii="Times New Roman" w:hAnsi="Times New Roman" w:cs="Times New Roman"/>
          <w:i/>
          <w:color w:val="000000"/>
          <w:sz w:val="24"/>
          <w:szCs w:val="24"/>
        </w:rPr>
        <w:t xml:space="preserve"> </w:t>
      </w:r>
      <w:proofErr w:type="spellStart"/>
      <w:r w:rsidR="00BC6349">
        <w:rPr>
          <w:rFonts w:ascii="Times New Roman" w:hAnsi="Times New Roman" w:cs="Times New Roman"/>
          <w:i/>
          <w:color w:val="000000"/>
          <w:sz w:val="24"/>
          <w:szCs w:val="24"/>
        </w:rPr>
        <w:t>pooled</w:t>
      </w:r>
      <w:proofErr w:type="spellEnd"/>
      <w:r w:rsidR="00BC6349">
        <w:rPr>
          <w:rFonts w:ascii="Times New Roman" w:hAnsi="Times New Roman" w:cs="Times New Roman"/>
          <w:color w:val="000000"/>
          <w:sz w:val="24"/>
          <w:szCs w:val="24"/>
        </w:rPr>
        <w:t>).</w:t>
      </w:r>
    </w:p>
    <w:p w14:paraId="2CA9FA62" w14:textId="12D34EBD" w:rsidR="00E71756" w:rsidRDefault="00296661" w:rsidP="00762442">
      <w:pPr>
        <w:pStyle w:val="HTMLconformatoprevio"/>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762442" w:rsidRPr="00762442">
        <w:rPr>
          <w:rFonts w:ascii="Times New Roman" w:hAnsi="Times New Roman" w:cs="Times New Roman"/>
          <w:color w:val="000000"/>
          <w:sz w:val="24"/>
          <w:szCs w:val="24"/>
        </w:rPr>
        <w:t>Estos son los modelos general</w:t>
      </w:r>
      <w:r w:rsidR="00762442">
        <w:rPr>
          <w:rFonts w:ascii="Times New Roman" w:hAnsi="Times New Roman" w:cs="Times New Roman"/>
          <w:color w:val="000000"/>
          <w:sz w:val="24"/>
          <w:szCs w:val="24"/>
        </w:rPr>
        <w:t>e</w:t>
      </w:r>
      <w:r w:rsidR="00762442" w:rsidRPr="00762442">
        <w:rPr>
          <w:rFonts w:ascii="Times New Roman" w:hAnsi="Times New Roman" w:cs="Times New Roman"/>
          <w:color w:val="000000"/>
          <w:sz w:val="24"/>
          <w:szCs w:val="24"/>
        </w:rPr>
        <w:t>s</w:t>
      </w:r>
      <w:r w:rsidR="003D4221">
        <w:rPr>
          <w:rFonts w:ascii="Times New Roman" w:hAnsi="Times New Roman" w:cs="Times New Roman"/>
          <w:color w:val="000000"/>
          <w:sz w:val="24"/>
          <w:szCs w:val="24"/>
        </w:rPr>
        <w:t>–tanto de monto per cápita, como de número de proyectos—</w:t>
      </w:r>
      <w:r w:rsidR="00762442" w:rsidRPr="00762442">
        <w:rPr>
          <w:rFonts w:ascii="Times New Roman" w:hAnsi="Times New Roman" w:cs="Times New Roman"/>
          <w:color w:val="000000"/>
          <w:sz w:val="24"/>
          <w:szCs w:val="24"/>
        </w:rPr>
        <w:t>que a su vez ser</w:t>
      </w:r>
      <w:r w:rsidR="00762442">
        <w:rPr>
          <w:rFonts w:ascii="Times New Roman" w:hAnsi="Times New Roman" w:cs="Times New Roman"/>
          <w:color w:val="000000"/>
          <w:sz w:val="24"/>
          <w:szCs w:val="24"/>
        </w:rPr>
        <w:t>án complementad</w:t>
      </w:r>
      <w:r w:rsidR="003D4221">
        <w:rPr>
          <w:rFonts w:ascii="Times New Roman" w:hAnsi="Times New Roman" w:cs="Times New Roman"/>
          <w:color w:val="000000"/>
          <w:sz w:val="24"/>
          <w:szCs w:val="24"/>
        </w:rPr>
        <w:t>os con las respectivas desagregaciones</w:t>
      </w:r>
      <w:r w:rsidR="00762442">
        <w:rPr>
          <w:rFonts w:ascii="Times New Roman" w:hAnsi="Times New Roman" w:cs="Times New Roman"/>
          <w:color w:val="000000"/>
          <w:sz w:val="24"/>
          <w:szCs w:val="24"/>
        </w:rPr>
        <w:t xml:space="preserve"> </w:t>
      </w:r>
      <w:r w:rsidR="00BC6349">
        <w:rPr>
          <w:rFonts w:ascii="Times New Roman" w:hAnsi="Times New Roman" w:cs="Times New Roman"/>
          <w:color w:val="000000"/>
          <w:sz w:val="24"/>
          <w:szCs w:val="24"/>
        </w:rPr>
        <w:t>por</w:t>
      </w:r>
      <w:r w:rsidR="0096687D">
        <w:rPr>
          <w:rFonts w:ascii="Times New Roman" w:hAnsi="Times New Roman" w:cs="Times New Roman"/>
          <w:color w:val="000000"/>
          <w:sz w:val="24"/>
          <w:szCs w:val="24"/>
        </w:rPr>
        <w:t xml:space="preserve"> </w:t>
      </w:r>
      <w:r w:rsidR="00762442">
        <w:rPr>
          <w:rFonts w:ascii="Times New Roman" w:hAnsi="Times New Roman" w:cs="Times New Roman"/>
          <w:color w:val="000000"/>
          <w:sz w:val="24"/>
          <w:szCs w:val="24"/>
        </w:rPr>
        <w:t>entidad federativa.</w:t>
      </w:r>
      <w:r w:rsidR="00074C53">
        <w:rPr>
          <w:rFonts w:ascii="Times New Roman" w:hAnsi="Times New Roman" w:cs="Times New Roman"/>
          <w:color w:val="000000"/>
          <w:sz w:val="24"/>
          <w:szCs w:val="24"/>
        </w:rPr>
        <w:t xml:space="preserve"> La ventaja de utilizar un modelo multinivel es que su construcción toma en cuenta la varianza entre individuos, pero también entre grupos.</w:t>
      </w:r>
      <w:r w:rsidR="00077B15">
        <w:rPr>
          <w:rFonts w:ascii="Times New Roman" w:hAnsi="Times New Roman" w:cs="Times New Roman"/>
          <w:color w:val="000000"/>
          <w:sz w:val="24"/>
          <w:szCs w:val="24"/>
        </w:rPr>
        <w:t xml:space="preserve"> </w:t>
      </w:r>
      <w:r w:rsidR="00074C53">
        <w:rPr>
          <w:rFonts w:ascii="Times New Roman" w:hAnsi="Times New Roman" w:cs="Times New Roman"/>
          <w:color w:val="000000"/>
          <w:sz w:val="24"/>
          <w:szCs w:val="24"/>
        </w:rPr>
        <w:t>A</w:t>
      </w:r>
      <w:r w:rsidR="00F425BD">
        <w:rPr>
          <w:rFonts w:ascii="Times New Roman" w:hAnsi="Times New Roman" w:cs="Times New Roman"/>
          <w:color w:val="000000"/>
          <w:sz w:val="24"/>
          <w:szCs w:val="24"/>
        </w:rPr>
        <w:t>l</w:t>
      </w:r>
      <w:r w:rsidR="00074C53">
        <w:rPr>
          <w:rFonts w:ascii="Times New Roman" w:hAnsi="Times New Roman" w:cs="Times New Roman"/>
          <w:color w:val="000000"/>
          <w:sz w:val="24"/>
          <w:szCs w:val="24"/>
        </w:rPr>
        <w:t xml:space="preserve"> tener una base de datos de tipo panel, resulta un modelo muy conveniente para poder agregar los datos tanto a nivel municipal, como a nivel estatal</w:t>
      </w:r>
      <w:r w:rsidR="004A0562">
        <w:rPr>
          <w:rFonts w:ascii="Times New Roman" w:hAnsi="Times New Roman" w:cs="Times New Roman"/>
          <w:color w:val="000000"/>
          <w:sz w:val="24"/>
          <w:szCs w:val="24"/>
        </w:rPr>
        <w:t xml:space="preserve"> e identificar los distintos efectos que puedan presentarse dependiendo de la entidad federativa de que se trate</w:t>
      </w:r>
      <w:r w:rsidR="00074C53">
        <w:rPr>
          <w:rFonts w:ascii="Times New Roman" w:hAnsi="Times New Roman" w:cs="Times New Roman"/>
          <w:color w:val="000000"/>
          <w:sz w:val="24"/>
          <w:szCs w:val="24"/>
        </w:rPr>
        <w:t>.</w:t>
      </w:r>
    </w:p>
    <w:p w14:paraId="1F173440" w14:textId="77777777" w:rsidR="00002382" w:rsidRPr="00AC6F8A" w:rsidRDefault="00696799" w:rsidP="00610F80">
      <w:pPr>
        <w:pStyle w:val="Prrafodelista"/>
        <w:numPr>
          <w:ilvl w:val="0"/>
          <w:numId w:val="1"/>
        </w:numPr>
        <w:spacing w:after="0" w:line="480" w:lineRule="auto"/>
        <w:jc w:val="both"/>
        <w:outlineLvl w:val="0"/>
        <w:rPr>
          <w:rFonts w:ascii="Times New Roman" w:eastAsia="Times New Roman" w:hAnsi="Times New Roman" w:cs="Times New Roman"/>
          <w:i/>
          <w:sz w:val="24"/>
          <w:szCs w:val="24"/>
          <w:u w:val="single"/>
        </w:rPr>
      </w:pPr>
      <w:r w:rsidRPr="00AC6F8A">
        <w:rPr>
          <w:rFonts w:ascii="Times New Roman" w:eastAsia="Times New Roman" w:hAnsi="Times New Roman" w:cs="Times New Roman"/>
          <w:i/>
          <w:sz w:val="24"/>
          <w:szCs w:val="24"/>
          <w:u w:val="single"/>
        </w:rPr>
        <w:lastRenderedPageBreak/>
        <w:t xml:space="preserve"> </w:t>
      </w:r>
      <w:bookmarkStart w:id="7" w:name="_Toc382321803"/>
      <w:r w:rsidRPr="00AC6F8A">
        <w:rPr>
          <w:rFonts w:ascii="Times New Roman" w:eastAsia="Times New Roman" w:hAnsi="Times New Roman" w:cs="Times New Roman"/>
          <w:i/>
          <w:sz w:val="24"/>
          <w:szCs w:val="24"/>
          <w:u w:val="single"/>
        </w:rPr>
        <w:t>Resultados</w:t>
      </w:r>
      <w:bookmarkEnd w:id="7"/>
    </w:p>
    <w:p w14:paraId="583C4B6C" w14:textId="11A3D647" w:rsidR="0043024C" w:rsidRDefault="00DC681A" w:rsidP="0069679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 base en el modelo que propuse en el apartado anterior, en esta sección </w:t>
      </w:r>
      <w:r w:rsidR="00542318">
        <w:rPr>
          <w:rFonts w:ascii="Times New Roman" w:hAnsi="Times New Roman" w:cs="Times New Roman"/>
          <w:sz w:val="24"/>
          <w:szCs w:val="24"/>
        </w:rPr>
        <w:t xml:space="preserve">analizo </w:t>
      </w:r>
      <w:r>
        <w:rPr>
          <w:rFonts w:ascii="Times New Roman" w:hAnsi="Times New Roman" w:cs="Times New Roman"/>
          <w:sz w:val="24"/>
          <w:szCs w:val="24"/>
        </w:rPr>
        <w:t>los resultados.</w:t>
      </w:r>
      <w:r w:rsidR="009219BC">
        <w:rPr>
          <w:rFonts w:ascii="Times New Roman" w:hAnsi="Times New Roman" w:cs="Times New Roman"/>
          <w:sz w:val="24"/>
          <w:szCs w:val="24"/>
        </w:rPr>
        <w:t xml:space="preserve"> Para comenzar presentaré </w:t>
      </w:r>
      <w:r w:rsidR="006F77E5">
        <w:rPr>
          <w:rFonts w:ascii="Times New Roman" w:hAnsi="Times New Roman" w:cs="Times New Roman"/>
          <w:sz w:val="24"/>
          <w:szCs w:val="24"/>
        </w:rPr>
        <w:t>alg</w:t>
      </w:r>
      <w:r w:rsidR="00CA0187">
        <w:rPr>
          <w:rFonts w:ascii="Times New Roman" w:hAnsi="Times New Roman" w:cs="Times New Roman"/>
          <w:sz w:val="24"/>
          <w:szCs w:val="24"/>
        </w:rPr>
        <w:t>unos datos de</w:t>
      </w:r>
      <w:r w:rsidR="006F77E5">
        <w:rPr>
          <w:rFonts w:ascii="Times New Roman" w:hAnsi="Times New Roman" w:cs="Times New Roman"/>
          <w:sz w:val="24"/>
          <w:szCs w:val="24"/>
        </w:rPr>
        <w:t xml:space="preserve"> </w:t>
      </w:r>
      <w:r w:rsidR="009219BC">
        <w:rPr>
          <w:rFonts w:ascii="Times New Roman" w:hAnsi="Times New Roman" w:cs="Times New Roman"/>
          <w:sz w:val="24"/>
          <w:szCs w:val="24"/>
        </w:rPr>
        <w:t xml:space="preserve">estadística descriptiva </w:t>
      </w:r>
      <w:r w:rsidR="00542318">
        <w:rPr>
          <w:rFonts w:ascii="Times New Roman" w:hAnsi="Times New Roman" w:cs="Times New Roman"/>
          <w:sz w:val="24"/>
          <w:szCs w:val="24"/>
        </w:rPr>
        <w:t xml:space="preserve">a fin de </w:t>
      </w:r>
      <w:r w:rsidR="009219BC">
        <w:rPr>
          <w:rFonts w:ascii="Times New Roman" w:hAnsi="Times New Roman" w:cs="Times New Roman"/>
          <w:sz w:val="24"/>
          <w:szCs w:val="24"/>
        </w:rPr>
        <w:t>mostrar un panorama genera</w:t>
      </w:r>
      <w:r w:rsidR="00CA0187">
        <w:rPr>
          <w:rFonts w:ascii="Times New Roman" w:hAnsi="Times New Roman" w:cs="Times New Roman"/>
          <w:sz w:val="24"/>
          <w:szCs w:val="24"/>
        </w:rPr>
        <w:t xml:space="preserve">l </w:t>
      </w:r>
      <w:r w:rsidR="003234DB">
        <w:rPr>
          <w:rFonts w:ascii="Times New Roman" w:hAnsi="Times New Roman" w:cs="Times New Roman"/>
          <w:sz w:val="24"/>
          <w:szCs w:val="24"/>
        </w:rPr>
        <w:t>de</w:t>
      </w:r>
      <w:r w:rsidR="00CA0187">
        <w:rPr>
          <w:rFonts w:ascii="Times New Roman" w:hAnsi="Times New Roman" w:cs="Times New Roman"/>
          <w:sz w:val="24"/>
          <w:szCs w:val="24"/>
        </w:rPr>
        <w:t xml:space="preserve"> las asignaciones municipales con recursos del </w:t>
      </w:r>
      <w:proofErr w:type="spellStart"/>
      <w:r w:rsidR="009219BC">
        <w:rPr>
          <w:rFonts w:ascii="Times New Roman" w:hAnsi="Times New Roman" w:cs="Times New Roman"/>
          <w:sz w:val="24"/>
          <w:szCs w:val="24"/>
        </w:rPr>
        <w:t>Fonregi</w:t>
      </w:r>
      <w:r w:rsidR="006F77E5">
        <w:rPr>
          <w:rFonts w:ascii="Times New Roman" w:hAnsi="Times New Roman" w:cs="Times New Roman"/>
          <w:sz w:val="24"/>
          <w:szCs w:val="24"/>
        </w:rPr>
        <w:t>ón</w:t>
      </w:r>
      <w:proofErr w:type="spellEnd"/>
      <w:r w:rsidR="006F77E5">
        <w:rPr>
          <w:rFonts w:ascii="Times New Roman" w:hAnsi="Times New Roman" w:cs="Times New Roman"/>
          <w:sz w:val="24"/>
          <w:szCs w:val="24"/>
        </w:rPr>
        <w:t xml:space="preserve">. </w:t>
      </w:r>
      <w:r w:rsidR="00C44560">
        <w:rPr>
          <w:rFonts w:ascii="Times New Roman" w:hAnsi="Times New Roman" w:cs="Times New Roman"/>
          <w:sz w:val="24"/>
          <w:szCs w:val="24"/>
        </w:rPr>
        <w:t>A</w:t>
      </w:r>
      <w:r w:rsidR="000D045E">
        <w:rPr>
          <w:rFonts w:ascii="Times New Roman" w:hAnsi="Times New Roman" w:cs="Times New Roman"/>
          <w:sz w:val="24"/>
          <w:szCs w:val="24"/>
        </w:rPr>
        <w:t>l hacer correlaciones entre la</w:t>
      </w:r>
      <w:r w:rsidR="006F77E5">
        <w:rPr>
          <w:rFonts w:ascii="Times New Roman" w:hAnsi="Times New Roman" w:cs="Times New Roman"/>
          <w:sz w:val="24"/>
          <w:szCs w:val="24"/>
        </w:rPr>
        <w:t>s variables independientes</w:t>
      </w:r>
      <w:r w:rsidR="000D045E">
        <w:rPr>
          <w:rFonts w:ascii="Times New Roman" w:hAnsi="Times New Roman" w:cs="Times New Roman"/>
          <w:sz w:val="24"/>
          <w:szCs w:val="24"/>
        </w:rPr>
        <w:t xml:space="preserve"> principales y las dos dependientes</w:t>
      </w:r>
      <w:r w:rsidR="006F77E5">
        <w:rPr>
          <w:rFonts w:ascii="Times New Roman" w:hAnsi="Times New Roman" w:cs="Times New Roman"/>
          <w:sz w:val="24"/>
          <w:szCs w:val="24"/>
        </w:rPr>
        <w:t>, es posible observar que existe muy poca correlación en</w:t>
      </w:r>
      <w:r w:rsidR="000D045E">
        <w:rPr>
          <w:rFonts w:ascii="Times New Roman" w:hAnsi="Times New Roman" w:cs="Times New Roman"/>
          <w:sz w:val="24"/>
          <w:szCs w:val="24"/>
        </w:rPr>
        <w:t>tre ellas.</w:t>
      </w:r>
      <w:r w:rsidR="00A9227F">
        <w:rPr>
          <w:rFonts w:ascii="Times New Roman" w:hAnsi="Times New Roman" w:cs="Times New Roman"/>
          <w:sz w:val="24"/>
          <w:szCs w:val="24"/>
        </w:rPr>
        <w:t xml:space="preserve"> La correlación de monto per cápita con margen de victoria</w:t>
      </w:r>
      <w:r w:rsidR="0096687D">
        <w:rPr>
          <w:rFonts w:ascii="Times New Roman" w:hAnsi="Times New Roman" w:cs="Times New Roman"/>
          <w:sz w:val="24"/>
          <w:szCs w:val="24"/>
        </w:rPr>
        <w:t xml:space="preserve"> </w:t>
      </w:r>
      <w:r w:rsidR="00A9227F">
        <w:rPr>
          <w:rFonts w:ascii="Times New Roman" w:hAnsi="Times New Roman" w:cs="Times New Roman"/>
          <w:sz w:val="24"/>
          <w:szCs w:val="24"/>
        </w:rPr>
        <w:t>apenas es de 0.00</w:t>
      </w:r>
      <w:r w:rsidR="00277BAC">
        <w:rPr>
          <w:rFonts w:ascii="Times New Roman" w:hAnsi="Times New Roman" w:cs="Times New Roman"/>
          <w:sz w:val="24"/>
          <w:szCs w:val="24"/>
        </w:rPr>
        <w:t>37</w:t>
      </w:r>
      <w:r w:rsidR="00A9227F">
        <w:rPr>
          <w:rFonts w:ascii="Times New Roman" w:hAnsi="Times New Roman" w:cs="Times New Roman"/>
          <w:sz w:val="24"/>
          <w:szCs w:val="24"/>
        </w:rPr>
        <w:t>, mientras que con la variabl</w:t>
      </w:r>
      <w:r w:rsidR="00160537">
        <w:rPr>
          <w:rFonts w:ascii="Times New Roman" w:hAnsi="Times New Roman" w:cs="Times New Roman"/>
          <w:sz w:val="24"/>
          <w:szCs w:val="24"/>
        </w:rPr>
        <w:t xml:space="preserve">e </w:t>
      </w:r>
      <w:proofErr w:type="gramStart"/>
      <w:r w:rsidR="00160537" w:rsidRPr="00607429">
        <w:rPr>
          <w:rFonts w:ascii="Times New Roman" w:hAnsi="Times New Roman" w:cs="Times New Roman"/>
          <w:i/>
          <w:sz w:val="24"/>
          <w:szCs w:val="24"/>
        </w:rPr>
        <w:t>mismo</w:t>
      </w:r>
      <w:proofErr w:type="gramEnd"/>
      <w:r w:rsidR="00160537">
        <w:rPr>
          <w:rFonts w:ascii="Times New Roman" w:hAnsi="Times New Roman" w:cs="Times New Roman"/>
          <w:sz w:val="24"/>
          <w:szCs w:val="24"/>
        </w:rPr>
        <w:t xml:space="preserve"> el panorama mejora</w:t>
      </w:r>
      <w:r w:rsidR="003D4221">
        <w:rPr>
          <w:rFonts w:ascii="Times New Roman" w:hAnsi="Times New Roman" w:cs="Times New Roman"/>
          <w:sz w:val="24"/>
          <w:szCs w:val="24"/>
        </w:rPr>
        <w:t>, aunque sólo</w:t>
      </w:r>
      <w:r w:rsidR="00903D5F">
        <w:rPr>
          <w:rFonts w:ascii="Times New Roman" w:hAnsi="Times New Roman" w:cs="Times New Roman"/>
          <w:sz w:val="24"/>
          <w:szCs w:val="24"/>
        </w:rPr>
        <w:t xml:space="preserve"> de forma marginal</w:t>
      </w:r>
      <w:r w:rsidR="00A9227F">
        <w:rPr>
          <w:rFonts w:ascii="Times New Roman" w:hAnsi="Times New Roman" w:cs="Times New Roman"/>
          <w:sz w:val="24"/>
          <w:szCs w:val="24"/>
        </w:rPr>
        <w:t xml:space="preserve">, ya que el coeficiente de correlación apenas llega a </w:t>
      </w:r>
      <w:r w:rsidR="00277BAC">
        <w:rPr>
          <w:rFonts w:ascii="Times New Roman" w:hAnsi="Times New Roman" w:cs="Times New Roman"/>
          <w:sz w:val="24"/>
          <w:szCs w:val="24"/>
        </w:rPr>
        <w:t>-</w:t>
      </w:r>
      <w:r w:rsidR="00A9227F">
        <w:rPr>
          <w:rFonts w:ascii="Times New Roman" w:hAnsi="Times New Roman" w:cs="Times New Roman"/>
          <w:sz w:val="24"/>
          <w:szCs w:val="24"/>
        </w:rPr>
        <w:t>0.</w:t>
      </w:r>
      <w:r w:rsidR="00277BAC">
        <w:rPr>
          <w:rFonts w:ascii="Times New Roman" w:hAnsi="Times New Roman" w:cs="Times New Roman"/>
          <w:sz w:val="24"/>
          <w:szCs w:val="24"/>
        </w:rPr>
        <w:t>0230</w:t>
      </w:r>
      <w:r w:rsidR="00A9227F">
        <w:rPr>
          <w:rFonts w:ascii="Times New Roman" w:hAnsi="Times New Roman" w:cs="Times New Roman"/>
          <w:sz w:val="24"/>
          <w:szCs w:val="24"/>
        </w:rPr>
        <w:t>.</w:t>
      </w:r>
      <w:r w:rsidR="0096687D">
        <w:rPr>
          <w:rFonts w:ascii="Times New Roman" w:hAnsi="Times New Roman" w:cs="Times New Roman"/>
          <w:sz w:val="24"/>
          <w:szCs w:val="24"/>
        </w:rPr>
        <w:t xml:space="preserve"> </w:t>
      </w:r>
      <w:r w:rsidR="00E04906">
        <w:rPr>
          <w:rFonts w:ascii="Times New Roman" w:hAnsi="Times New Roman" w:cs="Times New Roman"/>
          <w:sz w:val="24"/>
          <w:szCs w:val="24"/>
        </w:rPr>
        <w:t>Dado que l</w:t>
      </w:r>
      <w:r w:rsidR="00311F47">
        <w:rPr>
          <w:rFonts w:ascii="Times New Roman" w:hAnsi="Times New Roman" w:cs="Times New Roman"/>
          <w:sz w:val="24"/>
          <w:szCs w:val="24"/>
        </w:rPr>
        <w:t>a correla</w:t>
      </w:r>
      <w:r w:rsidR="00160537">
        <w:rPr>
          <w:rFonts w:ascii="Times New Roman" w:hAnsi="Times New Roman" w:cs="Times New Roman"/>
          <w:sz w:val="24"/>
          <w:szCs w:val="24"/>
        </w:rPr>
        <w:t>ción es muy cercana a cero,</w:t>
      </w:r>
      <w:r w:rsidR="00311F47">
        <w:rPr>
          <w:rFonts w:ascii="Times New Roman" w:hAnsi="Times New Roman" w:cs="Times New Roman"/>
          <w:sz w:val="24"/>
          <w:szCs w:val="24"/>
        </w:rPr>
        <w:t xml:space="preserve"> es muy probable que las expectativas empíricas generales de esta tesina no se cumplan</w:t>
      </w:r>
      <w:r w:rsidR="00A12589">
        <w:rPr>
          <w:rFonts w:ascii="Times New Roman" w:hAnsi="Times New Roman" w:cs="Times New Roman"/>
          <w:sz w:val="24"/>
          <w:szCs w:val="24"/>
        </w:rPr>
        <w:t xml:space="preserve"> para el caso de este primer modelo</w:t>
      </w:r>
      <w:r w:rsidR="00311F47">
        <w:rPr>
          <w:rFonts w:ascii="Times New Roman" w:hAnsi="Times New Roman" w:cs="Times New Roman"/>
          <w:sz w:val="24"/>
          <w:szCs w:val="24"/>
        </w:rPr>
        <w:t>. Sin embargo, es necesario correr el modelo para descartar tota</w:t>
      </w:r>
      <w:r w:rsidR="00A9227F">
        <w:rPr>
          <w:rFonts w:ascii="Times New Roman" w:hAnsi="Times New Roman" w:cs="Times New Roman"/>
          <w:sz w:val="24"/>
          <w:szCs w:val="24"/>
        </w:rPr>
        <w:t>l</w:t>
      </w:r>
      <w:r w:rsidR="00311F47">
        <w:rPr>
          <w:rFonts w:ascii="Times New Roman" w:hAnsi="Times New Roman" w:cs="Times New Roman"/>
          <w:sz w:val="24"/>
          <w:szCs w:val="24"/>
        </w:rPr>
        <w:t xml:space="preserve">mente cualquier asociación </w:t>
      </w:r>
      <w:r w:rsidR="00077B15">
        <w:rPr>
          <w:rFonts w:ascii="Times New Roman" w:hAnsi="Times New Roman" w:cs="Times New Roman"/>
          <w:sz w:val="24"/>
          <w:szCs w:val="24"/>
        </w:rPr>
        <w:t>significativa, pues es posible que algunas variables</w:t>
      </w:r>
      <w:r w:rsidR="00903D5F">
        <w:rPr>
          <w:rFonts w:ascii="Times New Roman" w:hAnsi="Times New Roman" w:cs="Times New Roman"/>
          <w:sz w:val="24"/>
          <w:szCs w:val="24"/>
        </w:rPr>
        <w:t>, que no se están considerando como principales,</w:t>
      </w:r>
      <w:r w:rsidR="00077B15">
        <w:rPr>
          <w:rFonts w:ascii="Times New Roman" w:hAnsi="Times New Roman" w:cs="Times New Roman"/>
          <w:sz w:val="24"/>
          <w:szCs w:val="24"/>
        </w:rPr>
        <w:t xml:space="preserve"> sí tengan impacto sobre la as</w:t>
      </w:r>
      <w:r w:rsidR="00903D5F">
        <w:rPr>
          <w:rFonts w:ascii="Times New Roman" w:hAnsi="Times New Roman" w:cs="Times New Roman"/>
          <w:sz w:val="24"/>
          <w:szCs w:val="24"/>
        </w:rPr>
        <w:t>ignación de los recursos</w:t>
      </w:r>
      <w:r w:rsidR="00F50AD4">
        <w:rPr>
          <w:rFonts w:ascii="Times New Roman" w:hAnsi="Times New Roman" w:cs="Times New Roman"/>
          <w:sz w:val="24"/>
          <w:szCs w:val="24"/>
        </w:rPr>
        <w:t>, aunque dicho impacto sea indirecto.</w:t>
      </w:r>
      <w:r w:rsidR="00F425BD">
        <w:rPr>
          <w:rFonts w:ascii="Times New Roman" w:hAnsi="Times New Roman" w:cs="Times New Roman"/>
          <w:sz w:val="24"/>
          <w:szCs w:val="24"/>
        </w:rPr>
        <w:t xml:space="preserve"> </w:t>
      </w:r>
    </w:p>
    <w:p w14:paraId="1C2655B6" w14:textId="4BAB754A" w:rsidR="000D045E" w:rsidRDefault="00405B96" w:rsidP="00696799">
      <w:pPr>
        <w:spacing w:line="480" w:lineRule="auto"/>
        <w:jc w:val="both"/>
        <w:rPr>
          <w:rFonts w:ascii="Times New Roman" w:hAnsi="Times New Roman" w:cs="Times New Roman"/>
          <w:sz w:val="24"/>
          <w:szCs w:val="24"/>
        </w:rPr>
      </w:pPr>
      <w:r>
        <w:rPr>
          <w:rFonts w:ascii="Times New Roman" w:hAnsi="Times New Roman" w:cs="Times New Roman"/>
          <w:sz w:val="24"/>
          <w:szCs w:val="24"/>
        </w:rPr>
        <w:tab/>
        <w:t>Una vez que cambiamos lo</w:t>
      </w:r>
      <w:r w:rsidR="00CA0187">
        <w:rPr>
          <w:rFonts w:ascii="Times New Roman" w:hAnsi="Times New Roman" w:cs="Times New Roman"/>
          <w:sz w:val="24"/>
          <w:szCs w:val="24"/>
        </w:rPr>
        <w:t>s</w:t>
      </w:r>
      <w:r>
        <w:rPr>
          <w:rFonts w:ascii="Times New Roman" w:hAnsi="Times New Roman" w:cs="Times New Roman"/>
          <w:sz w:val="24"/>
          <w:szCs w:val="24"/>
        </w:rPr>
        <w:t xml:space="preserve"> montos por habitante que </w:t>
      </w:r>
      <w:r w:rsidR="000E790A">
        <w:rPr>
          <w:rFonts w:ascii="Times New Roman" w:hAnsi="Times New Roman" w:cs="Times New Roman"/>
          <w:sz w:val="24"/>
          <w:szCs w:val="24"/>
        </w:rPr>
        <w:t xml:space="preserve">se asignan a </w:t>
      </w:r>
      <w:r>
        <w:rPr>
          <w:rFonts w:ascii="Times New Roman" w:hAnsi="Times New Roman" w:cs="Times New Roman"/>
          <w:sz w:val="24"/>
          <w:szCs w:val="24"/>
        </w:rPr>
        <w:t xml:space="preserve">cada </w:t>
      </w:r>
      <w:r w:rsidR="00980537">
        <w:rPr>
          <w:rFonts w:ascii="Times New Roman" w:hAnsi="Times New Roman" w:cs="Times New Roman"/>
          <w:sz w:val="24"/>
          <w:szCs w:val="24"/>
        </w:rPr>
        <w:t>municipio</w:t>
      </w:r>
      <w:r w:rsidR="003D4221">
        <w:rPr>
          <w:rFonts w:ascii="Times New Roman" w:hAnsi="Times New Roman" w:cs="Times New Roman"/>
          <w:sz w:val="24"/>
          <w:szCs w:val="24"/>
        </w:rPr>
        <w:t xml:space="preserve"> </w:t>
      </w:r>
      <w:r>
        <w:rPr>
          <w:rFonts w:ascii="Times New Roman" w:hAnsi="Times New Roman" w:cs="Times New Roman"/>
          <w:sz w:val="24"/>
          <w:szCs w:val="24"/>
        </w:rPr>
        <w:t>por el número de proyecto</w:t>
      </w:r>
      <w:r w:rsidR="00980537">
        <w:rPr>
          <w:rFonts w:ascii="Times New Roman" w:hAnsi="Times New Roman" w:cs="Times New Roman"/>
          <w:sz w:val="24"/>
          <w:szCs w:val="24"/>
        </w:rPr>
        <w:t xml:space="preserve">s que cada uno </w:t>
      </w:r>
      <w:r w:rsidR="000E790A">
        <w:rPr>
          <w:rFonts w:ascii="Times New Roman" w:hAnsi="Times New Roman" w:cs="Times New Roman"/>
          <w:sz w:val="24"/>
          <w:szCs w:val="24"/>
        </w:rPr>
        <w:t>tiene aprobados</w:t>
      </w:r>
      <w:r>
        <w:rPr>
          <w:rFonts w:ascii="Times New Roman" w:hAnsi="Times New Roman" w:cs="Times New Roman"/>
          <w:sz w:val="24"/>
          <w:szCs w:val="24"/>
        </w:rPr>
        <w:t xml:space="preserve">, </w:t>
      </w:r>
      <w:r w:rsidR="00632005" w:rsidRPr="00B60F59">
        <w:rPr>
          <w:rFonts w:ascii="Times New Roman" w:hAnsi="Times New Roman" w:cs="Times New Roman"/>
          <w:sz w:val="24"/>
          <w:szCs w:val="24"/>
        </w:rPr>
        <w:t>aumenta considerablemente el valor predictivo</w:t>
      </w:r>
      <w:r w:rsidR="00F425BD">
        <w:rPr>
          <w:rFonts w:ascii="Times New Roman" w:hAnsi="Times New Roman" w:cs="Times New Roman"/>
          <w:sz w:val="24"/>
          <w:szCs w:val="24"/>
        </w:rPr>
        <w:t xml:space="preserve"> del modelo</w:t>
      </w:r>
      <w:r>
        <w:rPr>
          <w:rFonts w:ascii="Times New Roman" w:hAnsi="Times New Roman" w:cs="Times New Roman"/>
          <w:sz w:val="24"/>
          <w:szCs w:val="24"/>
        </w:rPr>
        <w:t>.</w:t>
      </w:r>
      <w:r w:rsidR="003234DB">
        <w:rPr>
          <w:rFonts w:ascii="Times New Roman" w:hAnsi="Times New Roman" w:cs="Times New Roman"/>
          <w:sz w:val="24"/>
          <w:szCs w:val="24"/>
        </w:rPr>
        <w:t xml:space="preserve"> </w:t>
      </w:r>
      <w:r>
        <w:rPr>
          <w:rFonts w:ascii="Times New Roman" w:hAnsi="Times New Roman" w:cs="Times New Roman"/>
          <w:sz w:val="24"/>
          <w:szCs w:val="24"/>
        </w:rPr>
        <w:t>No obstante, la cifra sigue representando una correlación</w:t>
      </w:r>
      <w:r w:rsidR="00CA0187">
        <w:rPr>
          <w:rFonts w:ascii="Times New Roman" w:hAnsi="Times New Roman" w:cs="Times New Roman"/>
          <w:sz w:val="24"/>
          <w:szCs w:val="24"/>
        </w:rPr>
        <w:t xml:space="preserve"> muy</w:t>
      </w:r>
      <w:r>
        <w:rPr>
          <w:rFonts w:ascii="Times New Roman" w:hAnsi="Times New Roman" w:cs="Times New Roman"/>
          <w:sz w:val="24"/>
          <w:szCs w:val="24"/>
        </w:rPr>
        <w:t xml:space="preserve"> pequeña (-0.08</w:t>
      </w:r>
      <w:r w:rsidR="00277BAC">
        <w:rPr>
          <w:rFonts w:ascii="Times New Roman" w:hAnsi="Times New Roman" w:cs="Times New Roman"/>
          <w:sz w:val="24"/>
          <w:szCs w:val="24"/>
        </w:rPr>
        <w:t>81</w:t>
      </w:r>
      <w:r>
        <w:rPr>
          <w:rFonts w:ascii="Times New Roman" w:hAnsi="Times New Roman" w:cs="Times New Roman"/>
          <w:sz w:val="24"/>
          <w:szCs w:val="24"/>
        </w:rPr>
        <w:t xml:space="preserve"> para el caso de margen de victoria y -0.0</w:t>
      </w:r>
      <w:r w:rsidR="00277BAC">
        <w:rPr>
          <w:rFonts w:ascii="Times New Roman" w:hAnsi="Times New Roman" w:cs="Times New Roman"/>
          <w:sz w:val="24"/>
          <w:szCs w:val="24"/>
        </w:rPr>
        <w:t>462</w:t>
      </w:r>
      <w:r>
        <w:rPr>
          <w:rFonts w:ascii="Times New Roman" w:hAnsi="Times New Roman" w:cs="Times New Roman"/>
          <w:sz w:val="24"/>
          <w:szCs w:val="24"/>
        </w:rPr>
        <w:t xml:space="preserve"> </w:t>
      </w:r>
      <w:r w:rsidR="00E67EAA">
        <w:rPr>
          <w:rFonts w:ascii="Times New Roman" w:hAnsi="Times New Roman" w:cs="Times New Roman"/>
          <w:sz w:val="24"/>
          <w:szCs w:val="24"/>
        </w:rPr>
        <w:t xml:space="preserve">en el caso de </w:t>
      </w:r>
      <w:r w:rsidR="00277BAC">
        <w:rPr>
          <w:rFonts w:ascii="Times New Roman" w:hAnsi="Times New Roman" w:cs="Times New Roman"/>
          <w:sz w:val="24"/>
          <w:szCs w:val="24"/>
        </w:rPr>
        <w:t>que a nivel municipal se haya votado por el candidato ganador del gobierno estatal</w:t>
      </w:r>
      <w:r w:rsidR="00CA0187">
        <w:rPr>
          <w:rFonts w:ascii="Times New Roman" w:hAnsi="Times New Roman" w:cs="Times New Roman"/>
          <w:sz w:val="24"/>
          <w:szCs w:val="24"/>
        </w:rPr>
        <w:t>)</w:t>
      </w:r>
      <w:r>
        <w:rPr>
          <w:rFonts w:ascii="Times New Roman" w:hAnsi="Times New Roman" w:cs="Times New Roman"/>
          <w:i/>
          <w:sz w:val="24"/>
          <w:szCs w:val="24"/>
        </w:rPr>
        <w:t>.</w:t>
      </w:r>
      <w:r w:rsidR="00CA0187">
        <w:rPr>
          <w:rFonts w:ascii="Times New Roman" w:hAnsi="Times New Roman" w:cs="Times New Roman"/>
          <w:sz w:val="24"/>
          <w:szCs w:val="24"/>
        </w:rPr>
        <w:t xml:space="preserve"> Si bien no es muy significativa la correlación entre variables, algo importante que podemos notar es el signo de las relaciones. En am</w:t>
      </w:r>
      <w:r w:rsidR="00170F4C">
        <w:rPr>
          <w:rFonts w:ascii="Times New Roman" w:hAnsi="Times New Roman" w:cs="Times New Roman"/>
          <w:sz w:val="24"/>
          <w:szCs w:val="24"/>
        </w:rPr>
        <w:t xml:space="preserve">bos casos son signos negativos (salvo para la variable </w:t>
      </w:r>
      <w:r w:rsidR="00F75BDD" w:rsidRPr="00F75BDD">
        <w:rPr>
          <w:rFonts w:ascii="Times New Roman" w:hAnsi="Times New Roman" w:cs="Times New Roman"/>
          <w:sz w:val="24"/>
          <w:szCs w:val="24"/>
        </w:rPr>
        <w:t xml:space="preserve">de </w:t>
      </w:r>
      <w:r w:rsidR="00277BAC">
        <w:rPr>
          <w:rFonts w:ascii="Times New Roman" w:hAnsi="Times New Roman" w:cs="Times New Roman"/>
          <w:sz w:val="24"/>
          <w:szCs w:val="24"/>
        </w:rPr>
        <w:t>margen de victoria</w:t>
      </w:r>
      <w:r w:rsidR="00170F4C">
        <w:rPr>
          <w:rFonts w:ascii="Times New Roman" w:hAnsi="Times New Roman" w:cs="Times New Roman"/>
          <w:sz w:val="24"/>
          <w:szCs w:val="24"/>
        </w:rPr>
        <w:t xml:space="preserve"> en su correlación con monto per cápita, que a su vez </w:t>
      </w:r>
      <w:r w:rsidR="003D4221">
        <w:rPr>
          <w:rFonts w:ascii="Times New Roman" w:hAnsi="Times New Roman" w:cs="Times New Roman"/>
          <w:sz w:val="24"/>
          <w:szCs w:val="24"/>
        </w:rPr>
        <w:t>es la correlación más débil). Ello</w:t>
      </w:r>
      <w:r w:rsidR="00170F4C">
        <w:rPr>
          <w:rFonts w:ascii="Times New Roman" w:hAnsi="Times New Roman" w:cs="Times New Roman"/>
          <w:sz w:val="24"/>
          <w:szCs w:val="24"/>
        </w:rPr>
        <w:t xml:space="preserve"> podría sugerir que </w:t>
      </w:r>
      <w:r w:rsidR="00160537">
        <w:rPr>
          <w:rFonts w:ascii="Times New Roman" w:hAnsi="Times New Roman" w:cs="Times New Roman"/>
          <w:sz w:val="24"/>
          <w:szCs w:val="24"/>
        </w:rPr>
        <w:t>l</w:t>
      </w:r>
      <w:r w:rsidR="00170F4C">
        <w:rPr>
          <w:rFonts w:ascii="Times New Roman" w:hAnsi="Times New Roman" w:cs="Times New Roman"/>
          <w:sz w:val="24"/>
          <w:szCs w:val="24"/>
        </w:rPr>
        <w:t xml:space="preserve">a lógica que está aplicando es la de votantes indecisos, dado que </w:t>
      </w:r>
      <w:r w:rsidR="00170F4C">
        <w:rPr>
          <w:rFonts w:ascii="Times New Roman" w:hAnsi="Times New Roman" w:cs="Times New Roman"/>
          <w:sz w:val="24"/>
          <w:szCs w:val="24"/>
        </w:rPr>
        <w:lastRenderedPageBreak/>
        <w:t xml:space="preserve">otorgarían más recursos y proyectos a </w:t>
      </w:r>
      <w:r w:rsidR="00160537">
        <w:rPr>
          <w:rFonts w:ascii="Times New Roman" w:hAnsi="Times New Roman" w:cs="Times New Roman"/>
          <w:sz w:val="24"/>
          <w:szCs w:val="24"/>
        </w:rPr>
        <w:t>l</w:t>
      </w:r>
      <w:r w:rsidR="00170F4C">
        <w:rPr>
          <w:rFonts w:ascii="Times New Roman" w:hAnsi="Times New Roman" w:cs="Times New Roman"/>
          <w:sz w:val="24"/>
          <w:szCs w:val="24"/>
        </w:rPr>
        <w:t>os municipios más competitivos y que sean de un partido distinto al suyo.</w:t>
      </w:r>
      <w:r w:rsidR="003234DB">
        <w:rPr>
          <w:rFonts w:ascii="Times New Roman" w:hAnsi="Times New Roman" w:cs="Times New Roman"/>
          <w:sz w:val="24"/>
          <w:szCs w:val="24"/>
        </w:rPr>
        <w:t xml:space="preserve"> </w:t>
      </w:r>
    </w:p>
    <w:p w14:paraId="05B2FB0A" w14:textId="77777777" w:rsidR="00F75BDD" w:rsidRDefault="001F754E" w:rsidP="00F50AD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Ahora, para conocer más detalladamente las diferencias entre entidades federativas </w:t>
      </w:r>
      <w:r w:rsidR="00980537">
        <w:rPr>
          <w:rFonts w:ascii="Times New Roman" w:hAnsi="Times New Roman" w:cs="Times New Roman"/>
          <w:sz w:val="24"/>
          <w:szCs w:val="24"/>
        </w:rPr>
        <w:t xml:space="preserve">y así poder vislumbrar más claramente </w:t>
      </w:r>
      <w:r>
        <w:rPr>
          <w:rFonts w:ascii="Times New Roman" w:hAnsi="Times New Roman" w:cs="Times New Roman"/>
          <w:sz w:val="24"/>
          <w:szCs w:val="24"/>
        </w:rPr>
        <w:t>cuál puede ser la lógica de asignación de los recursos y proyectos</w:t>
      </w:r>
      <w:r w:rsidR="00980537">
        <w:rPr>
          <w:rFonts w:ascii="Times New Roman" w:hAnsi="Times New Roman" w:cs="Times New Roman"/>
          <w:sz w:val="24"/>
          <w:szCs w:val="24"/>
        </w:rPr>
        <w:t xml:space="preserve"> del Fondo, a continuación presento el número de proyectos que recibieron los municipios por entidad federativa.</w:t>
      </w:r>
      <w:r w:rsidR="00485D26">
        <w:rPr>
          <w:rFonts w:ascii="Times New Roman" w:hAnsi="Times New Roman" w:cs="Times New Roman"/>
          <w:sz w:val="24"/>
          <w:szCs w:val="24"/>
        </w:rPr>
        <w:t xml:space="preserve"> Si miramos las tablas 2, 3 y 4, lo primero que hay que explicar es que predominan los municipios que no recibieron proyecto, pues </w:t>
      </w:r>
      <w:r w:rsidR="009963AA">
        <w:rPr>
          <w:rFonts w:ascii="Times New Roman" w:hAnsi="Times New Roman" w:cs="Times New Roman"/>
          <w:sz w:val="24"/>
          <w:szCs w:val="24"/>
        </w:rPr>
        <w:t>l</w:t>
      </w:r>
      <w:r w:rsidR="00485D26">
        <w:rPr>
          <w:rFonts w:ascii="Times New Roman" w:hAnsi="Times New Roman" w:cs="Times New Roman"/>
          <w:sz w:val="24"/>
          <w:szCs w:val="24"/>
        </w:rPr>
        <w:t xml:space="preserve">a construcción de la base requería incluirlos a todos para saber por qué algunos municipios sí reciben proyectos y recursos y otros no. </w:t>
      </w:r>
      <w:r w:rsidR="009963AA">
        <w:rPr>
          <w:rFonts w:ascii="Times New Roman" w:hAnsi="Times New Roman" w:cs="Times New Roman"/>
          <w:sz w:val="24"/>
          <w:szCs w:val="24"/>
        </w:rPr>
        <w:t xml:space="preserve">De no haberlos incluido se habría incurrido en un sesgo al momento de analizar la asignación de los proyectos y recursos al interior de cada una de las entidades federativas. </w:t>
      </w:r>
    </w:p>
    <w:p w14:paraId="3E5572E5" w14:textId="05268F37" w:rsidR="001F754E" w:rsidRDefault="009963AA" w:rsidP="00F50AD4">
      <w:pPr>
        <w:spacing w:after="0" w:line="480" w:lineRule="auto"/>
        <w:ind w:firstLine="708"/>
        <w:jc w:val="both"/>
        <w:rPr>
          <w:rFonts w:ascii="Times New Roman" w:hAnsi="Times New Roman" w:cs="Times New Roman"/>
          <w:sz w:val="24"/>
          <w:szCs w:val="24"/>
        </w:rPr>
      </w:pPr>
      <w:r>
        <w:rPr>
          <w:rFonts w:ascii="Times New Roman" w:hAnsi="Times New Roman" w:cs="Times New Roman"/>
          <w:sz w:val="24"/>
          <w:szCs w:val="24"/>
        </w:rPr>
        <w:t>Si</w:t>
      </w:r>
      <w:r w:rsidR="00485D26">
        <w:rPr>
          <w:rFonts w:ascii="Times New Roman" w:hAnsi="Times New Roman" w:cs="Times New Roman"/>
          <w:sz w:val="24"/>
          <w:szCs w:val="24"/>
        </w:rPr>
        <w:t xml:space="preserve"> hacemos un análisis más detallado</w:t>
      </w:r>
      <w:r>
        <w:rPr>
          <w:rFonts w:ascii="Times New Roman" w:hAnsi="Times New Roman" w:cs="Times New Roman"/>
          <w:sz w:val="24"/>
          <w:szCs w:val="24"/>
        </w:rPr>
        <w:t>,</w:t>
      </w:r>
      <w:r w:rsidR="00485D26">
        <w:rPr>
          <w:rFonts w:ascii="Times New Roman" w:hAnsi="Times New Roman" w:cs="Times New Roman"/>
          <w:sz w:val="24"/>
          <w:szCs w:val="24"/>
        </w:rPr>
        <w:t xml:space="preserve"> </w:t>
      </w:r>
      <w:r w:rsidR="00B106FB">
        <w:rPr>
          <w:rFonts w:ascii="Times New Roman" w:hAnsi="Times New Roman" w:cs="Times New Roman"/>
          <w:sz w:val="24"/>
          <w:szCs w:val="24"/>
        </w:rPr>
        <w:t>l</w:t>
      </w:r>
      <w:r w:rsidR="00485D26">
        <w:rPr>
          <w:rFonts w:ascii="Times New Roman" w:hAnsi="Times New Roman" w:cs="Times New Roman"/>
          <w:sz w:val="24"/>
          <w:szCs w:val="24"/>
        </w:rPr>
        <w:t>o primero que salta a la vista es la dispersión en el número de proyectos en Oaxaca, en contraste con el máximo de 5 proyectos que se asignan en Guerrero.</w:t>
      </w:r>
      <w:r w:rsidR="00077B15">
        <w:rPr>
          <w:rFonts w:ascii="Times New Roman" w:hAnsi="Times New Roman" w:cs="Times New Roman"/>
          <w:sz w:val="24"/>
          <w:szCs w:val="24"/>
        </w:rPr>
        <w:t xml:space="preserve"> </w:t>
      </w:r>
      <w:r w:rsidR="00485D26">
        <w:rPr>
          <w:rFonts w:ascii="Times New Roman" w:hAnsi="Times New Roman" w:cs="Times New Roman"/>
          <w:sz w:val="24"/>
          <w:szCs w:val="24"/>
        </w:rPr>
        <w:t xml:space="preserve">Esto quiere decir que en Guerrero se suelen </w:t>
      </w:r>
      <w:r w:rsidR="00C007C3">
        <w:rPr>
          <w:rFonts w:ascii="Times New Roman" w:hAnsi="Times New Roman" w:cs="Times New Roman"/>
          <w:sz w:val="24"/>
          <w:szCs w:val="24"/>
        </w:rPr>
        <w:t>repartir pocos proyectos a muchos municipios, mientras que en Oaxaca algunos municipios (como Oaxaca de Juárez) tienden a concentrar muchos proyectos</w:t>
      </w:r>
      <w:r w:rsidR="00B744D0">
        <w:rPr>
          <w:rFonts w:ascii="Times New Roman" w:hAnsi="Times New Roman" w:cs="Times New Roman"/>
          <w:sz w:val="24"/>
          <w:szCs w:val="24"/>
        </w:rPr>
        <w:t>, siendo que tienen recursos similares para ejercer.</w:t>
      </w:r>
      <w:r w:rsidR="00D348A5">
        <w:rPr>
          <w:rFonts w:ascii="Times New Roman" w:hAnsi="Times New Roman" w:cs="Times New Roman"/>
          <w:sz w:val="24"/>
          <w:szCs w:val="24"/>
        </w:rPr>
        <w:t xml:space="preserve"> </w:t>
      </w:r>
      <w:r w:rsidR="00C007C3">
        <w:rPr>
          <w:rFonts w:ascii="Times New Roman" w:hAnsi="Times New Roman" w:cs="Times New Roman"/>
          <w:sz w:val="24"/>
          <w:szCs w:val="24"/>
        </w:rPr>
        <w:t xml:space="preserve">El efecto es aún más pronunciado si tomamos en cuenta que </w:t>
      </w:r>
      <w:r w:rsidR="00160537">
        <w:rPr>
          <w:rFonts w:ascii="Times New Roman" w:hAnsi="Times New Roman" w:cs="Times New Roman"/>
          <w:sz w:val="24"/>
          <w:szCs w:val="24"/>
        </w:rPr>
        <w:t>l</w:t>
      </w:r>
      <w:r w:rsidR="00C007C3">
        <w:rPr>
          <w:rFonts w:ascii="Times New Roman" w:hAnsi="Times New Roman" w:cs="Times New Roman"/>
          <w:sz w:val="24"/>
          <w:szCs w:val="24"/>
        </w:rPr>
        <w:t>a cantidad de municipios en Oaxaca supera en 6 veces los municipios de Guerrero. Chiapas sería el caso intermedio con dispersión geográfica relativa de sus proyectos, a la vez que algunos municipios concentran muchos proyectos. Esto nos llevaría a pensar que el ejercicio de los recursos puede ser más discrecional en Oaxaca, por lo que el modelo con variables políticas tendrá un mayor poder explicativo de las asignaciones al interior de Oaxaca que en los otros estados.</w:t>
      </w:r>
      <w:r w:rsidR="00D348A5">
        <w:rPr>
          <w:rFonts w:ascii="Times New Roman" w:hAnsi="Times New Roman" w:cs="Times New Roman"/>
          <w:sz w:val="24"/>
          <w:szCs w:val="24"/>
        </w:rPr>
        <w:t xml:space="preserve"> </w:t>
      </w:r>
      <w:r w:rsidR="00F62C35">
        <w:rPr>
          <w:rFonts w:ascii="Times New Roman" w:hAnsi="Times New Roman" w:cs="Times New Roman"/>
          <w:sz w:val="24"/>
          <w:szCs w:val="24"/>
        </w:rPr>
        <w:t xml:space="preserve">Sin embargo, esto es necesario comprobarlo, pues puede ser que simplemente se asignen más proyectos a </w:t>
      </w:r>
      <w:r w:rsidR="00F62C35">
        <w:rPr>
          <w:rFonts w:ascii="Times New Roman" w:hAnsi="Times New Roman" w:cs="Times New Roman"/>
          <w:sz w:val="24"/>
          <w:szCs w:val="24"/>
        </w:rPr>
        <w:lastRenderedPageBreak/>
        <w:t>determinados municipios en Oaxaca por la dificultad de acceso que se pueda tener al tener tantos municipios dispersos.</w:t>
      </w:r>
    </w:p>
    <w:p w14:paraId="6F2580DF" w14:textId="77777777" w:rsidR="00485D26" w:rsidRPr="00FE28B6" w:rsidRDefault="00485D26" w:rsidP="000257C8">
      <w:pPr>
        <w:spacing w:before="240" w:line="240" w:lineRule="auto"/>
        <w:jc w:val="center"/>
        <w:rPr>
          <w:rFonts w:ascii="Times New Roman" w:hAnsi="Times New Roman" w:cs="Times New Roman"/>
          <w:b/>
          <w:sz w:val="24"/>
          <w:szCs w:val="24"/>
        </w:rPr>
      </w:pPr>
      <w:r>
        <w:rPr>
          <w:rFonts w:ascii="Times New Roman" w:hAnsi="Times New Roman" w:cs="Times New Roman"/>
          <w:b/>
          <w:sz w:val="24"/>
          <w:szCs w:val="24"/>
        </w:rPr>
        <w:t>Tabla 2</w:t>
      </w:r>
      <w:r w:rsidRPr="00FE28B6">
        <w:rPr>
          <w:rFonts w:ascii="Times New Roman" w:hAnsi="Times New Roman" w:cs="Times New Roman"/>
          <w:b/>
          <w:sz w:val="24"/>
          <w:szCs w:val="24"/>
        </w:rPr>
        <w:t xml:space="preserve">. </w:t>
      </w:r>
      <w:r>
        <w:rPr>
          <w:rFonts w:ascii="Times New Roman" w:hAnsi="Times New Roman" w:cs="Times New Roman"/>
          <w:b/>
          <w:sz w:val="24"/>
          <w:szCs w:val="24"/>
        </w:rPr>
        <w:t>Número de proyectos por año y municipio en Chiapas</w:t>
      </w:r>
    </w:p>
    <w:tbl>
      <w:tblPr>
        <w:tblStyle w:val="Listamedia2"/>
        <w:tblW w:w="8552" w:type="dxa"/>
        <w:tblLook w:val="04A0" w:firstRow="1" w:lastRow="0" w:firstColumn="1" w:lastColumn="0" w:noHBand="0" w:noVBand="1"/>
      </w:tblPr>
      <w:tblGrid>
        <w:gridCol w:w="1204"/>
        <w:gridCol w:w="934"/>
        <w:gridCol w:w="1069"/>
        <w:gridCol w:w="1069"/>
        <w:gridCol w:w="1069"/>
        <w:gridCol w:w="1069"/>
        <w:gridCol w:w="1069"/>
        <w:gridCol w:w="1069"/>
      </w:tblGrid>
      <w:tr w:rsidR="00153059" w:rsidRPr="00153059" w14:paraId="5666AA9E" w14:textId="77777777" w:rsidTr="00153059">
        <w:trPr>
          <w:cnfStyle w:val="100000000000" w:firstRow="1" w:lastRow="0" w:firstColumn="0" w:lastColumn="0" w:oddVBand="0" w:evenVBand="0" w:oddHBand="0" w:evenHBand="0" w:firstRowFirstColumn="0" w:firstRowLastColumn="0" w:lastRowFirstColumn="0" w:lastRowLastColumn="0"/>
          <w:trHeight w:val="273"/>
        </w:trPr>
        <w:tc>
          <w:tcPr>
            <w:cnfStyle w:val="001000000100" w:firstRow="0" w:lastRow="0" w:firstColumn="1" w:lastColumn="0" w:oddVBand="0" w:evenVBand="0" w:oddHBand="0" w:evenHBand="0" w:firstRowFirstColumn="1" w:firstRowLastColumn="0" w:lastRowFirstColumn="0" w:lastRowLastColumn="0"/>
            <w:tcW w:w="1204" w:type="dxa"/>
            <w:noWrap/>
          </w:tcPr>
          <w:p w14:paraId="0CCDE85F" w14:textId="498F4A65" w:rsidR="00485D26" w:rsidRPr="00153059" w:rsidRDefault="00F50AD4" w:rsidP="00F50AD4">
            <w:pPr>
              <w:jc w:val="center"/>
              <w:rPr>
                <w:rFonts w:ascii="Times New Roman" w:eastAsia="Times New Roman" w:hAnsi="Times New Roman" w:cs="Times New Roman"/>
                <w:b/>
                <w:bCs/>
                <w:sz w:val="20"/>
                <w:szCs w:val="20"/>
              </w:rPr>
            </w:pPr>
            <w:r w:rsidRPr="00153059">
              <w:rPr>
                <w:rFonts w:ascii="Times New Roman" w:eastAsia="Times New Roman" w:hAnsi="Times New Roman" w:cs="Times New Roman"/>
                <w:b/>
                <w:bCs/>
                <w:sz w:val="20"/>
                <w:szCs w:val="20"/>
              </w:rPr>
              <w:t>N</w:t>
            </w:r>
            <w:r w:rsidR="00F62C35" w:rsidRPr="00153059">
              <w:rPr>
                <w:rFonts w:ascii="Times New Roman" w:eastAsia="Times New Roman" w:hAnsi="Times New Roman" w:cs="Times New Roman"/>
                <w:b/>
                <w:bCs/>
                <w:sz w:val="20"/>
                <w:szCs w:val="20"/>
              </w:rPr>
              <w:t>úmero de proyectos</w:t>
            </w:r>
          </w:p>
        </w:tc>
        <w:tc>
          <w:tcPr>
            <w:tcW w:w="934" w:type="dxa"/>
            <w:noWrap/>
          </w:tcPr>
          <w:p w14:paraId="525833A4" w14:textId="77777777" w:rsidR="00485D26" w:rsidRPr="00153059" w:rsidRDefault="00485D26" w:rsidP="00F62C35">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153059">
              <w:rPr>
                <w:rFonts w:ascii="Times New Roman" w:eastAsia="Times New Roman" w:hAnsi="Times New Roman" w:cs="Times New Roman"/>
                <w:b/>
                <w:bCs/>
              </w:rPr>
              <w:t>2007</w:t>
            </w:r>
          </w:p>
        </w:tc>
        <w:tc>
          <w:tcPr>
            <w:tcW w:w="1069" w:type="dxa"/>
            <w:noWrap/>
          </w:tcPr>
          <w:p w14:paraId="1CC1FE16" w14:textId="77777777" w:rsidR="00485D26" w:rsidRPr="00153059" w:rsidRDefault="00485D26" w:rsidP="00F62C35">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153059">
              <w:rPr>
                <w:rFonts w:ascii="Times New Roman" w:eastAsia="Times New Roman" w:hAnsi="Times New Roman" w:cs="Times New Roman"/>
                <w:b/>
                <w:bCs/>
              </w:rPr>
              <w:t>2008</w:t>
            </w:r>
          </w:p>
        </w:tc>
        <w:tc>
          <w:tcPr>
            <w:tcW w:w="1069" w:type="dxa"/>
            <w:noWrap/>
          </w:tcPr>
          <w:p w14:paraId="593D4DDC" w14:textId="77777777" w:rsidR="00485D26" w:rsidRPr="00153059" w:rsidRDefault="00485D26" w:rsidP="00F62C35">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153059">
              <w:rPr>
                <w:rFonts w:ascii="Times New Roman" w:eastAsia="Times New Roman" w:hAnsi="Times New Roman" w:cs="Times New Roman"/>
                <w:b/>
                <w:bCs/>
              </w:rPr>
              <w:t>2009</w:t>
            </w:r>
          </w:p>
        </w:tc>
        <w:tc>
          <w:tcPr>
            <w:tcW w:w="1069" w:type="dxa"/>
            <w:noWrap/>
          </w:tcPr>
          <w:p w14:paraId="1FE0CFC9" w14:textId="77777777" w:rsidR="00485D26" w:rsidRPr="00153059" w:rsidRDefault="00485D26" w:rsidP="00F62C35">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153059">
              <w:rPr>
                <w:rFonts w:ascii="Times New Roman" w:eastAsia="Times New Roman" w:hAnsi="Times New Roman" w:cs="Times New Roman"/>
                <w:b/>
                <w:bCs/>
              </w:rPr>
              <w:t>2010</w:t>
            </w:r>
          </w:p>
        </w:tc>
        <w:tc>
          <w:tcPr>
            <w:tcW w:w="1069" w:type="dxa"/>
            <w:noWrap/>
          </w:tcPr>
          <w:p w14:paraId="0E9003DA" w14:textId="77777777" w:rsidR="00485D26" w:rsidRPr="00153059" w:rsidRDefault="00485D26" w:rsidP="00F62C35">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153059">
              <w:rPr>
                <w:rFonts w:ascii="Times New Roman" w:eastAsia="Times New Roman" w:hAnsi="Times New Roman" w:cs="Times New Roman"/>
                <w:b/>
                <w:bCs/>
              </w:rPr>
              <w:t>2011</w:t>
            </w:r>
          </w:p>
        </w:tc>
        <w:tc>
          <w:tcPr>
            <w:tcW w:w="1069" w:type="dxa"/>
            <w:noWrap/>
          </w:tcPr>
          <w:p w14:paraId="45F06DA7" w14:textId="77777777" w:rsidR="00485D26" w:rsidRPr="00153059" w:rsidRDefault="00485D26" w:rsidP="00F62C35">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153059">
              <w:rPr>
                <w:rFonts w:ascii="Times New Roman" w:eastAsia="Times New Roman" w:hAnsi="Times New Roman" w:cs="Times New Roman"/>
                <w:b/>
                <w:bCs/>
              </w:rPr>
              <w:t>2012</w:t>
            </w:r>
          </w:p>
        </w:tc>
        <w:tc>
          <w:tcPr>
            <w:tcW w:w="1069" w:type="dxa"/>
            <w:noWrap/>
          </w:tcPr>
          <w:p w14:paraId="33AB86FF" w14:textId="77777777" w:rsidR="00485D26" w:rsidRPr="00153059" w:rsidRDefault="00485D26" w:rsidP="00F62C35">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153059">
              <w:rPr>
                <w:rFonts w:ascii="Times New Roman" w:eastAsia="Times New Roman" w:hAnsi="Times New Roman" w:cs="Times New Roman"/>
                <w:b/>
                <w:bCs/>
              </w:rPr>
              <w:t>Total</w:t>
            </w:r>
          </w:p>
        </w:tc>
      </w:tr>
      <w:tr w:rsidR="00153059" w:rsidRPr="00153059" w14:paraId="75991C42" w14:textId="77777777" w:rsidTr="00153059">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04" w:type="dxa"/>
            <w:noWrap/>
          </w:tcPr>
          <w:p w14:paraId="3BAC6244" w14:textId="77777777" w:rsidR="00485D26" w:rsidRPr="00153059" w:rsidRDefault="00485D26" w:rsidP="00485D26">
            <w:pPr>
              <w:jc w:val="center"/>
              <w:rPr>
                <w:rFonts w:ascii="Times New Roman" w:eastAsia="Times New Roman" w:hAnsi="Times New Roman" w:cs="Times New Roman"/>
                <w:b/>
                <w:bCs/>
              </w:rPr>
            </w:pPr>
            <w:r w:rsidRPr="00153059">
              <w:rPr>
                <w:rFonts w:ascii="Times New Roman" w:eastAsia="Times New Roman" w:hAnsi="Times New Roman" w:cs="Times New Roman"/>
                <w:b/>
                <w:bCs/>
              </w:rPr>
              <w:t>0</w:t>
            </w:r>
          </w:p>
        </w:tc>
        <w:tc>
          <w:tcPr>
            <w:tcW w:w="934" w:type="dxa"/>
            <w:noWrap/>
          </w:tcPr>
          <w:p w14:paraId="5F428FA3"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94</w:t>
            </w:r>
          </w:p>
        </w:tc>
        <w:tc>
          <w:tcPr>
            <w:tcW w:w="1069" w:type="dxa"/>
            <w:noWrap/>
          </w:tcPr>
          <w:p w14:paraId="178D3E41"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102</w:t>
            </w:r>
          </w:p>
        </w:tc>
        <w:tc>
          <w:tcPr>
            <w:tcW w:w="1069" w:type="dxa"/>
            <w:noWrap/>
          </w:tcPr>
          <w:p w14:paraId="2099F585"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88</w:t>
            </w:r>
          </w:p>
        </w:tc>
        <w:tc>
          <w:tcPr>
            <w:tcW w:w="1069" w:type="dxa"/>
            <w:noWrap/>
          </w:tcPr>
          <w:p w14:paraId="4D6CA1BE"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76</w:t>
            </w:r>
          </w:p>
        </w:tc>
        <w:tc>
          <w:tcPr>
            <w:tcW w:w="1069" w:type="dxa"/>
            <w:noWrap/>
          </w:tcPr>
          <w:p w14:paraId="5B85D93A"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47</w:t>
            </w:r>
          </w:p>
        </w:tc>
        <w:tc>
          <w:tcPr>
            <w:tcW w:w="1069" w:type="dxa"/>
            <w:noWrap/>
          </w:tcPr>
          <w:p w14:paraId="38EB72CB"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86</w:t>
            </w:r>
          </w:p>
        </w:tc>
        <w:tc>
          <w:tcPr>
            <w:tcW w:w="1069" w:type="dxa"/>
            <w:noWrap/>
          </w:tcPr>
          <w:p w14:paraId="3B9F9EBA"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493</w:t>
            </w:r>
          </w:p>
        </w:tc>
      </w:tr>
      <w:tr w:rsidR="00153059" w:rsidRPr="00153059" w14:paraId="6BBC770D" w14:textId="77777777" w:rsidTr="00153059">
        <w:trPr>
          <w:trHeight w:val="273"/>
        </w:trPr>
        <w:tc>
          <w:tcPr>
            <w:cnfStyle w:val="001000000000" w:firstRow="0" w:lastRow="0" w:firstColumn="1" w:lastColumn="0" w:oddVBand="0" w:evenVBand="0" w:oddHBand="0" w:evenHBand="0" w:firstRowFirstColumn="0" w:firstRowLastColumn="0" w:lastRowFirstColumn="0" w:lastRowLastColumn="0"/>
            <w:tcW w:w="1204" w:type="dxa"/>
            <w:noWrap/>
          </w:tcPr>
          <w:p w14:paraId="0DDE1640" w14:textId="77777777" w:rsidR="00485D26" w:rsidRPr="00153059" w:rsidRDefault="00485D26" w:rsidP="00485D26">
            <w:pPr>
              <w:jc w:val="center"/>
              <w:rPr>
                <w:rFonts w:ascii="Times New Roman" w:eastAsia="Times New Roman" w:hAnsi="Times New Roman" w:cs="Times New Roman"/>
                <w:b/>
                <w:bCs/>
              </w:rPr>
            </w:pPr>
            <w:r w:rsidRPr="00153059">
              <w:rPr>
                <w:rFonts w:ascii="Times New Roman" w:eastAsia="Times New Roman" w:hAnsi="Times New Roman" w:cs="Times New Roman"/>
                <w:b/>
                <w:bCs/>
              </w:rPr>
              <w:t>1</w:t>
            </w:r>
          </w:p>
        </w:tc>
        <w:tc>
          <w:tcPr>
            <w:tcW w:w="934" w:type="dxa"/>
            <w:noWrap/>
          </w:tcPr>
          <w:p w14:paraId="1C085BE9" w14:textId="77777777" w:rsidR="00485D26" w:rsidRPr="00153059" w:rsidRDefault="00485D26" w:rsidP="00485D2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14</w:t>
            </w:r>
          </w:p>
        </w:tc>
        <w:tc>
          <w:tcPr>
            <w:tcW w:w="1069" w:type="dxa"/>
            <w:noWrap/>
          </w:tcPr>
          <w:p w14:paraId="07BAB823" w14:textId="77777777" w:rsidR="00485D26" w:rsidRPr="00153059" w:rsidRDefault="00485D26" w:rsidP="00485D2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9</w:t>
            </w:r>
          </w:p>
        </w:tc>
        <w:tc>
          <w:tcPr>
            <w:tcW w:w="1069" w:type="dxa"/>
            <w:noWrap/>
          </w:tcPr>
          <w:p w14:paraId="2136DCED" w14:textId="77777777" w:rsidR="00485D26" w:rsidRPr="00153059" w:rsidRDefault="00485D26" w:rsidP="00485D2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28</w:t>
            </w:r>
          </w:p>
        </w:tc>
        <w:tc>
          <w:tcPr>
            <w:tcW w:w="1069" w:type="dxa"/>
            <w:noWrap/>
          </w:tcPr>
          <w:p w14:paraId="50C62B24" w14:textId="77777777" w:rsidR="00485D26" w:rsidRPr="00153059" w:rsidRDefault="00485D26" w:rsidP="00485D2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27</w:t>
            </w:r>
          </w:p>
        </w:tc>
        <w:tc>
          <w:tcPr>
            <w:tcW w:w="1069" w:type="dxa"/>
            <w:noWrap/>
          </w:tcPr>
          <w:p w14:paraId="5D71E303" w14:textId="77777777" w:rsidR="00485D26" w:rsidRPr="00153059" w:rsidRDefault="00485D26" w:rsidP="00485D2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39</w:t>
            </w:r>
          </w:p>
        </w:tc>
        <w:tc>
          <w:tcPr>
            <w:tcW w:w="1069" w:type="dxa"/>
            <w:noWrap/>
          </w:tcPr>
          <w:p w14:paraId="751EC93F" w14:textId="77777777" w:rsidR="00485D26" w:rsidRPr="00153059" w:rsidRDefault="00485D26" w:rsidP="00485D2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27</w:t>
            </w:r>
          </w:p>
        </w:tc>
        <w:tc>
          <w:tcPr>
            <w:tcW w:w="1069" w:type="dxa"/>
            <w:noWrap/>
          </w:tcPr>
          <w:p w14:paraId="391B69F4" w14:textId="77777777" w:rsidR="00485D26" w:rsidRPr="00153059" w:rsidRDefault="00485D26" w:rsidP="00485D2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144</w:t>
            </w:r>
          </w:p>
        </w:tc>
      </w:tr>
      <w:tr w:rsidR="00153059" w:rsidRPr="00153059" w14:paraId="3E0408C0" w14:textId="77777777" w:rsidTr="00153059">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04" w:type="dxa"/>
            <w:noWrap/>
          </w:tcPr>
          <w:p w14:paraId="38301D84" w14:textId="77777777" w:rsidR="00485D26" w:rsidRPr="00153059" w:rsidRDefault="00485D26" w:rsidP="00485D26">
            <w:pPr>
              <w:jc w:val="center"/>
              <w:rPr>
                <w:rFonts w:ascii="Times New Roman" w:eastAsia="Times New Roman" w:hAnsi="Times New Roman" w:cs="Times New Roman"/>
                <w:b/>
                <w:bCs/>
              </w:rPr>
            </w:pPr>
            <w:r w:rsidRPr="00153059">
              <w:rPr>
                <w:rFonts w:ascii="Times New Roman" w:eastAsia="Times New Roman" w:hAnsi="Times New Roman" w:cs="Times New Roman"/>
                <w:b/>
                <w:bCs/>
              </w:rPr>
              <w:t>2</w:t>
            </w:r>
          </w:p>
        </w:tc>
        <w:tc>
          <w:tcPr>
            <w:tcW w:w="934" w:type="dxa"/>
            <w:noWrap/>
          </w:tcPr>
          <w:p w14:paraId="28E92B18"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3</w:t>
            </w:r>
          </w:p>
        </w:tc>
        <w:tc>
          <w:tcPr>
            <w:tcW w:w="1069" w:type="dxa"/>
            <w:noWrap/>
          </w:tcPr>
          <w:p w14:paraId="1426FEE7"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5</w:t>
            </w:r>
          </w:p>
        </w:tc>
        <w:tc>
          <w:tcPr>
            <w:tcW w:w="1069" w:type="dxa"/>
            <w:noWrap/>
          </w:tcPr>
          <w:p w14:paraId="370DACD3"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9" w:type="dxa"/>
            <w:noWrap/>
          </w:tcPr>
          <w:p w14:paraId="22ABEA61"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8</w:t>
            </w:r>
          </w:p>
        </w:tc>
        <w:tc>
          <w:tcPr>
            <w:tcW w:w="1069" w:type="dxa"/>
            <w:noWrap/>
          </w:tcPr>
          <w:p w14:paraId="384B48E8"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16</w:t>
            </w:r>
          </w:p>
        </w:tc>
        <w:tc>
          <w:tcPr>
            <w:tcW w:w="1069" w:type="dxa"/>
            <w:noWrap/>
          </w:tcPr>
          <w:p w14:paraId="3B38B291"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3</w:t>
            </w:r>
          </w:p>
        </w:tc>
        <w:tc>
          <w:tcPr>
            <w:tcW w:w="1069" w:type="dxa"/>
            <w:noWrap/>
          </w:tcPr>
          <w:p w14:paraId="092726B1"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35</w:t>
            </w:r>
          </w:p>
        </w:tc>
      </w:tr>
      <w:tr w:rsidR="00153059" w:rsidRPr="00153059" w14:paraId="26AAAB07" w14:textId="77777777" w:rsidTr="00153059">
        <w:trPr>
          <w:trHeight w:val="273"/>
        </w:trPr>
        <w:tc>
          <w:tcPr>
            <w:cnfStyle w:val="001000000000" w:firstRow="0" w:lastRow="0" w:firstColumn="1" w:lastColumn="0" w:oddVBand="0" w:evenVBand="0" w:oddHBand="0" w:evenHBand="0" w:firstRowFirstColumn="0" w:firstRowLastColumn="0" w:lastRowFirstColumn="0" w:lastRowLastColumn="0"/>
            <w:tcW w:w="1204" w:type="dxa"/>
            <w:noWrap/>
          </w:tcPr>
          <w:p w14:paraId="3BD08D49" w14:textId="77777777" w:rsidR="00485D26" w:rsidRPr="00153059" w:rsidRDefault="00485D26" w:rsidP="00485D26">
            <w:pPr>
              <w:jc w:val="center"/>
              <w:rPr>
                <w:rFonts w:ascii="Times New Roman" w:eastAsia="Times New Roman" w:hAnsi="Times New Roman" w:cs="Times New Roman"/>
                <w:b/>
                <w:bCs/>
              </w:rPr>
            </w:pPr>
            <w:r w:rsidRPr="00153059">
              <w:rPr>
                <w:rFonts w:ascii="Times New Roman" w:eastAsia="Times New Roman" w:hAnsi="Times New Roman" w:cs="Times New Roman"/>
                <w:b/>
                <w:bCs/>
              </w:rPr>
              <w:t>3</w:t>
            </w:r>
          </w:p>
        </w:tc>
        <w:tc>
          <w:tcPr>
            <w:tcW w:w="934" w:type="dxa"/>
            <w:noWrap/>
          </w:tcPr>
          <w:p w14:paraId="4AC8F3B3" w14:textId="77777777" w:rsidR="00485D26" w:rsidRPr="00153059" w:rsidRDefault="00485D26" w:rsidP="00485D2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9" w:type="dxa"/>
            <w:noWrap/>
          </w:tcPr>
          <w:p w14:paraId="1A39ED20" w14:textId="77777777" w:rsidR="00485D26" w:rsidRPr="00153059" w:rsidRDefault="00485D26" w:rsidP="00485D2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1</w:t>
            </w:r>
          </w:p>
        </w:tc>
        <w:tc>
          <w:tcPr>
            <w:tcW w:w="1069" w:type="dxa"/>
            <w:noWrap/>
          </w:tcPr>
          <w:p w14:paraId="3B4AA8F6" w14:textId="77777777" w:rsidR="00485D26" w:rsidRPr="00153059" w:rsidRDefault="00485D26" w:rsidP="00485D2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1</w:t>
            </w:r>
          </w:p>
        </w:tc>
        <w:tc>
          <w:tcPr>
            <w:tcW w:w="1069" w:type="dxa"/>
            <w:noWrap/>
          </w:tcPr>
          <w:p w14:paraId="3A40B205" w14:textId="77777777" w:rsidR="00485D26" w:rsidRPr="00153059" w:rsidRDefault="00485D26" w:rsidP="00485D2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5</w:t>
            </w:r>
          </w:p>
        </w:tc>
        <w:tc>
          <w:tcPr>
            <w:tcW w:w="1069" w:type="dxa"/>
            <w:noWrap/>
          </w:tcPr>
          <w:p w14:paraId="5EFA3CAF" w14:textId="77777777" w:rsidR="00485D26" w:rsidRPr="00153059" w:rsidRDefault="00485D26" w:rsidP="00485D2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8</w:t>
            </w:r>
          </w:p>
        </w:tc>
        <w:tc>
          <w:tcPr>
            <w:tcW w:w="1069" w:type="dxa"/>
            <w:noWrap/>
          </w:tcPr>
          <w:p w14:paraId="40F701BB" w14:textId="77777777" w:rsidR="00485D26" w:rsidRPr="00153059" w:rsidRDefault="00485D26" w:rsidP="00485D2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1</w:t>
            </w:r>
          </w:p>
        </w:tc>
        <w:tc>
          <w:tcPr>
            <w:tcW w:w="1069" w:type="dxa"/>
            <w:noWrap/>
          </w:tcPr>
          <w:p w14:paraId="5F0A3BF2" w14:textId="77777777" w:rsidR="00485D26" w:rsidRPr="00153059" w:rsidRDefault="00485D26" w:rsidP="00485D2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16</w:t>
            </w:r>
          </w:p>
        </w:tc>
      </w:tr>
      <w:tr w:rsidR="00153059" w:rsidRPr="00153059" w14:paraId="435C5A1E" w14:textId="77777777" w:rsidTr="00153059">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04" w:type="dxa"/>
            <w:noWrap/>
          </w:tcPr>
          <w:p w14:paraId="7C6FE589" w14:textId="77777777" w:rsidR="00485D26" w:rsidRPr="00153059" w:rsidRDefault="00485D26" w:rsidP="00485D26">
            <w:pPr>
              <w:jc w:val="center"/>
              <w:rPr>
                <w:rFonts w:ascii="Times New Roman" w:eastAsia="Times New Roman" w:hAnsi="Times New Roman" w:cs="Times New Roman"/>
                <w:b/>
                <w:bCs/>
              </w:rPr>
            </w:pPr>
            <w:r w:rsidRPr="00153059">
              <w:rPr>
                <w:rFonts w:ascii="Times New Roman" w:eastAsia="Times New Roman" w:hAnsi="Times New Roman" w:cs="Times New Roman"/>
                <w:b/>
                <w:bCs/>
              </w:rPr>
              <w:t>4</w:t>
            </w:r>
          </w:p>
        </w:tc>
        <w:tc>
          <w:tcPr>
            <w:tcW w:w="934" w:type="dxa"/>
            <w:noWrap/>
          </w:tcPr>
          <w:p w14:paraId="6BC5A93C"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2</w:t>
            </w:r>
          </w:p>
        </w:tc>
        <w:tc>
          <w:tcPr>
            <w:tcW w:w="1069" w:type="dxa"/>
            <w:noWrap/>
          </w:tcPr>
          <w:p w14:paraId="18FA555D"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9" w:type="dxa"/>
            <w:noWrap/>
          </w:tcPr>
          <w:p w14:paraId="56A9A048"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1</w:t>
            </w:r>
          </w:p>
        </w:tc>
        <w:tc>
          <w:tcPr>
            <w:tcW w:w="1069" w:type="dxa"/>
            <w:noWrap/>
          </w:tcPr>
          <w:p w14:paraId="4476DFA5"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1</w:t>
            </w:r>
          </w:p>
        </w:tc>
        <w:tc>
          <w:tcPr>
            <w:tcW w:w="1069" w:type="dxa"/>
            <w:noWrap/>
          </w:tcPr>
          <w:p w14:paraId="1F6E8F97"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2</w:t>
            </w:r>
          </w:p>
        </w:tc>
        <w:tc>
          <w:tcPr>
            <w:tcW w:w="1069" w:type="dxa"/>
            <w:noWrap/>
          </w:tcPr>
          <w:p w14:paraId="6F8754BE"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9" w:type="dxa"/>
            <w:noWrap/>
          </w:tcPr>
          <w:p w14:paraId="35CAE267"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6</w:t>
            </w:r>
          </w:p>
        </w:tc>
      </w:tr>
      <w:tr w:rsidR="00153059" w:rsidRPr="00153059" w14:paraId="3DC089E7" w14:textId="77777777" w:rsidTr="00153059">
        <w:trPr>
          <w:trHeight w:val="273"/>
        </w:trPr>
        <w:tc>
          <w:tcPr>
            <w:cnfStyle w:val="001000000000" w:firstRow="0" w:lastRow="0" w:firstColumn="1" w:lastColumn="0" w:oddVBand="0" w:evenVBand="0" w:oddHBand="0" w:evenHBand="0" w:firstRowFirstColumn="0" w:firstRowLastColumn="0" w:lastRowFirstColumn="0" w:lastRowLastColumn="0"/>
            <w:tcW w:w="1204" w:type="dxa"/>
            <w:noWrap/>
          </w:tcPr>
          <w:p w14:paraId="48F9FC6D" w14:textId="77777777" w:rsidR="00485D26" w:rsidRPr="00153059" w:rsidRDefault="00485D26" w:rsidP="00485D26">
            <w:pPr>
              <w:jc w:val="center"/>
              <w:rPr>
                <w:rFonts w:ascii="Times New Roman" w:eastAsia="Times New Roman" w:hAnsi="Times New Roman" w:cs="Times New Roman"/>
                <w:b/>
                <w:bCs/>
              </w:rPr>
            </w:pPr>
            <w:r w:rsidRPr="00153059">
              <w:rPr>
                <w:rFonts w:ascii="Times New Roman" w:eastAsia="Times New Roman" w:hAnsi="Times New Roman" w:cs="Times New Roman"/>
                <w:b/>
                <w:bCs/>
              </w:rPr>
              <w:t>5</w:t>
            </w:r>
          </w:p>
        </w:tc>
        <w:tc>
          <w:tcPr>
            <w:tcW w:w="934" w:type="dxa"/>
            <w:noWrap/>
          </w:tcPr>
          <w:p w14:paraId="3955BF09" w14:textId="77777777" w:rsidR="00485D26" w:rsidRPr="00153059" w:rsidRDefault="00485D26" w:rsidP="00485D2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1</w:t>
            </w:r>
          </w:p>
        </w:tc>
        <w:tc>
          <w:tcPr>
            <w:tcW w:w="1069" w:type="dxa"/>
            <w:noWrap/>
          </w:tcPr>
          <w:p w14:paraId="298E8327" w14:textId="77777777" w:rsidR="00485D26" w:rsidRPr="00153059" w:rsidRDefault="00485D26" w:rsidP="00485D2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1</w:t>
            </w:r>
          </w:p>
        </w:tc>
        <w:tc>
          <w:tcPr>
            <w:tcW w:w="1069" w:type="dxa"/>
            <w:noWrap/>
          </w:tcPr>
          <w:p w14:paraId="5B4A4290" w14:textId="77777777" w:rsidR="00485D26" w:rsidRPr="00153059" w:rsidRDefault="00485D26" w:rsidP="00485D2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9" w:type="dxa"/>
            <w:noWrap/>
          </w:tcPr>
          <w:p w14:paraId="4AE86E85" w14:textId="77777777" w:rsidR="00485D26" w:rsidRPr="00153059" w:rsidRDefault="00485D26" w:rsidP="00485D2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9" w:type="dxa"/>
            <w:noWrap/>
          </w:tcPr>
          <w:p w14:paraId="51E4C6D9" w14:textId="77777777" w:rsidR="00485D26" w:rsidRPr="00153059" w:rsidRDefault="00485D26" w:rsidP="00485D2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3</w:t>
            </w:r>
          </w:p>
        </w:tc>
        <w:tc>
          <w:tcPr>
            <w:tcW w:w="1069" w:type="dxa"/>
            <w:noWrap/>
          </w:tcPr>
          <w:p w14:paraId="50AD4733" w14:textId="77777777" w:rsidR="00485D26" w:rsidRPr="00153059" w:rsidRDefault="00485D26" w:rsidP="00485D2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9" w:type="dxa"/>
            <w:noWrap/>
          </w:tcPr>
          <w:p w14:paraId="22915D99" w14:textId="77777777" w:rsidR="00485D26" w:rsidRPr="00153059" w:rsidRDefault="00485D26" w:rsidP="00485D2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5</w:t>
            </w:r>
          </w:p>
        </w:tc>
      </w:tr>
      <w:tr w:rsidR="00153059" w:rsidRPr="00153059" w14:paraId="69662FB3" w14:textId="77777777" w:rsidTr="00153059">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04" w:type="dxa"/>
            <w:noWrap/>
          </w:tcPr>
          <w:p w14:paraId="1E773C29" w14:textId="77777777" w:rsidR="00485D26" w:rsidRPr="00153059" w:rsidRDefault="00485D26" w:rsidP="00485D26">
            <w:pPr>
              <w:jc w:val="center"/>
              <w:rPr>
                <w:rFonts w:ascii="Times New Roman" w:eastAsia="Times New Roman" w:hAnsi="Times New Roman" w:cs="Times New Roman"/>
                <w:b/>
                <w:bCs/>
              </w:rPr>
            </w:pPr>
            <w:r w:rsidRPr="00153059">
              <w:rPr>
                <w:rFonts w:ascii="Times New Roman" w:eastAsia="Times New Roman" w:hAnsi="Times New Roman" w:cs="Times New Roman"/>
                <w:b/>
                <w:bCs/>
              </w:rPr>
              <w:t>6</w:t>
            </w:r>
          </w:p>
        </w:tc>
        <w:tc>
          <w:tcPr>
            <w:tcW w:w="934" w:type="dxa"/>
            <w:noWrap/>
          </w:tcPr>
          <w:p w14:paraId="5F4BB12E"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2</w:t>
            </w:r>
          </w:p>
        </w:tc>
        <w:tc>
          <w:tcPr>
            <w:tcW w:w="1069" w:type="dxa"/>
            <w:noWrap/>
          </w:tcPr>
          <w:p w14:paraId="75D92C11"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9" w:type="dxa"/>
            <w:noWrap/>
          </w:tcPr>
          <w:p w14:paraId="277C79C5"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9" w:type="dxa"/>
            <w:noWrap/>
          </w:tcPr>
          <w:p w14:paraId="6D583C20"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1</w:t>
            </w:r>
          </w:p>
        </w:tc>
        <w:tc>
          <w:tcPr>
            <w:tcW w:w="1069" w:type="dxa"/>
            <w:noWrap/>
          </w:tcPr>
          <w:p w14:paraId="6D07955A"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2</w:t>
            </w:r>
          </w:p>
        </w:tc>
        <w:tc>
          <w:tcPr>
            <w:tcW w:w="1069" w:type="dxa"/>
            <w:noWrap/>
          </w:tcPr>
          <w:p w14:paraId="56F9961B"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9" w:type="dxa"/>
            <w:noWrap/>
          </w:tcPr>
          <w:p w14:paraId="40005FC0"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5</w:t>
            </w:r>
          </w:p>
        </w:tc>
      </w:tr>
      <w:tr w:rsidR="00153059" w:rsidRPr="00153059" w14:paraId="5984A79A" w14:textId="77777777" w:rsidTr="00153059">
        <w:trPr>
          <w:trHeight w:val="273"/>
        </w:trPr>
        <w:tc>
          <w:tcPr>
            <w:cnfStyle w:val="001000000000" w:firstRow="0" w:lastRow="0" w:firstColumn="1" w:lastColumn="0" w:oddVBand="0" w:evenVBand="0" w:oddHBand="0" w:evenHBand="0" w:firstRowFirstColumn="0" w:firstRowLastColumn="0" w:lastRowFirstColumn="0" w:lastRowLastColumn="0"/>
            <w:tcW w:w="1204" w:type="dxa"/>
            <w:noWrap/>
          </w:tcPr>
          <w:p w14:paraId="1040D5E6" w14:textId="77777777" w:rsidR="00485D26" w:rsidRPr="00153059" w:rsidRDefault="00485D26" w:rsidP="00485D26">
            <w:pPr>
              <w:jc w:val="center"/>
              <w:rPr>
                <w:rFonts w:ascii="Times New Roman" w:eastAsia="Times New Roman" w:hAnsi="Times New Roman" w:cs="Times New Roman"/>
                <w:b/>
                <w:bCs/>
              </w:rPr>
            </w:pPr>
            <w:r w:rsidRPr="00153059">
              <w:rPr>
                <w:rFonts w:ascii="Times New Roman" w:eastAsia="Times New Roman" w:hAnsi="Times New Roman" w:cs="Times New Roman"/>
                <w:b/>
                <w:bCs/>
              </w:rPr>
              <w:t>7</w:t>
            </w:r>
          </w:p>
        </w:tc>
        <w:tc>
          <w:tcPr>
            <w:tcW w:w="934" w:type="dxa"/>
            <w:noWrap/>
          </w:tcPr>
          <w:p w14:paraId="225A934D" w14:textId="77777777" w:rsidR="00485D26" w:rsidRPr="00153059" w:rsidRDefault="00485D26" w:rsidP="00485D2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9" w:type="dxa"/>
            <w:noWrap/>
          </w:tcPr>
          <w:p w14:paraId="07D1B40A" w14:textId="77777777" w:rsidR="00485D26" w:rsidRPr="00153059" w:rsidRDefault="00485D26" w:rsidP="00485D2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9" w:type="dxa"/>
            <w:noWrap/>
          </w:tcPr>
          <w:p w14:paraId="12F4868D" w14:textId="77777777" w:rsidR="00485D26" w:rsidRPr="00153059" w:rsidRDefault="00485D26" w:rsidP="00485D2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9" w:type="dxa"/>
            <w:noWrap/>
          </w:tcPr>
          <w:p w14:paraId="49DA9B6D" w14:textId="77777777" w:rsidR="00485D26" w:rsidRPr="00153059" w:rsidRDefault="00485D26" w:rsidP="00485D2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9" w:type="dxa"/>
            <w:noWrap/>
          </w:tcPr>
          <w:p w14:paraId="62897405" w14:textId="77777777" w:rsidR="00485D26" w:rsidRPr="00153059" w:rsidRDefault="00485D26" w:rsidP="00485D2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1</w:t>
            </w:r>
          </w:p>
        </w:tc>
        <w:tc>
          <w:tcPr>
            <w:tcW w:w="1069" w:type="dxa"/>
            <w:noWrap/>
          </w:tcPr>
          <w:p w14:paraId="4E34D256" w14:textId="77777777" w:rsidR="00485D26" w:rsidRPr="00153059" w:rsidRDefault="00485D26" w:rsidP="00485D2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9" w:type="dxa"/>
            <w:noWrap/>
          </w:tcPr>
          <w:p w14:paraId="5B760402" w14:textId="77777777" w:rsidR="00485D26" w:rsidRPr="00153059" w:rsidRDefault="00485D26" w:rsidP="00485D2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1</w:t>
            </w:r>
          </w:p>
        </w:tc>
      </w:tr>
      <w:tr w:rsidR="00153059" w:rsidRPr="00153059" w14:paraId="5903E032" w14:textId="77777777" w:rsidTr="00153059">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04" w:type="dxa"/>
            <w:noWrap/>
          </w:tcPr>
          <w:p w14:paraId="511EA7D8" w14:textId="77777777" w:rsidR="00485D26" w:rsidRPr="00153059" w:rsidRDefault="00485D26" w:rsidP="00485D26">
            <w:pPr>
              <w:jc w:val="center"/>
              <w:rPr>
                <w:rFonts w:ascii="Times New Roman" w:eastAsia="Times New Roman" w:hAnsi="Times New Roman" w:cs="Times New Roman"/>
                <w:b/>
                <w:bCs/>
              </w:rPr>
            </w:pPr>
            <w:r w:rsidRPr="00153059">
              <w:rPr>
                <w:rFonts w:ascii="Times New Roman" w:eastAsia="Times New Roman" w:hAnsi="Times New Roman" w:cs="Times New Roman"/>
                <w:b/>
                <w:bCs/>
              </w:rPr>
              <w:t>9</w:t>
            </w:r>
          </w:p>
        </w:tc>
        <w:tc>
          <w:tcPr>
            <w:tcW w:w="934" w:type="dxa"/>
            <w:noWrap/>
          </w:tcPr>
          <w:p w14:paraId="2019EEB3"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1</w:t>
            </w:r>
          </w:p>
        </w:tc>
        <w:tc>
          <w:tcPr>
            <w:tcW w:w="1069" w:type="dxa"/>
            <w:noWrap/>
          </w:tcPr>
          <w:p w14:paraId="1DE70BB7"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9" w:type="dxa"/>
            <w:noWrap/>
          </w:tcPr>
          <w:p w14:paraId="43B93848"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9" w:type="dxa"/>
            <w:noWrap/>
          </w:tcPr>
          <w:p w14:paraId="33B102F7"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9" w:type="dxa"/>
            <w:noWrap/>
          </w:tcPr>
          <w:p w14:paraId="28CB8B48"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9" w:type="dxa"/>
            <w:noWrap/>
          </w:tcPr>
          <w:p w14:paraId="23AB22EC"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1</w:t>
            </w:r>
          </w:p>
        </w:tc>
        <w:tc>
          <w:tcPr>
            <w:tcW w:w="1069" w:type="dxa"/>
            <w:noWrap/>
          </w:tcPr>
          <w:p w14:paraId="7767826F"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2</w:t>
            </w:r>
          </w:p>
        </w:tc>
      </w:tr>
      <w:tr w:rsidR="00153059" w:rsidRPr="00153059" w14:paraId="3B104DE4" w14:textId="77777777" w:rsidTr="00153059">
        <w:trPr>
          <w:trHeight w:val="273"/>
        </w:trPr>
        <w:tc>
          <w:tcPr>
            <w:cnfStyle w:val="001000000000" w:firstRow="0" w:lastRow="0" w:firstColumn="1" w:lastColumn="0" w:oddVBand="0" w:evenVBand="0" w:oddHBand="0" w:evenHBand="0" w:firstRowFirstColumn="0" w:firstRowLastColumn="0" w:lastRowFirstColumn="0" w:lastRowLastColumn="0"/>
            <w:tcW w:w="1204" w:type="dxa"/>
            <w:noWrap/>
          </w:tcPr>
          <w:p w14:paraId="04BCD262" w14:textId="77777777" w:rsidR="00485D26" w:rsidRPr="00153059" w:rsidRDefault="00485D26" w:rsidP="00485D26">
            <w:pPr>
              <w:jc w:val="center"/>
              <w:rPr>
                <w:rFonts w:ascii="Times New Roman" w:eastAsia="Times New Roman" w:hAnsi="Times New Roman" w:cs="Times New Roman"/>
                <w:b/>
                <w:bCs/>
              </w:rPr>
            </w:pPr>
            <w:r w:rsidRPr="00153059">
              <w:rPr>
                <w:rFonts w:ascii="Times New Roman" w:eastAsia="Times New Roman" w:hAnsi="Times New Roman" w:cs="Times New Roman"/>
                <w:b/>
                <w:bCs/>
              </w:rPr>
              <w:t>10</w:t>
            </w:r>
          </w:p>
        </w:tc>
        <w:tc>
          <w:tcPr>
            <w:tcW w:w="934" w:type="dxa"/>
            <w:noWrap/>
          </w:tcPr>
          <w:p w14:paraId="5ADFA283" w14:textId="77777777" w:rsidR="00485D26" w:rsidRPr="00153059" w:rsidRDefault="00485D26" w:rsidP="00485D2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1</w:t>
            </w:r>
          </w:p>
        </w:tc>
        <w:tc>
          <w:tcPr>
            <w:tcW w:w="1069" w:type="dxa"/>
            <w:noWrap/>
          </w:tcPr>
          <w:p w14:paraId="506A5C2C" w14:textId="77777777" w:rsidR="00485D26" w:rsidRPr="00153059" w:rsidRDefault="00485D26" w:rsidP="00485D2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9" w:type="dxa"/>
            <w:noWrap/>
          </w:tcPr>
          <w:p w14:paraId="1B5EE2FF" w14:textId="77777777" w:rsidR="00485D26" w:rsidRPr="00153059" w:rsidRDefault="00485D26" w:rsidP="00485D2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9" w:type="dxa"/>
            <w:noWrap/>
          </w:tcPr>
          <w:p w14:paraId="22371067" w14:textId="77777777" w:rsidR="00485D26" w:rsidRPr="00153059" w:rsidRDefault="00485D26" w:rsidP="00485D2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9" w:type="dxa"/>
            <w:noWrap/>
          </w:tcPr>
          <w:p w14:paraId="357D0900" w14:textId="77777777" w:rsidR="00485D26" w:rsidRPr="00153059" w:rsidRDefault="00485D26" w:rsidP="00485D2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9" w:type="dxa"/>
            <w:noWrap/>
          </w:tcPr>
          <w:p w14:paraId="18CF06B7" w14:textId="77777777" w:rsidR="00485D26" w:rsidRPr="00153059" w:rsidRDefault="00485D26" w:rsidP="00485D2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9" w:type="dxa"/>
            <w:noWrap/>
          </w:tcPr>
          <w:p w14:paraId="5941596B" w14:textId="77777777" w:rsidR="00485D26" w:rsidRPr="00153059" w:rsidRDefault="00485D26" w:rsidP="00485D2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1</w:t>
            </w:r>
          </w:p>
        </w:tc>
      </w:tr>
      <w:tr w:rsidR="00153059" w:rsidRPr="00153059" w14:paraId="4AA8C56B" w14:textId="77777777" w:rsidTr="00153059">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04" w:type="dxa"/>
            <w:noWrap/>
          </w:tcPr>
          <w:p w14:paraId="7B88EC81" w14:textId="77777777" w:rsidR="00485D26" w:rsidRPr="00153059" w:rsidRDefault="00485D26" w:rsidP="00485D26">
            <w:pPr>
              <w:jc w:val="center"/>
              <w:rPr>
                <w:rFonts w:ascii="Times New Roman" w:eastAsia="Times New Roman" w:hAnsi="Times New Roman" w:cs="Times New Roman"/>
                <w:b/>
                <w:bCs/>
              </w:rPr>
            </w:pPr>
            <w:r w:rsidRPr="00153059">
              <w:rPr>
                <w:rFonts w:ascii="Times New Roman" w:eastAsia="Times New Roman" w:hAnsi="Times New Roman" w:cs="Times New Roman"/>
                <w:b/>
                <w:bCs/>
              </w:rPr>
              <w:t>Total</w:t>
            </w:r>
          </w:p>
        </w:tc>
        <w:tc>
          <w:tcPr>
            <w:tcW w:w="934" w:type="dxa"/>
            <w:noWrap/>
          </w:tcPr>
          <w:p w14:paraId="4EE61868"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153059">
              <w:rPr>
                <w:rFonts w:ascii="Times New Roman" w:eastAsia="Times New Roman" w:hAnsi="Times New Roman" w:cs="Times New Roman"/>
                <w:b/>
              </w:rPr>
              <w:t>118</w:t>
            </w:r>
          </w:p>
        </w:tc>
        <w:tc>
          <w:tcPr>
            <w:tcW w:w="1069" w:type="dxa"/>
            <w:noWrap/>
          </w:tcPr>
          <w:p w14:paraId="6C433E3F"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153059">
              <w:rPr>
                <w:rFonts w:ascii="Times New Roman" w:eastAsia="Times New Roman" w:hAnsi="Times New Roman" w:cs="Times New Roman"/>
                <w:b/>
              </w:rPr>
              <w:t>118</w:t>
            </w:r>
          </w:p>
        </w:tc>
        <w:tc>
          <w:tcPr>
            <w:tcW w:w="1069" w:type="dxa"/>
            <w:noWrap/>
          </w:tcPr>
          <w:p w14:paraId="6AB7E960"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153059">
              <w:rPr>
                <w:rFonts w:ascii="Times New Roman" w:eastAsia="Times New Roman" w:hAnsi="Times New Roman" w:cs="Times New Roman"/>
                <w:b/>
              </w:rPr>
              <w:t>118</w:t>
            </w:r>
          </w:p>
        </w:tc>
        <w:tc>
          <w:tcPr>
            <w:tcW w:w="1069" w:type="dxa"/>
            <w:noWrap/>
          </w:tcPr>
          <w:p w14:paraId="2C80F6B2"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153059">
              <w:rPr>
                <w:rFonts w:ascii="Times New Roman" w:eastAsia="Times New Roman" w:hAnsi="Times New Roman" w:cs="Times New Roman"/>
                <w:b/>
              </w:rPr>
              <w:t>118</w:t>
            </w:r>
          </w:p>
        </w:tc>
        <w:tc>
          <w:tcPr>
            <w:tcW w:w="1069" w:type="dxa"/>
            <w:noWrap/>
          </w:tcPr>
          <w:p w14:paraId="6A84D6F0"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153059">
              <w:rPr>
                <w:rFonts w:ascii="Times New Roman" w:eastAsia="Times New Roman" w:hAnsi="Times New Roman" w:cs="Times New Roman"/>
                <w:b/>
              </w:rPr>
              <w:t>118</w:t>
            </w:r>
          </w:p>
        </w:tc>
        <w:tc>
          <w:tcPr>
            <w:tcW w:w="1069" w:type="dxa"/>
            <w:noWrap/>
          </w:tcPr>
          <w:p w14:paraId="0536B1F2"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153059">
              <w:rPr>
                <w:rFonts w:ascii="Times New Roman" w:eastAsia="Times New Roman" w:hAnsi="Times New Roman" w:cs="Times New Roman"/>
                <w:b/>
              </w:rPr>
              <w:t>118</w:t>
            </w:r>
          </w:p>
        </w:tc>
        <w:tc>
          <w:tcPr>
            <w:tcW w:w="1069" w:type="dxa"/>
            <w:noWrap/>
          </w:tcPr>
          <w:p w14:paraId="1E5554F4"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153059">
              <w:rPr>
                <w:rFonts w:ascii="Times New Roman" w:eastAsia="Times New Roman" w:hAnsi="Times New Roman" w:cs="Times New Roman"/>
                <w:b/>
              </w:rPr>
              <w:t>708</w:t>
            </w:r>
          </w:p>
        </w:tc>
      </w:tr>
    </w:tbl>
    <w:p w14:paraId="31204DD1" w14:textId="77777777" w:rsidR="000257C8" w:rsidRPr="00153059" w:rsidRDefault="000257C8" w:rsidP="000257C8">
      <w:pPr>
        <w:spacing w:before="240" w:line="240" w:lineRule="auto"/>
        <w:jc w:val="center"/>
        <w:rPr>
          <w:rFonts w:ascii="Times New Roman" w:hAnsi="Times New Roman" w:cs="Times New Roman"/>
          <w:b/>
          <w:color w:val="000000" w:themeColor="text1"/>
          <w:sz w:val="24"/>
          <w:szCs w:val="24"/>
        </w:rPr>
      </w:pPr>
    </w:p>
    <w:p w14:paraId="7292EE5D" w14:textId="77777777" w:rsidR="00485D26" w:rsidRPr="00FE28B6" w:rsidRDefault="00485D26" w:rsidP="000257C8">
      <w:pPr>
        <w:spacing w:before="240" w:line="240" w:lineRule="auto"/>
        <w:jc w:val="center"/>
        <w:rPr>
          <w:rFonts w:ascii="Times New Roman" w:hAnsi="Times New Roman" w:cs="Times New Roman"/>
          <w:b/>
          <w:sz w:val="24"/>
          <w:szCs w:val="24"/>
        </w:rPr>
      </w:pPr>
      <w:r>
        <w:rPr>
          <w:rFonts w:ascii="Times New Roman" w:hAnsi="Times New Roman" w:cs="Times New Roman"/>
          <w:b/>
          <w:sz w:val="24"/>
          <w:szCs w:val="24"/>
        </w:rPr>
        <w:t>Tabla 3</w:t>
      </w:r>
      <w:r w:rsidRPr="00FE28B6">
        <w:rPr>
          <w:rFonts w:ascii="Times New Roman" w:hAnsi="Times New Roman" w:cs="Times New Roman"/>
          <w:b/>
          <w:sz w:val="24"/>
          <w:szCs w:val="24"/>
        </w:rPr>
        <w:t xml:space="preserve">. </w:t>
      </w:r>
      <w:r>
        <w:rPr>
          <w:rFonts w:ascii="Times New Roman" w:hAnsi="Times New Roman" w:cs="Times New Roman"/>
          <w:b/>
          <w:sz w:val="24"/>
          <w:szCs w:val="24"/>
        </w:rPr>
        <w:t>Número de proyectos por año y municipio en Guerrero</w:t>
      </w:r>
    </w:p>
    <w:tbl>
      <w:tblPr>
        <w:tblStyle w:val="Listamedia2"/>
        <w:tblW w:w="8544" w:type="dxa"/>
        <w:tblLook w:val="04A0" w:firstRow="1" w:lastRow="0" w:firstColumn="1" w:lastColumn="0" w:noHBand="0" w:noVBand="1"/>
      </w:tblPr>
      <w:tblGrid>
        <w:gridCol w:w="1242"/>
        <w:gridCol w:w="894"/>
        <w:gridCol w:w="1068"/>
        <w:gridCol w:w="1068"/>
        <w:gridCol w:w="1068"/>
        <w:gridCol w:w="1068"/>
        <w:gridCol w:w="1068"/>
        <w:gridCol w:w="1068"/>
      </w:tblGrid>
      <w:tr w:rsidR="00153059" w:rsidRPr="00153059" w14:paraId="5EB83014" w14:textId="77777777" w:rsidTr="00153059">
        <w:trPr>
          <w:cnfStyle w:val="100000000000" w:firstRow="1" w:lastRow="0" w:firstColumn="0" w:lastColumn="0" w:oddVBand="0" w:evenVBand="0" w:oddHBand="0" w:evenHBand="0" w:firstRowFirstColumn="0" w:firstRowLastColumn="0" w:lastRowFirstColumn="0" w:lastRowLastColumn="0"/>
          <w:trHeight w:val="286"/>
        </w:trPr>
        <w:tc>
          <w:tcPr>
            <w:cnfStyle w:val="001000000100" w:firstRow="0" w:lastRow="0" w:firstColumn="1" w:lastColumn="0" w:oddVBand="0" w:evenVBand="0" w:oddHBand="0" w:evenHBand="0" w:firstRowFirstColumn="1" w:firstRowLastColumn="0" w:lastRowFirstColumn="0" w:lastRowLastColumn="0"/>
            <w:tcW w:w="1242" w:type="dxa"/>
            <w:noWrap/>
          </w:tcPr>
          <w:p w14:paraId="09CF4CE4" w14:textId="27B5E17E" w:rsidR="00485D26" w:rsidRPr="00153059" w:rsidRDefault="00F50AD4" w:rsidP="00F50AD4">
            <w:pPr>
              <w:jc w:val="center"/>
              <w:rPr>
                <w:rFonts w:ascii="Times New Roman" w:eastAsia="Times New Roman" w:hAnsi="Times New Roman" w:cs="Times New Roman"/>
                <w:b/>
                <w:bCs/>
              </w:rPr>
            </w:pPr>
            <w:r w:rsidRPr="00153059">
              <w:rPr>
                <w:rFonts w:ascii="Times New Roman" w:eastAsia="Times New Roman" w:hAnsi="Times New Roman" w:cs="Times New Roman"/>
                <w:b/>
                <w:bCs/>
                <w:sz w:val="20"/>
                <w:szCs w:val="20"/>
              </w:rPr>
              <w:t>N</w:t>
            </w:r>
            <w:r w:rsidR="00F62C35" w:rsidRPr="00153059">
              <w:rPr>
                <w:rFonts w:ascii="Times New Roman" w:eastAsia="Times New Roman" w:hAnsi="Times New Roman" w:cs="Times New Roman"/>
                <w:b/>
                <w:bCs/>
                <w:sz w:val="20"/>
                <w:szCs w:val="20"/>
              </w:rPr>
              <w:t>úmero de proyectos</w:t>
            </w:r>
          </w:p>
        </w:tc>
        <w:tc>
          <w:tcPr>
            <w:tcW w:w="894" w:type="dxa"/>
            <w:noWrap/>
          </w:tcPr>
          <w:p w14:paraId="70C577E7" w14:textId="77777777" w:rsidR="00485D26" w:rsidRPr="00153059" w:rsidRDefault="00485D26" w:rsidP="00F50AD4">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153059">
              <w:rPr>
                <w:rFonts w:ascii="Times New Roman" w:eastAsia="Times New Roman" w:hAnsi="Times New Roman" w:cs="Times New Roman"/>
                <w:b/>
                <w:bCs/>
              </w:rPr>
              <w:t>2007</w:t>
            </w:r>
          </w:p>
        </w:tc>
        <w:tc>
          <w:tcPr>
            <w:tcW w:w="1068" w:type="dxa"/>
            <w:noWrap/>
          </w:tcPr>
          <w:p w14:paraId="6295D825" w14:textId="77777777" w:rsidR="00485D26" w:rsidRPr="00153059" w:rsidRDefault="00485D26" w:rsidP="00F50AD4">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153059">
              <w:rPr>
                <w:rFonts w:ascii="Times New Roman" w:eastAsia="Times New Roman" w:hAnsi="Times New Roman" w:cs="Times New Roman"/>
                <w:b/>
                <w:bCs/>
              </w:rPr>
              <w:t>2008</w:t>
            </w:r>
          </w:p>
        </w:tc>
        <w:tc>
          <w:tcPr>
            <w:tcW w:w="1068" w:type="dxa"/>
            <w:noWrap/>
          </w:tcPr>
          <w:p w14:paraId="2991EDC4" w14:textId="77777777" w:rsidR="00485D26" w:rsidRPr="00153059" w:rsidRDefault="00485D26" w:rsidP="00F50AD4">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153059">
              <w:rPr>
                <w:rFonts w:ascii="Times New Roman" w:eastAsia="Times New Roman" w:hAnsi="Times New Roman" w:cs="Times New Roman"/>
                <w:b/>
                <w:bCs/>
              </w:rPr>
              <w:t>2009</w:t>
            </w:r>
          </w:p>
        </w:tc>
        <w:tc>
          <w:tcPr>
            <w:tcW w:w="1068" w:type="dxa"/>
            <w:noWrap/>
          </w:tcPr>
          <w:p w14:paraId="5E5B4860" w14:textId="77777777" w:rsidR="00485D26" w:rsidRPr="00153059" w:rsidRDefault="00485D26" w:rsidP="00F50AD4">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153059">
              <w:rPr>
                <w:rFonts w:ascii="Times New Roman" w:eastAsia="Times New Roman" w:hAnsi="Times New Roman" w:cs="Times New Roman"/>
                <w:b/>
                <w:bCs/>
              </w:rPr>
              <w:t>2010</w:t>
            </w:r>
          </w:p>
        </w:tc>
        <w:tc>
          <w:tcPr>
            <w:tcW w:w="1068" w:type="dxa"/>
            <w:noWrap/>
          </w:tcPr>
          <w:p w14:paraId="6EF47259" w14:textId="77777777" w:rsidR="00485D26" w:rsidRPr="00153059" w:rsidRDefault="00485D26" w:rsidP="00F50AD4">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153059">
              <w:rPr>
                <w:rFonts w:ascii="Times New Roman" w:eastAsia="Times New Roman" w:hAnsi="Times New Roman" w:cs="Times New Roman"/>
                <w:b/>
                <w:bCs/>
              </w:rPr>
              <w:t>2011</w:t>
            </w:r>
          </w:p>
        </w:tc>
        <w:tc>
          <w:tcPr>
            <w:tcW w:w="1068" w:type="dxa"/>
            <w:noWrap/>
          </w:tcPr>
          <w:p w14:paraId="32D3BA9E" w14:textId="77777777" w:rsidR="00485D26" w:rsidRPr="00153059" w:rsidRDefault="00485D26" w:rsidP="00F50AD4">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153059">
              <w:rPr>
                <w:rFonts w:ascii="Times New Roman" w:eastAsia="Times New Roman" w:hAnsi="Times New Roman" w:cs="Times New Roman"/>
                <w:b/>
                <w:bCs/>
              </w:rPr>
              <w:t>2012</w:t>
            </w:r>
          </w:p>
        </w:tc>
        <w:tc>
          <w:tcPr>
            <w:tcW w:w="1068" w:type="dxa"/>
            <w:noWrap/>
          </w:tcPr>
          <w:p w14:paraId="7FAB03A8" w14:textId="77777777" w:rsidR="00485D26" w:rsidRPr="00153059" w:rsidRDefault="00485D26" w:rsidP="00F50AD4">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153059">
              <w:rPr>
                <w:rFonts w:ascii="Times New Roman" w:eastAsia="Times New Roman" w:hAnsi="Times New Roman" w:cs="Times New Roman"/>
                <w:b/>
                <w:bCs/>
              </w:rPr>
              <w:t>Total</w:t>
            </w:r>
          </w:p>
        </w:tc>
      </w:tr>
      <w:tr w:rsidR="00153059" w:rsidRPr="00153059" w14:paraId="079FE27C" w14:textId="77777777" w:rsidTr="00153059">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42" w:type="dxa"/>
            <w:noWrap/>
          </w:tcPr>
          <w:p w14:paraId="5B194668" w14:textId="77777777" w:rsidR="00485D26" w:rsidRPr="00153059" w:rsidRDefault="00485D26" w:rsidP="00485D26">
            <w:pPr>
              <w:jc w:val="center"/>
              <w:rPr>
                <w:rFonts w:ascii="Times New Roman" w:eastAsia="Times New Roman" w:hAnsi="Times New Roman" w:cs="Times New Roman"/>
                <w:b/>
                <w:bCs/>
              </w:rPr>
            </w:pPr>
            <w:r w:rsidRPr="00153059">
              <w:rPr>
                <w:rFonts w:ascii="Times New Roman" w:eastAsia="Times New Roman" w:hAnsi="Times New Roman" w:cs="Times New Roman"/>
                <w:b/>
                <w:bCs/>
              </w:rPr>
              <w:t>0</w:t>
            </w:r>
          </w:p>
        </w:tc>
        <w:tc>
          <w:tcPr>
            <w:tcW w:w="894" w:type="dxa"/>
            <w:noWrap/>
          </w:tcPr>
          <w:p w14:paraId="73AEE722"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67</w:t>
            </w:r>
          </w:p>
        </w:tc>
        <w:tc>
          <w:tcPr>
            <w:tcW w:w="1068" w:type="dxa"/>
            <w:noWrap/>
          </w:tcPr>
          <w:p w14:paraId="17E5FE03"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61</w:t>
            </w:r>
          </w:p>
        </w:tc>
        <w:tc>
          <w:tcPr>
            <w:tcW w:w="1068" w:type="dxa"/>
            <w:noWrap/>
          </w:tcPr>
          <w:p w14:paraId="6D4E79E6"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61</w:t>
            </w:r>
          </w:p>
        </w:tc>
        <w:tc>
          <w:tcPr>
            <w:tcW w:w="1068" w:type="dxa"/>
            <w:noWrap/>
          </w:tcPr>
          <w:p w14:paraId="76A77153"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44</w:t>
            </w:r>
          </w:p>
        </w:tc>
        <w:tc>
          <w:tcPr>
            <w:tcW w:w="1068" w:type="dxa"/>
            <w:noWrap/>
          </w:tcPr>
          <w:p w14:paraId="10B37843"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49</w:t>
            </w:r>
          </w:p>
        </w:tc>
        <w:tc>
          <w:tcPr>
            <w:tcW w:w="1068" w:type="dxa"/>
            <w:noWrap/>
          </w:tcPr>
          <w:p w14:paraId="50196699"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59</w:t>
            </w:r>
          </w:p>
        </w:tc>
        <w:tc>
          <w:tcPr>
            <w:tcW w:w="1068" w:type="dxa"/>
            <w:noWrap/>
          </w:tcPr>
          <w:p w14:paraId="7981E7A0"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341</w:t>
            </w:r>
          </w:p>
        </w:tc>
      </w:tr>
      <w:tr w:rsidR="00153059" w:rsidRPr="00153059" w14:paraId="2E000AA1" w14:textId="77777777" w:rsidTr="00153059">
        <w:trPr>
          <w:trHeight w:val="286"/>
        </w:trPr>
        <w:tc>
          <w:tcPr>
            <w:cnfStyle w:val="001000000000" w:firstRow="0" w:lastRow="0" w:firstColumn="1" w:lastColumn="0" w:oddVBand="0" w:evenVBand="0" w:oddHBand="0" w:evenHBand="0" w:firstRowFirstColumn="0" w:firstRowLastColumn="0" w:lastRowFirstColumn="0" w:lastRowLastColumn="0"/>
            <w:tcW w:w="1242" w:type="dxa"/>
            <w:noWrap/>
          </w:tcPr>
          <w:p w14:paraId="1BC05E2E" w14:textId="77777777" w:rsidR="00485D26" w:rsidRPr="00153059" w:rsidRDefault="00485D26" w:rsidP="00485D26">
            <w:pPr>
              <w:jc w:val="center"/>
              <w:rPr>
                <w:rFonts w:ascii="Times New Roman" w:eastAsia="Times New Roman" w:hAnsi="Times New Roman" w:cs="Times New Roman"/>
                <w:b/>
                <w:bCs/>
              </w:rPr>
            </w:pPr>
            <w:r w:rsidRPr="00153059">
              <w:rPr>
                <w:rFonts w:ascii="Times New Roman" w:eastAsia="Times New Roman" w:hAnsi="Times New Roman" w:cs="Times New Roman"/>
                <w:b/>
                <w:bCs/>
              </w:rPr>
              <w:t>1</w:t>
            </w:r>
          </w:p>
        </w:tc>
        <w:tc>
          <w:tcPr>
            <w:tcW w:w="894" w:type="dxa"/>
            <w:noWrap/>
          </w:tcPr>
          <w:p w14:paraId="3DE9C7DA" w14:textId="77777777" w:rsidR="00485D26" w:rsidRPr="00153059" w:rsidRDefault="00485D26" w:rsidP="00485D2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12</w:t>
            </w:r>
          </w:p>
        </w:tc>
        <w:tc>
          <w:tcPr>
            <w:tcW w:w="1068" w:type="dxa"/>
            <w:noWrap/>
          </w:tcPr>
          <w:p w14:paraId="4CA4D86D" w14:textId="77777777" w:rsidR="00485D26" w:rsidRPr="00153059" w:rsidRDefault="00485D26" w:rsidP="00485D2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14</w:t>
            </w:r>
          </w:p>
        </w:tc>
        <w:tc>
          <w:tcPr>
            <w:tcW w:w="1068" w:type="dxa"/>
            <w:noWrap/>
          </w:tcPr>
          <w:p w14:paraId="6B0FAC74" w14:textId="77777777" w:rsidR="00485D26" w:rsidRPr="00153059" w:rsidRDefault="00485D26" w:rsidP="00485D2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15</w:t>
            </w:r>
          </w:p>
        </w:tc>
        <w:tc>
          <w:tcPr>
            <w:tcW w:w="1068" w:type="dxa"/>
            <w:noWrap/>
          </w:tcPr>
          <w:p w14:paraId="5357DCB2" w14:textId="77777777" w:rsidR="00485D26" w:rsidRPr="00153059" w:rsidRDefault="00485D26" w:rsidP="00485D2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31</w:t>
            </w:r>
          </w:p>
        </w:tc>
        <w:tc>
          <w:tcPr>
            <w:tcW w:w="1068" w:type="dxa"/>
            <w:noWrap/>
          </w:tcPr>
          <w:p w14:paraId="6CBA6A8F" w14:textId="77777777" w:rsidR="00485D26" w:rsidRPr="00153059" w:rsidRDefault="00485D26" w:rsidP="00485D2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21</w:t>
            </w:r>
          </w:p>
        </w:tc>
        <w:tc>
          <w:tcPr>
            <w:tcW w:w="1068" w:type="dxa"/>
            <w:noWrap/>
          </w:tcPr>
          <w:p w14:paraId="4696DE3E" w14:textId="77777777" w:rsidR="00485D26" w:rsidRPr="00153059" w:rsidRDefault="00485D26" w:rsidP="00485D2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13</w:t>
            </w:r>
          </w:p>
        </w:tc>
        <w:tc>
          <w:tcPr>
            <w:tcW w:w="1068" w:type="dxa"/>
            <w:noWrap/>
          </w:tcPr>
          <w:p w14:paraId="24D8D8C0" w14:textId="77777777" w:rsidR="00485D26" w:rsidRPr="00153059" w:rsidRDefault="00485D26" w:rsidP="00485D2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106</w:t>
            </w:r>
          </w:p>
        </w:tc>
      </w:tr>
      <w:tr w:rsidR="00153059" w:rsidRPr="00153059" w14:paraId="4A5F5329" w14:textId="77777777" w:rsidTr="00153059">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42" w:type="dxa"/>
            <w:noWrap/>
          </w:tcPr>
          <w:p w14:paraId="52A483E6" w14:textId="77777777" w:rsidR="00485D26" w:rsidRPr="00153059" w:rsidRDefault="00485D26" w:rsidP="00485D26">
            <w:pPr>
              <w:jc w:val="center"/>
              <w:rPr>
                <w:rFonts w:ascii="Times New Roman" w:eastAsia="Times New Roman" w:hAnsi="Times New Roman" w:cs="Times New Roman"/>
                <w:b/>
                <w:bCs/>
              </w:rPr>
            </w:pPr>
            <w:r w:rsidRPr="00153059">
              <w:rPr>
                <w:rFonts w:ascii="Times New Roman" w:eastAsia="Times New Roman" w:hAnsi="Times New Roman" w:cs="Times New Roman"/>
                <w:b/>
                <w:bCs/>
              </w:rPr>
              <w:t>2</w:t>
            </w:r>
          </w:p>
        </w:tc>
        <w:tc>
          <w:tcPr>
            <w:tcW w:w="894" w:type="dxa"/>
            <w:noWrap/>
          </w:tcPr>
          <w:p w14:paraId="0C64FE5A"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8" w:type="dxa"/>
            <w:noWrap/>
          </w:tcPr>
          <w:p w14:paraId="197E7679"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4</w:t>
            </w:r>
          </w:p>
        </w:tc>
        <w:tc>
          <w:tcPr>
            <w:tcW w:w="1068" w:type="dxa"/>
            <w:noWrap/>
          </w:tcPr>
          <w:p w14:paraId="2393C724"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4</w:t>
            </w:r>
          </w:p>
        </w:tc>
        <w:tc>
          <w:tcPr>
            <w:tcW w:w="1068" w:type="dxa"/>
            <w:noWrap/>
          </w:tcPr>
          <w:p w14:paraId="774B78FB"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3</w:t>
            </w:r>
          </w:p>
        </w:tc>
        <w:tc>
          <w:tcPr>
            <w:tcW w:w="1068" w:type="dxa"/>
            <w:noWrap/>
          </w:tcPr>
          <w:p w14:paraId="256D2B46"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10</w:t>
            </w:r>
          </w:p>
        </w:tc>
        <w:tc>
          <w:tcPr>
            <w:tcW w:w="1068" w:type="dxa"/>
            <w:noWrap/>
          </w:tcPr>
          <w:p w14:paraId="6821DA18"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6</w:t>
            </w:r>
          </w:p>
        </w:tc>
        <w:tc>
          <w:tcPr>
            <w:tcW w:w="1068" w:type="dxa"/>
            <w:noWrap/>
          </w:tcPr>
          <w:p w14:paraId="75B8B75D"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27</w:t>
            </w:r>
          </w:p>
        </w:tc>
      </w:tr>
      <w:tr w:rsidR="00153059" w:rsidRPr="00153059" w14:paraId="2795F3BD" w14:textId="77777777" w:rsidTr="00153059">
        <w:trPr>
          <w:trHeight w:val="286"/>
        </w:trPr>
        <w:tc>
          <w:tcPr>
            <w:cnfStyle w:val="001000000000" w:firstRow="0" w:lastRow="0" w:firstColumn="1" w:lastColumn="0" w:oddVBand="0" w:evenVBand="0" w:oddHBand="0" w:evenHBand="0" w:firstRowFirstColumn="0" w:firstRowLastColumn="0" w:lastRowFirstColumn="0" w:lastRowLastColumn="0"/>
            <w:tcW w:w="1242" w:type="dxa"/>
            <w:noWrap/>
          </w:tcPr>
          <w:p w14:paraId="460626C8" w14:textId="77777777" w:rsidR="00485D26" w:rsidRPr="00153059" w:rsidRDefault="00485D26" w:rsidP="00485D26">
            <w:pPr>
              <w:jc w:val="center"/>
              <w:rPr>
                <w:rFonts w:ascii="Times New Roman" w:eastAsia="Times New Roman" w:hAnsi="Times New Roman" w:cs="Times New Roman"/>
                <w:b/>
                <w:bCs/>
              </w:rPr>
            </w:pPr>
            <w:r w:rsidRPr="00153059">
              <w:rPr>
                <w:rFonts w:ascii="Times New Roman" w:eastAsia="Times New Roman" w:hAnsi="Times New Roman" w:cs="Times New Roman"/>
                <w:b/>
                <w:bCs/>
              </w:rPr>
              <w:t>3</w:t>
            </w:r>
          </w:p>
        </w:tc>
        <w:tc>
          <w:tcPr>
            <w:tcW w:w="894" w:type="dxa"/>
            <w:noWrap/>
          </w:tcPr>
          <w:p w14:paraId="750AAD28" w14:textId="77777777" w:rsidR="00485D26" w:rsidRPr="00153059" w:rsidRDefault="00485D26" w:rsidP="00485D2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1</w:t>
            </w:r>
          </w:p>
        </w:tc>
        <w:tc>
          <w:tcPr>
            <w:tcW w:w="1068" w:type="dxa"/>
            <w:noWrap/>
          </w:tcPr>
          <w:p w14:paraId="35A1C3F4" w14:textId="77777777" w:rsidR="00485D26" w:rsidRPr="00153059" w:rsidRDefault="00485D26" w:rsidP="00485D2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2</w:t>
            </w:r>
          </w:p>
        </w:tc>
        <w:tc>
          <w:tcPr>
            <w:tcW w:w="1068" w:type="dxa"/>
            <w:noWrap/>
          </w:tcPr>
          <w:p w14:paraId="19E73B30" w14:textId="77777777" w:rsidR="00485D26" w:rsidRPr="00153059" w:rsidRDefault="00485D26" w:rsidP="00485D2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1</w:t>
            </w:r>
          </w:p>
        </w:tc>
        <w:tc>
          <w:tcPr>
            <w:tcW w:w="1068" w:type="dxa"/>
            <w:noWrap/>
          </w:tcPr>
          <w:p w14:paraId="56D66838" w14:textId="77777777" w:rsidR="00485D26" w:rsidRPr="00153059" w:rsidRDefault="00485D26" w:rsidP="00485D2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1</w:t>
            </w:r>
          </w:p>
        </w:tc>
        <w:tc>
          <w:tcPr>
            <w:tcW w:w="1068" w:type="dxa"/>
            <w:noWrap/>
          </w:tcPr>
          <w:p w14:paraId="7A6906A1" w14:textId="77777777" w:rsidR="00485D26" w:rsidRPr="00153059" w:rsidRDefault="00485D26" w:rsidP="00485D2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1</w:t>
            </w:r>
          </w:p>
        </w:tc>
        <w:tc>
          <w:tcPr>
            <w:tcW w:w="1068" w:type="dxa"/>
            <w:noWrap/>
          </w:tcPr>
          <w:p w14:paraId="2A3049F9" w14:textId="77777777" w:rsidR="00485D26" w:rsidRPr="00153059" w:rsidRDefault="00485D26" w:rsidP="00485D2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1</w:t>
            </w:r>
          </w:p>
        </w:tc>
        <w:tc>
          <w:tcPr>
            <w:tcW w:w="1068" w:type="dxa"/>
            <w:noWrap/>
          </w:tcPr>
          <w:p w14:paraId="1992961F" w14:textId="77777777" w:rsidR="00485D26" w:rsidRPr="00153059" w:rsidRDefault="00485D26" w:rsidP="00485D2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7</w:t>
            </w:r>
          </w:p>
        </w:tc>
      </w:tr>
      <w:tr w:rsidR="00153059" w:rsidRPr="00153059" w14:paraId="6EB81B3B" w14:textId="77777777" w:rsidTr="00153059">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42" w:type="dxa"/>
            <w:noWrap/>
          </w:tcPr>
          <w:p w14:paraId="3EB45049" w14:textId="77777777" w:rsidR="00485D26" w:rsidRPr="00153059" w:rsidRDefault="00485D26" w:rsidP="00485D26">
            <w:pPr>
              <w:jc w:val="center"/>
              <w:rPr>
                <w:rFonts w:ascii="Times New Roman" w:eastAsia="Times New Roman" w:hAnsi="Times New Roman" w:cs="Times New Roman"/>
                <w:b/>
                <w:bCs/>
              </w:rPr>
            </w:pPr>
            <w:r w:rsidRPr="00153059">
              <w:rPr>
                <w:rFonts w:ascii="Times New Roman" w:eastAsia="Times New Roman" w:hAnsi="Times New Roman" w:cs="Times New Roman"/>
                <w:b/>
                <w:bCs/>
              </w:rPr>
              <w:t>4</w:t>
            </w:r>
          </w:p>
        </w:tc>
        <w:tc>
          <w:tcPr>
            <w:tcW w:w="894" w:type="dxa"/>
            <w:noWrap/>
          </w:tcPr>
          <w:p w14:paraId="2678C3F5"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8" w:type="dxa"/>
            <w:noWrap/>
          </w:tcPr>
          <w:p w14:paraId="020253C4"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8" w:type="dxa"/>
            <w:noWrap/>
          </w:tcPr>
          <w:p w14:paraId="2E543DCD"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8" w:type="dxa"/>
            <w:noWrap/>
          </w:tcPr>
          <w:p w14:paraId="70D3B2C5"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1</w:t>
            </w:r>
          </w:p>
        </w:tc>
        <w:tc>
          <w:tcPr>
            <w:tcW w:w="1068" w:type="dxa"/>
            <w:noWrap/>
          </w:tcPr>
          <w:p w14:paraId="047E237C"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8" w:type="dxa"/>
            <w:noWrap/>
          </w:tcPr>
          <w:p w14:paraId="7623FF85"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2</w:t>
            </w:r>
          </w:p>
        </w:tc>
        <w:tc>
          <w:tcPr>
            <w:tcW w:w="1068" w:type="dxa"/>
            <w:noWrap/>
          </w:tcPr>
          <w:p w14:paraId="5E0E895A"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3</w:t>
            </w:r>
          </w:p>
        </w:tc>
      </w:tr>
      <w:tr w:rsidR="00153059" w:rsidRPr="00153059" w14:paraId="59F6B068" w14:textId="77777777" w:rsidTr="00153059">
        <w:trPr>
          <w:trHeight w:val="286"/>
        </w:trPr>
        <w:tc>
          <w:tcPr>
            <w:cnfStyle w:val="001000000000" w:firstRow="0" w:lastRow="0" w:firstColumn="1" w:lastColumn="0" w:oddVBand="0" w:evenVBand="0" w:oddHBand="0" w:evenHBand="0" w:firstRowFirstColumn="0" w:firstRowLastColumn="0" w:lastRowFirstColumn="0" w:lastRowLastColumn="0"/>
            <w:tcW w:w="1242" w:type="dxa"/>
            <w:noWrap/>
          </w:tcPr>
          <w:p w14:paraId="27F9A8F6" w14:textId="77777777" w:rsidR="00485D26" w:rsidRPr="00153059" w:rsidRDefault="00485D26" w:rsidP="00485D26">
            <w:pPr>
              <w:jc w:val="center"/>
              <w:rPr>
                <w:rFonts w:ascii="Times New Roman" w:eastAsia="Times New Roman" w:hAnsi="Times New Roman" w:cs="Times New Roman"/>
                <w:b/>
                <w:bCs/>
              </w:rPr>
            </w:pPr>
            <w:r w:rsidRPr="00153059">
              <w:rPr>
                <w:rFonts w:ascii="Times New Roman" w:eastAsia="Times New Roman" w:hAnsi="Times New Roman" w:cs="Times New Roman"/>
                <w:b/>
                <w:bCs/>
              </w:rPr>
              <w:t>5</w:t>
            </w:r>
          </w:p>
        </w:tc>
        <w:tc>
          <w:tcPr>
            <w:tcW w:w="894" w:type="dxa"/>
            <w:noWrap/>
          </w:tcPr>
          <w:p w14:paraId="2FD3A907" w14:textId="77777777" w:rsidR="00485D26" w:rsidRPr="00153059" w:rsidRDefault="00485D26" w:rsidP="00485D2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8" w:type="dxa"/>
            <w:noWrap/>
          </w:tcPr>
          <w:p w14:paraId="66084C34" w14:textId="77777777" w:rsidR="00485D26" w:rsidRPr="00153059" w:rsidRDefault="00485D26" w:rsidP="00485D2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8" w:type="dxa"/>
            <w:noWrap/>
          </w:tcPr>
          <w:p w14:paraId="67605ED9" w14:textId="77777777" w:rsidR="00485D26" w:rsidRPr="00153059" w:rsidRDefault="00485D26" w:rsidP="00485D2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8" w:type="dxa"/>
            <w:noWrap/>
          </w:tcPr>
          <w:p w14:paraId="7723A39D" w14:textId="77777777" w:rsidR="00485D26" w:rsidRPr="00153059" w:rsidRDefault="00485D26" w:rsidP="00485D2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1</w:t>
            </w:r>
          </w:p>
        </w:tc>
        <w:tc>
          <w:tcPr>
            <w:tcW w:w="1068" w:type="dxa"/>
            <w:noWrap/>
          </w:tcPr>
          <w:p w14:paraId="2D48B6BF" w14:textId="77777777" w:rsidR="00485D26" w:rsidRPr="00153059" w:rsidRDefault="00485D26" w:rsidP="00485D2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8" w:type="dxa"/>
            <w:noWrap/>
          </w:tcPr>
          <w:p w14:paraId="599788D7" w14:textId="77777777" w:rsidR="00485D26" w:rsidRPr="00153059" w:rsidRDefault="00485D26" w:rsidP="00485D2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8" w:type="dxa"/>
            <w:noWrap/>
          </w:tcPr>
          <w:p w14:paraId="25697693" w14:textId="77777777" w:rsidR="00485D26" w:rsidRPr="00153059" w:rsidRDefault="00485D26" w:rsidP="00485D2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1</w:t>
            </w:r>
          </w:p>
        </w:tc>
      </w:tr>
      <w:tr w:rsidR="00153059" w:rsidRPr="00153059" w14:paraId="55506B48" w14:textId="77777777" w:rsidTr="00153059">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42" w:type="dxa"/>
            <w:noWrap/>
          </w:tcPr>
          <w:p w14:paraId="67DA58CD" w14:textId="77777777" w:rsidR="00485D26" w:rsidRPr="00153059" w:rsidRDefault="00485D26" w:rsidP="00485D26">
            <w:pPr>
              <w:jc w:val="center"/>
              <w:rPr>
                <w:rFonts w:ascii="Times New Roman" w:eastAsia="Times New Roman" w:hAnsi="Times New Roman" w:cs="Times New Roman"/>
                <w:b/>
                <w:bCs/>
              </w:rPr>
            </w:pPr>
            <w:r w:rsidRPr="00153059">
              <w:rPr>
                <w:rFonts w:ascii="Times New Roman" w:eastAsia="Times New Roman" w:hAnsi="Times New Roman" w:cs="Times New Roman"/>
                <w:b/>
                <w:bCs/>
              </w:rPr>
              <w:t>Total</w:t>
            </w:r>
          </w:p>
        </w:tc>
        <w:tc>
          <w:tcPr>
            <w:tcW w:w="894" w:type="dxa"/>
            <w:noWrap/>
          </w:tcPr>
          <w:p w14:paraId="3E8D9434"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153059">
              <w:rPr>
                <w:rFonts w:ascii="Times New Roman" w:eastAsia="Times New Roman" w:hAnsi="Times New Roman" w:cs="Times New Roman"/>
                <w:b/>
              </w:rPr>
              <w:t>80</w:t>
            </w:r>
          </w:p>
        </w:tc>
        <w:tc>
          <w:tcPr>
            <w:tcW w:w="1068" w:type="dxa"/>
            <w:noWrap/>
          </w:tcPr>
          <w:p w14:paraId="587B5FAA"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153059">
              <w:rPr>
                <w:rFonts w:ascii="Times New Roman" w:eastAsia="Times New Roman" w:hAnsi="Times New Roman" w:cs="Times New Roman"/>
                <w:b/>
              </w:rPr>
              <w:t>81</w:t>
            </w:r>
          </w:p>
        </w:tc>
        <w:tc>
          <w:tcPr>
            <w:tcW w:w="1068" w:type="dxa"/>
            <w:noWrap/>
          </w:tcPr>
          <w:p w14:paraId="1011CF42"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153059">
              <w:rPr>
                <w:rFonts w:ascii="Times New Roman" w:eastAsia="Times New Roman" w:hAnsi="Times New Roman" w:cs="Times New Roman"/>
                <w:b/>
              </w:rPr>
              <w:t>81</w:t>
            </w:r>
          </w:p>
        </w:tc>
        <w:tc>
          <w:tcPr>
            <w:tcW w:w="1068" w:type="dxa"/>
            <w:noWrap/>
          </w:tcPr>
          <w:p w14:paraId="1648C9EE"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153059">
              <w:rPr>
                <w:rFonts w:ascii="Times New Roman" w:eastAsia="Times New Roman" w:hAnsi="Times New Roman" w:cs="Times New Roman"/>
                <w:b/>
              </w:rPr>
              <w:t>81</w:t>
            </w:r>
          </w:p>
        </w:tc>
        <w:tc>
          <w:tcPr>
            <w:tcW w:w="1068" w:type="dxa"/>
            <w:noWrap/>
          </w:tcPr>
          <w:p w14:paraId="017776B9"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153059">
              <w:rPr>
                <w:rFonts w:ascii="Times New Roman" w:eastAsia="Times New Roman" w:hAnsi="Times New Roman" w:cs="Times New Roman"/>
                <w:b/>
              </w:rPr>
              <w:t>81</w:t>
            </w:r>
          </w:p>
        </w:tc>
        <w:tc>
          <w:tcPr>
            <w:tcW w:w="1068" w:type="dxa"/>
            <w:noWrap/>
          </w:tcPr>
          <w:p w14:paraId="5F1240B7"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153059">
              <w:rPr>
                <w:rFonts w:ascii="Times New Roman" w:eastAsia="Times New Roman" w:hAnsi="Times New Roman" w:cs="Times New Roman"/>
                <w:b/>
              </w:rPr>
              <w:t>81</w:t>
            </w:r>
          </w:p>
        </w:tc>
        <w:tc>
          <w:tcPr>
            <w:tcW w:w="1068" w:type="dxa"/>
            <w:noWrap/>
          </w:tcPr>
          <w:p w14:paraId="5A499E72" w14:textId="77777777" w:rsidR="00485D26" w:rsidRPr="00153059" w:rsidRDefault="00485D26" w:rsidP="00485D2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153059">
              <w:rPr>
                <w:rFonts w:ascii="Times New Roman" w:eastAsia="Times New Roman" w:hAnsi="Times New Roman" w:cs="Times New Roman"/>
                <w:b/>
              </w:rPr>
              <w:t>485</w:t>
            </w:r>
          </w:p>
        </w:tc>
      </w:tr>
    </w:tbl>
    <w:p w14:paraId="09308A44" w14:textId="77777777" w:rsidR="00485D26" w:rsidRDefault="00485D26" w:rsidP="00485D26">
      <w:pPr>
        <w:spacing w:line="240" w:lineRule="auto"/>
        <w:rPr>
          <w:rFonts w:ascii="Times New Roman" w:hAnsi="Times New Roman" w:cs="Times New Roman"/>
          <w:b/>
          <w:sz w:val="24"/>
          <w:szCs w:val="24"/>
        </w:rPr>
      </w:pPr>
    </w:p>
    <w:p w14:paraId="263515C4" w14:textId="77777777" w:rsidR="00980537" w:rsidRPr="00FE28B6" w:rsidRDefault="00980537" w:rsidP="000257C8">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Tabla </w:t>
      </w:r>
      <w:r w:rsidR="00485D26">
        <w:rPr>
          <w:rFonts w:ascii="Times New Roman" w:hAnsi="Times New Roman" w:cs="Times New Roman"/>
          <w:b/>
          <w:sz w:val="24"/>
          <w:szCs w:val="24"/>
        </w:rPr>
        <w:t>4</w:t>
      </w:r>
      <w:r w:rsidRPr="00FE28B6">
        <w:rPr>
          <w:rFonts w:ascii="Times New Roman" w:hAnsi="Times New Roman" w:cs="Times New Roman"/>
          <w:b/>
          <w:sz w:val="24"/>
          <w:szCs w:val="24"/>
        </w:rPr>
        <w:t xml:space="preserve">. </w:t>
      </w:r>
      <w:r>
        <w:rPr>
          <w:rFonts w:ascii="Times New Roman" w:hAnsi="Times New Roman" w:cs="Times New Roman"/>
          <w:b/>
          <w:sz w:val="24"/>
          <w:szCs w:val="24"/>
        </w:rPr>
        <w:t>Número de proyectos por año y municipio en Oaxaca</w:t>
      </w:r>
    </w:p>
    <w:tbl>
      <w:tblPr>
        <w:tblStyle w:val="Listamedia2"/>
        <w:tblW w:w="8608" w:type="dxa"/>
        <w:tblLook w:val="04A0" w:firstRow="1" w:lastRow="0" w:firstColumn="1" w:lastColumn="0" w:noHBand="0" w:noVBand="1"/>
      </w:tblPr>
      <w:tblGrid>
        <w:gridCol w:w="1160"/>
        <w:gridCol w:w="1064"/>
        <w:gridCol w:w="1064"/>
        <w:gridCol w:w="1064"/>
        <w:gridCol w:w="1064"/>
        <w:gridCol w:w="1064"/>
        <w:gridCol w:w="1064"/>
        <w:gridCol w:w="1064"/>
      </w:tblGrid>
      <w:tr w:rsidR="00153059" w:rsidRPr="00153059" w14:paraId="1F5EA365" w14:textId="77777777" w:rsidTr="00153059">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160" w:type="dxa"/>
            <w:noWrap/>
          </w:tcPr>
          <w:p w14:paraId="5D90C97B" w14:textId="7E4C9CBB" w:rsidR="00980537" w:rsidRPr="00153059" w:rsidRDefault="00F50AD4" w:rsidP="00F50AD4">
            <w:pPr>
              <w:jc w:val="center"/>
              <w:rPr>
                <w:rFonts w:ascii="Times New Roman" w:eastAsia="Times New Roman" w:hAnsi="Times New Roman" w:cs="Times New Roman"/>
                <w:b/>
                <w:bCs/>
              </w:rPr>
            </w:pPr>
            <w:r w:rsidRPr="00153059">
              <w:rPr>
                <w:rFonts w:ascii="Times New Roman" w:eastAsia="Times New Roman" w:hAnsi="Times New Roman" w:cs="Times New Roman"/>
                <w:b/>
                <w:bCs/>
                <w:sz w:val="20"/>
                <w:szCs w:val="20"/>
              </w:rPr>
              <w:t>N</w:t>
            </w:r>
            <w:r w:rsidR="00F62C35" w:rsidRPr="00153059">
              <w:rPr>
                <w:rFonts w:ascii="Times New Roman" w:eastAsia="Times New Roman" w:hAnsi="Times New Roman" w:cs="Times New Roman"/>
                <w:b/>
                <w:bCs/>
                <w:sz w:val="20"/>
                <w:szCs w:val="20"/>
              </w:rPr>
              <w:t>úmero de proyectos</w:t>
            </w:r>
          </w:p>
        </w:tc>
        <w:tc>
          <w:tcPr>
            <w:tcW w:w="1064" w:type="dxa"/>
            <w:noWrap/>
          </w:tcPr>
          <w:p w14:paraId="168E6640" w14:textId="77777777" w:rsidR="00980537" w:rsidRPr="00153059" w:rsidRDefault="00980537" w:rsidP="00F50AD4">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153059">
              <w:rPr>
                <w:rFonts w:ascii="Times New Roman" w:eastAsia="Times New Roman" w:hAnsi="Times New Roman" w:cs="Times New Roman"/>
                <w:b/>
                <w:bCs/>
              </w:rPr>
              <w:t>2007</w:t>
            </w:r>
          </w:p>
        </w:tc>
        <w:tc>
          <w:tcPr>
            <w:tcW w:w="1064" w:type="dxa"/>
            <w:noWrap/>
          </w:tcPr>
          <w:p w14:paraId="6FF574AC" w14:textId="77777777" w:rsidR="00980537" w:rsidRPr="00153059" w:rsidRDefault="00980537" w:rsidP="00F50AD4">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153059">
              <w:rPr>
                <w:rFonts w:ascii="Times New Roman" w:eastAsia="Times New Roman" w:hAnsi="Times New Roman" w:cs="Times New Roman"/>
                <w:b/>
                <w:bCs/>
              </w:rPr>
              <w:t>2008</w:t>
            </w:r>
          </w:p>
        </w:tc>
        <w:tc>
          <w:tcPr>
            <w:tcW w:w="1064" w:type="dxa"/>
            <w:noWrap/>
          </w:tcPr>
          <w:p w14:paraId="3689D901" w14:textId="77777777" w:rsidR="00980537" w:rsidRPr="00153059" w:rsidRDefault="00980537" w:rsidP="00F50AD4">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153059">
              <w:rPr>
                <w:rFonts w:ascii="Times New Roman" w:eastAsia="Times New Roman" w:hAnsi="Times New Roman" w:cs="Times New Roman"/>
                <w:b/>
                <w:bCs/>
              </w:rPr>
              <w:t>2009</w:t>
            </w:r>
          </w:p>
        </w:tc>
        <w:tc>
          <w:tcPr>
            <w:tcW w:w="1064" w:type="dxa"/>
            <w:noWrap/>
          </w:tcPr>
          <w:p w14:paraId="6156D234" w14:textId="77777777" w:rsidR="00980537" w:rsidRPr="00153059" w:rsidRDefault="00980537" w:rsidP="00F50AD4">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153059">
              <w:rPr>
                <w:rFonts w:ascii="Times New Roman" w:eastAsia="Times New Roman" w:hAnsi="Times New Roman" w:cs="Times New Roman"/>
                <w:b/>
                <w:bCs/>
              </w:rPr>
              <w:t>2010</w:t>
            </w:r>
          </w:p>
        </w:tc>
        <w:tc>
          <w:tcPr>
            <w:tcW w:w="1064" w:type="dxa"/>
            <w:noWrap/>
          </w:tcPr>
          <w:p w14:paraId="5ACB02BC" w14:textId="77777777" w:rsidR="00980537" w:rsidRPr="00153059" w:rsidRDefault="00980537" w:rsidP="00F50AD4">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153059">
              <w:rPr>
                <w:rFonts w:ascii="Times New Roman" w:eastAsia="Times New Roman" w:hAnsi="Times New Roman" w:cs="Times New Roman"/>
                <w:b/>
                <w:bCs/>
              </w:rPr>
              <w:t>2011</w:t>
            </w:r>
          </w:p>
        </w:tc>
        <w:tc>
          <w:tcPr>
            <w:tcW w:w="1064" w:type="dxa"/>
            <w:noWrap/>
          </w:tcPr>
          <w:p w14:paraId="3934CB13" w14:textId="77777777" w:rsidR="00980537" w:rsidRPr="00153059" w:rsidRDefault="00980537" w:rsidP="00F50AD4">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153059">
              <w:rPr>
                <w:rFonts w:ascii="Times New Roman" w:eastAsia="Times New Roman" w:hAnsi="Times New Roman" w:cs="Times New Roman"/>
                <w:b/>
                <w:bCs/>
              </w:rPr>
              <w:t>2012</w:t>
            </w:r>
          </w:p>
        </w:tc>
        <w:tc>
          <w:tcPr>
            <w:tcW w:w="1064" w:type="dxa"/>
            <w:noWrap/>
          </w:tcPr>
          <w:p w14:paraId="395F7D81" w14:textId="77777777" w:rsidR="00980537" w:rsidRPr="00153059" w:rsidRDefault="00980537" w:rsidP="00F50AD4">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153059">
              <w:rPr>
                <w:rFonts w:ascii="Times New Roman" w:eastAsia="Times New Roman" w:hAnsi="Times New Roman" w:cs="Times New Roman"/>
                <w:b/>
                <w:bCs/>
              </w:rPr>
              <w:t>Total</w:t>
            </w:r>
          </w:p>
        </w:tc>
      </w:tr>
      <w:tr w:rsidR="00153059" w:rsidRPr="00153059" w14:paraId="630DE1BB" w14:textId="77777777" w:rsidTr="0015305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160" w:type="dxa"/>
            <w:noWrap/>
          </w:tcPr>
          <w:p w14:paraId="0CAF11E4" w14:textId="77777777" w:rsidR="00980537" w:rsidRPr="00153059" w:rsidRDefault="00980537" w:rsidP="00980537">
            <w:pPr>
              <w:jc w:val="center"/>
              <w:rPr>
                <w:rFonts w:ascii="Times New Roman" w:eastAsia="Times New Roman" w:hAnsi="Times New Roman" w:cs="Times New Roman"/>
                <w:b/>
                <w:bCs/>
              </w:rPr>
            </w:pPr>
            <w:r w:rsidRPr="00153059">
              <w:rPr>
                <w:rFonts w:ascii="Times New Roman" w:eastAsia="Times New Roman" w:hAnsi="Times New Roman" w:cs="Times New Roman"/>
                <w:b/>
                <w:bCs/>
              </w:rPr>
              <w:t>0</w:t>
            </w:r>
          </w:p>
        </w:tc>
        <w:tc>
          <w:tcPr>
            <w:tcW w:w="1064" w:type="dxa"/>
            <w:noWrap/>
          </w:tcPr>
          <w:p w14:paraId="334E1426" w14:textId="77777777" w:rsidR="00980537" w:rsidRPr="00153059" w:rsidRDefault="00980537" w:rsidP="0098053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556</w:t>
            </w:r>
          </w:p>
        </w:tc>
        <w:tc>
          <w:tcPr>
            <w:tcW w:w="1064" w:type="dxa"/>
            <w:noWrap/>
          </w:tcPr>
          <w:p w14:paraId="5567B1BF" w14:textId="77777777" w:rsidR="00980537" w:rsidRPr="00153059" w:rsidRDefault="00980537" w:rsidP="0098053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533</w:t>
            </w:r>
          </w:p>
        </w:tc>
        <w:tc>
          <w:tcPr>
            <w:tcW w:w="1064" w:type="dxa"/>
            <w:noWrap/>
          </w:tcPr>
          <w:p w14:paraId="061AD238" w14:textId="77777777" w:rsidR="00980537" w:rsidRPr="00153059" w:rsidRDefault="00980537" w:rsidP="0098053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546</w:t>
            </w:r>
          </w:p>
        </w:tc>
        <w:tc>
          <w:tcPr>
            <w:tcW w:w="1064" w:type="dxa"/>
            <w:noWrap/>
          </w:tcPr>
          <w:p w14:paraId="4DFF5C0D" w14:textId="77777777" w:rsidR="00980537" w:rsidRPr="00153059" w:rsidRDefault="00980537" w:rsidP="0098053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532</w:t>
            </w:r>
          </w:p>
        </w:tc>
        <w:tc>
          <w:tcPr>
            <w:tcW w:w="1064" w:type="dxa"/>
            <w:noWrap/>
          </w:tcPr>
          <w:p w14:paraId="587B30EB" w14:textId="77777777" w:rsidR="00980537" w:rsidRPr="00153059" w:rsidRDefault="00980537" w:rsidP="0098053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507</w:t>
            </w:r>
          </w:p>
        </w:tc>
        <w:tc>
          <w:tcPr>
            <w:tcW w:w="1064" w:type="dxa"/>
            <w:noWrap/>
          </w:tcPr>
          <w:p w14:paraId="09108B2E" w14:textId="77777777" w:rsidR="00980537" w:rsidRPr="00153059" w:rsidRDefault="00980537" w:rsidP="0098053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514</w:t>
            </w:r>
          </w:p>
        </w:tc>
        <w:tc>
          <w:tcPr>
            <w:tcW w:w="1064" w:type="dxa"/>
            <w:noWrap/>
          </w:tcPr>
          <w:p w14:paraId="5AB81516" w14:textId="77777777" w:rsidR="00980537" w:rsidRPr="00153059" w:rsidRDefault="00980537" w:rsidP="0098053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3,188</w:t>
            </w:r>
          </w:p>
        </w:tc>
      </w:tr>
      <w:tr w:rsidR="00153059" w:rsidRPr="00153059" w14:paraId="51B64E26" w14:textId="77777777" w:rsidTr="00153059">
        <w:trPr>
          <w:trHeight w:val="283"/>
        </w:trPr>
        <w:tc>
          <w:tcPr>
            <w:cnfStyle w:val="001000000000" w:firstRow="0" w:lastRow="0" w:firstColumn="1" w:lastColumn="0" w:oddVBand="0" w:evenVBand="0" w:oddHBand="0" w:evenHBand="0" w:firstRowFirstColumn="0" w:firstRowLastColumn="0" w:lastRowFirstColumn="0" w:lastRowLastColumn="0"/>
            <w:tcW w:w="1160" w:type="dxa"/>
            <w:noWrap/>
          </w:tcPr>
          <w:p w14:paraId="26999CA0" w14:textId="77777777" w:rsidR="00980537" w:rsidRPr="00153059" w:rsidRDefault="00980537" w:rsidP="00980537">
            <w:pPr>
              <w:jc w:val="center"/>
              <w:rPr>
                <w:rFonts w:ascii="Times New Roman" w:eastAsia="Times New Roman" w:hAnsi="Times New Roman" w:cs="Times New Roman"/>
                <w:b/>
                <w:bCs/>
              </w:rPr>
            </w:pPr>
            <w:r w:rsidRPr="00153059">
              <w:rPr>
                <w:rFonts w:ascii="Times New Roman" w:eastAsia="Times New Roman" w:hAnsi="Times New Roman" w:cs="Times New Roman"/>
                <w:b/>
                <w:bCs/>
              </w:rPr>
              <w:t>1</w:t>
            </w:r>
          </w:p>
        </w:tc>
        <w:tc>
          <w:tcPr>
            <w:tcW w:w="1064" w:type="dxa"/>
            <w:noWrap/>
          </w:tcPr>
          <w:p w14:paraId="6E1A69DC" w14:textId="77777777" w:rsidR="00980537" w:rsidRPr="00153059" w:rsidRDefault="00980537" w:rsidP="0098053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13</w:t>
            </w:r>
          </w:p>
        </w:tc>
        <w:tc>
          <w:tcPr>
            <w:tcW w:w="1064" w:type="dxa"/>
            <w:noWrap/>
          </w:tcPr>
          <w:p w14:paraId="065BFE8F" w14:textId="77777777" w:rsidR="00980537" w:rsidRPr="00153059" w:rsidRDefault="00980537" w:rsidP="0098053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26</w:t>
            </w:r>
          </w:p>
        </w:tc>
        <w:tc>
          <w:tcPr>
            <w:tcW w:w="1064" w:type="dxa"/>
            <w:noWrap/>
          </w:tcPr>
          <w:p w14:paraId="12415B24" w14:textId="77777777" w:rsidR="00980537" w:rsidRPr="00153059" w:rsidRDefault="00980537" w:rsidP="0098053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21</w:t>
            </w:r>
          </w:p>
        </w:tc>
        <w:tc>
          <w:tcPr>
            <w:tcW w:w="1064" w:type="dxa"/>
            <w:noWrap/>
          </w:tcPr>
          <w:p w14:paraId="7052277A" w14:textId="77777777" w:rsidR="00980537" w:rsidRPr="00153059" w:rsidRDefault="00980537" w:rsidP="0098053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28</w:t>
            </w:r>
          </w:p>
        </w:tc>
        <w:tc>
          <w:tcPr>
            <w:tcW w:w="1064" w:type="dxa"/>
            <w:noWrap/>
          </w:tcPr>
          <w:p w14:paraId="1AC16464" w14:textId="77777777" w:rsidR="00980537" w:rsidRPr="00153059" w:rsidRDefault="00980537" w:rsidP="0098053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47</w:t>
            </w:r>
          </w:p>
        </w:tc>
        <w:tc>
          <w:tcPr>
            <w:tcW w:w="1064" w:type="dxa"/>
            <w:noWrap/>
          </w:tcPr>
          <w:p w14:paraId="0835078E" w14:textId="77777777" w:rsidR="00980537" w:rsidRPr="00153059" w:rsidRDefault="00980537" w:rsidP="0098053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42</w:t>
            </w:r>
          </w:p>
        </w:tc>
        <w:tc>
          <w:tcPr>
            <w:tcW w:w="1064" w:type="dxa"/>
            <w:noWrap/>
          </w:tcPr>
          <w:p w14:paraId="756F810A" w14:textId="77777777" w:rsidR="00980537" w:rsidRPr="00153059" w:rsidRDefault="00980537" w:rsidP="0098053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177</w:t>
            </w:r>
          </w:p>
        </w:tc>
      </w:tr>
      <w:tr w:rsidR="00153059" w:rsidRPr="00153059" w14:paraId="1F9BE592" w14:textId="77777777" w:rsidTr="0015305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160" w:type="dxa"/>
            <w:noWrap/>
          </w:tcPr>
          <w:p w14:paraId="59E0E8D6" w14:textId="77777777" w:rsidR="00980537" w:rsidRPr="00153059" w:rsidRDefault="00980537" w:rsidP="00980537">
            <w:pPr>
              <w:jc w:val="center"/>
              <w:rPr>
                <w:rFonts w:ascii="Times New Roman" w:eastAsia="Times New Roman" w:hAnsi="Times New Roman" w:cs="Times New Roman"/>
                <w:b/>
                <w:bCs/>
              </w:rPr>
            </w:pPr>
            <w:r w:rsidRPr="00153059">
              <w:rPr>
                <w:rFonts w:ascii="Times New Roman" w:eastAsia="Times New Roman" w:hAnsi="Times New Roman" w:cs="Times New Roman"/>
                <w:b/>
                <w:bCs/>
              </w:rPr>
              <w:t>2</w:t>
            </w:r>
          </w:p>
        </w:tc>
        <w:tc>
          <w:tcPr>
            <w:tcW w:w="1064" w:type="dxa"/>
            <w:noWrap/>
          </w:tcPr>
          <w:p w14:paraId="24513C33" w14:textId="77777777" w:rsidR="00980537" w:rsidRPr="00153059" w:rsidRDefault="00980537" w:rsidP="0098053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4" w:type="dxa"/>
            <w:noWrap/>
          </w:tcPr>
          <w:p w14:paraId="5B7F3DED" w14:textId="77777777" w:rsidR="00980537" w:rsidRPr="00153059" w:rsidRDefault="00980537" w:rsidP="0098053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4</w:t>
            </w:r>
          </w:p>
        </w:tc>
        <w:tc>
          <w:tcPr>
            <w:tcW w:w="1064" w:type="dxa"/>
            <w:noWrap/>
          </w:tcPr>
          <w:p w14:paraId="3B779F4A" w14:textId="77777777" w:rsidR="00980537" w:rsidRPr="00153059" w:rsidRDefault="00980537" w:rsidP="0098053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4" w:type="dxa"/>
            <w:noWrap/>
          </w:tcPr>
          <w:p w14:paraId="7726ACD3" w14:textId="77777777" w:rsidR="00980537" w:rsidRPr="00153059" w:rsidRDefault="00980537" w:rsidP="0098053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9</w:t>
            </w:r>
          </w:p>
        </w:tc>
        <w:tc>
          <w:tcPr>
            <w:tcW w:w="1064" w:type="dxa"/>
            <w:noWrap/>
          </w:tcPr>
          <w:p w14:paraId="21C11DC7" w14:textId="77777777" w:rsidR="00980537" w:rsidRPr="00153059" w:rsidRDefault="00980537" w:rsidP="0098053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9</w:t>
            </w:r>
          </w:p>
        </w:tc>
        <w:tc>
          <w:tcPr>
            <w:tcW w:w="1064" w:type="dxa"/>
            <w:noWrap/>
          </w:tcPr>
          <w:p w14:paraId="08A03057" w14:textId="77777777" w:rsidR="00980537" w:rsidRPr="00153059" w:rsidRDefault="00980537" w:rsidP="0098053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9</w:t>
            </w:r>
          </w:p>
        </w:tc>
        <w:tc>
          <w:tcPr>
            <w:tcW w:w="1064" w:type="dxa"/>
            <w:noWrap/>
          </w:tcPr>
          <w:p w14:paraId="046B334E" w14:textId="77777777" w:rsidR="00980537" w:rsidRPr="00153059" w:rsidRDefault="00980537" w:rsidP="0098053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31</w:t>
            </w:r>
          </w:p>
        </w:tc>
      </w:tr>
      <w:tr w:rsidR="00153059" w:rsidRPr="00153059" w14:paraId="658192F5" w14:textId="77777777" w:rsidTr="00153059">
        <w:trPr>
          <w:trHeight w:val="283"/>
        </w:trPr>
        <w:tc>
          <w:tcPr>
            <w:cnfStyle w:val="001000000000" w:firstRow="0" w:lastRow="0" w:firstColumn="1" w:lastColumn="0" w:oddVBand="0" w:evenVBand="0" w:oddHBand="0" w:evenHBand="0" w:firstRowFirstColumn="0" w:firstRowLastColumn="0" w:lastRowFirstColumn="0" w:lastRowLastColumn="0"/>
            <w:tcW w:w="1160" w:type="dxa"/>
            <w:noWrap/>
          </w:tcPr>
          <w:p w14:paraId="3AC2C84A" w14:textId="77777777" w:rsidR="00980537" w:rsidRPr="00153059" w:rsidRDefault="00980537" w:rsidP="00980537">
            <w:pPr>
              <w:jc w:val="center"/>
              <w:rPr>
                <w:rFonts w:ascii="Times New Roman" w:eastAsia="Times New Roman" w:hAnsi="Times New Roman" w:cs="Times New Roman"/>
                <w:b/>
                <w:bCs/>
              </w:rPr>
            </w:pPr>
            <w:r w:rsidRPr="00153059">
              <w:rPr>
                <w:rFonts w:ascii="Times New Roman" w:eastAsia="Times New Roman" w:hAnsi="Times New Roman" w:cs="Times New Roman"/>
                <w:b/>
                <w:bCs/>
              </w:rPr>
              <w:t>3</w:t>
            </w:r>
          </w:p>
        </w:tc>
        <w:tc>
          <w:tcPr>
            <w:tcW w:w="1064" w:type="dxa"/>
            <w:noWrap/>
          </w:tcPr>
          <w:p w14:paraId="5D8A85D7" w14:textId="77777777" w:rsidR="00980537" w:rsidRPr="00153059" w:rsidRDefault="00980537" w:rsidP="0098053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4" w:type="dxa"/>
            <w:noWrap/>
          </w:tcPr>
          <w:p w14:paraId="263D6379" w14:textId="77777777" w:rsidR="00980537" w:rsidRPr="00153059" w:rsidRDefault="00980537" w:rsidP="0098053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2</w:t>
            </w:r>
          </w:p>
        </w:tc>
        <w:tc>
          <w:tcPr>
            <w:tcW w:w="1064" w:type="dxa"/>
            <w:noWrap/>
          </w:tcPr>
          <w:p w14:paraId="1C1DCEAF" w14:textId="77777777" w:rsidR="00980537" w:rsidRPr="00153059" w:rsidRDefault="00980537" w:rsidP="0098053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1</w:t>
            </w:r>
          </w:p>
        </w:tc>
        <w:tc>
          <w:tcPr>
            <w:tcW w:w="1064" w:type="dxa"/>
            <w:noWrap/>
          </w:tcPr>
          <w:p w14:paraId="3E8ECC1E" w14:textId="77777777" w:rsidR="00980537" w:rsidRPr="00153059" w:rsidRDefault="00980537" w:rsidP="0098053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4" w:type="dxa"/>
            <w:noWrap/>
          </w:tcPr>
          <w:p w14:paraId="07396BC0" w14:textId="77777777" w:rsidR="00980537" w:rsidRPr="00153059" w:rsidRDefault="00980537" w:rsidP="0098053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4</w:t>
            </w:r>
          </w:p>
        </w:tc>
        <w:tc>
          <w:tcPr>
            <w:tcW w:w="1064" w:type="dxa"/>
            <w:noWrap/>
          </w:tcPr>
          <w:p w14:paraId="40E757DA" w14:textId="77777777" w:rsidR="00980537" w:rsidRPr="00153059" w:rsidRDefault="00980537" w:rsidP="0098053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4" w:type="dxa"/>
            <w:noWrap/>
          </w:tcPr>
          <w:p w14:paraId="06221B65" w14:textId="77777777" w:rsidR="00980537" w:rsidRPr="00153059" w:rsidRDefault="00980537" w:rsidP="0098053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7</w:t>
            </w:r>
          </w:p>
        </w:tc>
      </w:tr>
      <w:tr w:rsidR="00153059" w:rsidRPr="00153059" w14:paraId="3CACA742" w14:textId="77777777" w:rsidTr="0015305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160" w:type="dxa"/>
            <w:noWrap/>
          </w:tcPr>
          <w:p w14:paraId="36EFB3B8" w14:textId="77777777" w:rsidR="00980537" w:rsidRPr="00153059" w:rsidRDefault="00980537" w:rsidP="00980537">
            <w:pPr>
              <w:jc w:val="center"/>
              <w:rPr>
                <w:rFonts w:ascii="Times New Roman" w:eastAsia="Times New Roman" w:hAnsi="Times New Roman" w:cs="Times New Roman"/>
                <w:b/>
                <w:bCs/>
              </w:rPr>
            </w:pPr>
            <w:r w:rsidRPr="00153059">
              <w:rPr>
                <w:rFonts w:ascii="Times New Roman" w:eastAsia="Times New Roman" w:hAnsi="Times New Roman" w:cs="Times New Roman"/>
                <w:b/>
                <w:bCs/>
              </w:rPr>
              <w:t>4</w:t>
            </w:r>
          </w:p>
        </w:tc>
        <w:tc>
          <w:tcPr>
            <w:tcW w:w="1064" w:type="dxa"/>
            <w:noWrap/>
          </w:tcPr>
          <w:p w14:paraId="24CE7735" w14:textId="77777777" w:rsidR="00980537" w:rsidRPr="00153059" w:rsidRDefault="00980537" w:rsidP="0098053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4" w:type="dxa"/>
            <w:noWrap/>
          </w:tcPr>
          <w:p w14:paraId="1FBFEC2C" w14:textId="77777777" w:rsidR="00980537" w:rsidRPr="00153059" w:rsidRDefault="00980537" w:rsidP="0098053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2</w:t>
            </w:r>
          </w:p>
        </w:tc>
        <w:tc>
          <w:tcPr>
            <w:tcW w:w="1064" w:type="dxa"/>
            <w:noWrap/>
          </w:tcPr>
          <w:p w14:paraId="20D40524" w14:textId="77777777" w:rsidR="00980537" w:rsidRPr="00153059" w:rsidRDefault="00980537" w:rsidP="0098053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4" w:type="dxa"/>
            <w:noWrap/>
          </w:tcPr>
          <w:p w14:paraId="00D5EF8D" w14:textId="77777777" w:rsidR="00980537" w:rsidRPr="00153059" w:rsidRDefault="00980537" w:rsidP="0098053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1</w:t>
            </w:r>
          </w:p>
        </w:tc>
        <w:tc>
          <w:tcPr>
            <w:tcW w:w="1064" w:type="dxa"/>
            <w:noWrap/>
          </w:tcPr>
          <w:p w14:paraId="2A53B3EA" w14:textId="77777777" w:rsidR="00980537" w:rsidRPr="00153059" w:rsidRDefault="00980537" w:rsidP="0098053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2</w:t>
            </w:r>
          </w:p>
        </w:tc>
        <w:tc>
          <w:tcPr>
            <w:tcW w:w="1064" w:type="dxa"/>
            <w:noWrap/>
          </w:tcPr>
          <w:p w14:paraId="6829DA9E" w14:textId="77777777" w:rsidR="00980537" w:rsidRPr="00153059" w:rsidRDefault="00980537" w:rsidP="0098053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2</w:t>
            </w:r>
          </w:p>
        </w:tc>
        <w:tc>
          <w:tcPr>
            <w:tcW w:w="1064" w:type="dxa"/>
            <w:noWrap/>
          </w:tcPr>
          <w:p w14:paraId="28B4D719" w14:textId="77777777" w:rsidR="00980537" w:rsidRPr="00153059" w:rsidRDefault="00980537" w:rsidP="0098053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7</w:t>
            </w:r>
          </w:p>
        </w:tc>
      </w:tr>
      <w:tr w:rsidR="00153059" w:rsidRPr="00153059" w14:paraId="65505290" w14:textId="77777777" w:rsidTr="00153059">
        <w:trPr>
          <w:trHeight w:val="283"/>
        </w:trPr>
        <w:tc>
          <w:tcPr>
            <w:cnfStyle w:val="001000000000" w:firstRow="0" w:lastRow="0" w:firstColumn="1" w:lastColumn="0" w:oddVBand="0" w:evenVBand="0" w:oddHBand="0" w:evenHBand="0" w:firstRowFirstColumn="0" w:firstRowLastColumn="0" w:lastRowFirstColumn="0" w:lastRowLastColumn="0"/>
            <w:tcW w:w="1160" w:type="dxa"/>
            <w:noWrap/>
          </w:tcPr>
          <w:p w14:paraId="46996C43" w14:textId="77777777" w:rsidR="00980537" w:rsidRPr="00153059" w:rsidRDefault="00980537" w:rsidP="00980537">
            <w:pPr>
              <w:jc w:val="center"/>
              <w:rPr>
                <w:rFonts w:ascii="Times New Roman" w:eastAsia="Times New Roman" w:hAnsi="Times New Roman" w:cs="Times New Roman"/>
                <w:b/>
                <w:bCs/>
              </w:rPr>
            </w:pPr>
            <w:r w:rsidRPr="00153059">
              <w:rPr>
                <w:rFonts w:ascii="Times New Roman" w:eastAsia="Times New Roman" w:hAnsi="Times New Roman" w:cs="Times New Roman"/>
                <w:b/>
                <w:bCs/>
              </w:rPr>
              <w:t>6</w:t>
            </w:r>
          </w:p>
        </w:tc>
        <w:tc>
          <w:tcPr>
            <w:tcW w:w="1064" w:type="dxa"/>
            <w:noWrap/>
          </w:tcPr>
          <w:p w14:paraId="06DB25A7" w14:textId="77777777" w:rsidR="00980537" w:rsidRPr="00153059" w:rsidRDefault="00980537" w:rsidP="0098053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4" w:type="dxa"/>
            <w:noWrap/>
          </w:tcPr>
          <w:p w14:paraId="20402CF2" w14:textId="77777777" w:rsidR="00980537" w:rsidRPr="00153059" w:rsidRDefault="00980537" w:rsidP="0098053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4" w:type="dxa"/>
            <w:noWrap/>
          </w:tcPr>
          <w:p w14:paraId="5908F902" w14:textId="77777777" w:rsidR="00980537" w:rsidRPr="00153059" w:rsidRDefault="00980537" w:rsidP="0098053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1</w:t>
            </w:r>
          </w:p>
        </w:tc>
        <w:tc>
          <w:tcPr>
            <w:tcW w:w="1064" w:type="dxa"/>
            <w:noWrap/>
          </w:tcPr>
          <w:p w14:paraId="4845AB4D" w14:textId="77777777" w:rsidR="00980537" w:rsidRPr="00153059" w:rsidRDefault="00980537" w:rsidP="0098053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4" w:type="dxa"/>
            <w:noWrap/>
          </w:tcPr>
          <w:p w14:paraId="33C98031" w14:textId="77777777" w:rsidR="00980537" w:rsidRPr="00153059" w:rsidRDefault="00980537" w:rsidP="0098053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4" w:type="dxa"/>
            <w:noWrap/>
          </w:tcPr>
          <w:p w14:paraId="54479BC3" w14:textId="77777777" w:rsidR="00980537" w:rsidRPr="00153059" w:rsidRDefault="00980537" w:rsidP="0098053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1</w:t>
            </w:r>
          </w:p>
        </w:tc>
        <w:tc>
          <w:tcPr>
            <w:tcW w:w="1064" w:type="dxa"/>
            <w:noWrap/>
          </w:tcPr>
          <w:p w14:paraId="5A2F5803" w14:textId="77777777" w:rsidR="00980537" w:rsidRPr="00153059" w:rsidRDefault="00980537" w:rsidP="0098053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2</w:t>
            </w:r>
          </w:p>
        </w:tc>
      </w:tr>
      <w:tr w:rsidR="00153059" w:rsidRPr="00153059" w14:paraId="743AAB69" w14:textId="77777777" w:rsidTr="0015305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160" w:type="dxa"/>
            <w:noWrap/>
          </w:tcPr>
          <w:p w14:paraId="557C5898" w14:textId="77777777" w:rsidR="00980537" w:rsidRPr="00153059" w:rsidRDefault="00980537" w:rsidP="00980537">
            <w:pPr>
              <w:jc w:val="center"/>
              <w:rPr>
                <w:rFonts w:ascii="Times New Roman" w:eastAsia="Times New Roman" w:hAnsi="Times New Roman" w:cs="Times New Roman"/>
                <w:b/>
                <w:bCs/>
              </w:rPr>
            </w:pPr>
            <w:r w:rsidRPr="00153059">
              <w:rPr>
                <w:rFonts w:ascii="Times New Roman" w:eastAsia="Times New Roman" w:hAnsi="Times New Roman" w:cs="Times New Roman"/>
                <w:b/>
                <w:bCs/>
              </w:rPr>
              <w:t>7</w:t>
            </w:r>
          </w:p>
        </w:tc>
        <w:tc>
          <w:tcPr>
            <w:tcW w:w="1064" w:type="dxa"/>
            <w:noWrap/>
          </w:tcPr>
          <w:p w14:paraId="1E5FA9D8" w14:textId="77777777" w:rsidR="00980537" w:rsidRPr="00153059" w:rsidRDefault="00980537" w:rsidP="0098053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1</w:t>
            </w:r>
          </w:p>
        </w:tc>
        <w:tc>
          <w:tcPr>
            <w:tcW w:w="1064" w:type="dxa"/>
            <w:noWrap/>
          </w:tcPr>
          <w:p w14:paraId="57038927" w14:textId="77777777" w:rsidR="00980537" w:rsidRPr="00153059" w:rsidRDefault="00980537" w:rsidP="0098053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4" w:type="dxa"/>
            <w:noWrap/>
          </w:tcPr>
          <w:p w14:paraId="3DB17429" w14:textId="77777777" w:rsidR="00980537" w:rsidRPr="00153059" w:rsidRDefault="00980537" w:rsidP="0098053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1</w:t>
            </w:r>
          </w:p>
        </w:tc>
        <w:tc>
          <w:tcPr>
            <w:tcW w:w="1064" w:type="dxa"/>
            <w:noWrap/>
          </w:tcPr>
          <w:p w14:paraId="5BC21E50" w14:textId="77777777" w:rsidR="00980537" w:rsidRPr="00153059" w:rsidRDefault="00980537" w:rsidP="0098053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4" w:type="dxa"/>
            <w:noWrap/>
          </w:tcPr>
          <w:p w14:paraId="4111BF99" w14:textId="77777777" w:rsidR="00980537" w:rsidRPr="00153059" w:rsidRDefault="00980537" w:rsidP="0098053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4" w:type="dxa"/>
            <w:noWrap/>
          </w:tcPr>
          <w:p w14:paraId="60F036EF" w14:textId="77777777" w:rsidR="00980537" w:rsidRPr="00153059" w:rsidRDefault="00980537" w:rsidP="0098053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4" w:type="dxa"/>
            <w:noWrap/>
          </w:tcPr>
          <w:p w14:paraId="7A784D4E" w14:textId="77777777" w:rsidR="00980537" w:rsidRPr="00153059" w:rsidRDefault="00980537" w:rsidP="0098053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2</w:t>
            </w:r>
          </w:p>
        </w:tc>
      </w:tr>
      <w:tr w:rsidR="00153059" w:rsidRPr="00153059" w14:paraId="4002893C" w14:textId="77777777" w:rsidTr="00153059">
        <w:trPr>
          <w:trHeight w:val="283"/>
        </w:trPr>
        <w:tc>
          <w:tcPr>
            <w:cnfStyle w:val="001000000000" w:firstRow="0" w:lastRow="0" w:firstColumn="1" w:lastColumn="0" w:oddVBand="0" w:evenVBand="0" w:oddHBand="0" w:evenHBand="0" w:firstRowFirstColumn="0" w:firstRowLastColumn="0" w:lastRowFirstColumn="0" w:lastRowLastColumn="0"/>
            <w:tcW w:w="1160" w:type="dxa"/>
            <w:noWrap/>
          </w:tcPr>
          <w:p w14:paraId="09CEC193" w14:textId="77777777" w:rsidR="00980537" w:rsidRPr="00153059" w:rsidRDefault="00980537" w:rsidP="00980537">
            <w:pPr>
              <w:jc w:val="center"/>
              <w:rPr>
                <w:rFonts w:ascii="Times New Roman" w:eastAsia="Times New Roman" w:hAnsi="Times New Roman" w:cs="Times New Roman"/>
                <w:b/>
                <w:bCs/>
              </w:rPr>
            </w:pPr>
            <w:r w:rsidRPr="00153059">
              <w:rPr>
                <w:rFonts w:ascii="Times New Roman" w:eastAsia="Times New Roman" w:hAnsi="Times New Roman" w:cs="Times New Roman"/>
                <w:b/>
                <w:bCs/>
              </w:rPr>
              <w:lastRenderedPageBreak/>
              <w:t>9</w:t>
            </w:r>
          </w:p>
        </w:tc>
        <w:tc>
          <w:tcPr>
            <w:tcW w:w="1064" w:type="dxa"/>
            <w:noWrap/>
          </w:tcPr>
          <w:p w14:paraId="5BE4E391" w14:textId="77777777" w:rsidR="00980537" w:rsidRPr="00153059" w:rsidRDefault="00980537" w:rsidP="0098053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4" w:type="dxa"/>
            <w:noWrap/>
          </w:tcPr>
          <w:p w14:paraId="76FB103B" w14:textId="77777777" w:rsidR="00980537" w:rsidRPr="00153059" w:rsidRDefault="00980537" w:rsidP="0098053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1</w:t>
            </w:r>
          </w:p>
        </w:tc>
        <w:tc>
          <w:tcPr>
            <w:tcW w:w="1064" w:type="dxa"/>
            <w:noWrap/>
          </w:tcPr>
          <w:p w14:paraId="18AAB07B" w14:textId="77777777" w:rsidR="00980537" w:rsidRPr="00153059" w:rsidRDefault="00980537" w:rsidP="0098053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4" w:type="dxa"/>
            <w:noWrap/>
          </w:tcPr>
          <w:p w14:paraId="67411AB3" w14:textId="77777777" w:rsidR="00980537" w:rsidRPr="00153059" w:rsidRDefault="00980537" w:rsidP="0098053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4" w:type="dxa"/>
            <w:noWrap/>
          </w:tcPr>
          <w:p w14:paraId="47AA31D3" w14:textId="77777777" w:rsidR="00980537" w:rsidRPr="00153059" w:rsidRDefault="00980537" w:rsidP="0098053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4" w:type="dxa"/>
            <w:noWrap/>
          </w:tcPr>
          <w:p w14:paraId="67463B99" w14:textId="77777777" w:rsidR="00980537" w:rsidRPr="00153059" w:rsidRDefault="00980537" w:rsidP="0098053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4" w:type="dxa"/>
            <w:noWrap/>
          </w:tcPr>
          <w:p w14:paraId="0C695585" w14:textId="77777777" w:rsidR="00980537" w:rsidRPr="00153059" w:rsidRDefault="00980537" w:rsidP="0098053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1</w:t>
            </w:r>
          </w:p>
        </w:tc>
      </w:tr>
      <w:tr w:rsidR="00153059" w:rsidRPr="00153059" w14:paraId="69714233" w14:textId="77777777" w:rsidTr="0015305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160" w:type="dxa"/>
            <w:noWrap/>
          </w:tcPr>
          <w:p w14:paraId="3C57AC4C" w14:textId="77777777" w:rsidR="00980537" w:rsidRPr="00153059" w:rsidRDefault="00980537" w:rsidP="00980537">
            <w:pPr>
              <w:jc w:val="center"/>
              <w:rPr>
                <w:rFonts w:ascii="Times New Roman" w:eastAsia="Times New Roman" w:hAnsi="Times New Roman" w:cs="Times New Roman"/>
                <w:b/>
                <w:bCs/>
              </w:rPr>
            </w:pPr>
            <w:r w:rsidRPr="00153059">
              <w:rPr>
                <w:rFonts w:ascii="Times New Roman" w:eastAsia="Times New Roman" w:hAnsi="Times New Roman" w:cs="Times New Roman"/>
                <w:b/>
                <w:bCs/>
              </w:rPr>
              <w:t>11</w:t>
            </w:r>
          </w:p>
        </w:tc>
        <w:tc>
          <w:tcPr>
            <w:tcW w:w="1064" w:type="dxa"/>
            <w:noWrap/>
          </w:tcPr>
          <w:p w14:paraId="0A79AFDC" w14:textId="77777777" w:rsidR="00980537" w:rsidRPr="00153059" w:rsidRDefault="00980537" w:rsidP="0098053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4" w:type="dxa"/>
            <w:noWrap/>
          </w:tcPr>
          <w:p w14:paraId="795C5300" w14:textId="77777777" w:rsidR="00980537" w:rsidRPr="00153059" w:rsidRDefault="00980537" w:rsidP="0098053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1</w:t>
            </w:r>
          </w:p>
        </w:tc>
        <w:tc>
          <w:tcPr>
            <w:tcW w:w="1064" w:type="dxa"/>
            <w:noWrap/>
          </w:tcPr>
          <w:p w14:paraId="65E91D29" w14:textId="77777777" w:rsidR="00980537" w:rsidRPr="00153059" w:rsidRDefault="00980537" w:rsidP="0098053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4" w:type="dxa"/>
            <w:noWrap/>
          </w:tcPr>
          <w:p w14:paraId="3B1098F8" w14:textId="77777777" w:rsidR="00980537" w:rsidRPr="00153059" w:rsidRDefault="00980537" w:rsidP="0098053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4" w:type="dxa"/>
            <w:noWrap/>
          </w:tcPr>
          <w:p w14:paraId="06C92B3A" w14:textId="77777777" w:rsidR="00980537" w:rsidRPr="00153059" w:rsidRDefault="00980537" w:rsidP="0098053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4" w:type="dxa"/>
            <w:noWrap/>
          </w:tcPr>
          <w:p w14:paraId="6E8C0E55" w14:textId="77777777" w:rsidR="00980537" w:rsidRPr="00153059" w:rsidRDefault="00980537" w:rsidP="0098053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1</w:t>
            </w:r>
          </w:p>
        </w:tc>
        <w:tc>
          <w:tcPr>
            <w:tcW w:w="1064" w:type="dxa"/>
            <w:noWrap/>
          </w:tcPr>
          <w:p w14:paraId="0E0ED0E9" w14:textId="77777777" w:rsidR="00980537" w:rsidRPr="00153059" w:rsidRDefault="00980537" w:rsidP="0098053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2</w:t>
            </w:r>
          </w:p>
        </w:tc>
      </w:tr>
      <w:tr w:rsidR="00153059" w:rsidRPr="00153059" w14:paraId="6811B15E" w14:textId="77777777" w:rsidTr="00153059">
        <w:trPr>
          <w:trHeight w:val="283"/>
        </w:trPr>
        <w:tc>
          <w:tcPr>
            <w:cnfStyle w:val="001000000000" w:firstRow="0" w:lastRow="0" w:firstColumn="1" w:lastColumn="0" w:oddVBand="0" w:evenVBand="0" w:oddHBand="0" w:evenHBand="0" w:firstRowFirstColumn="0" w:firstRowLastColumn="0" w:lastRowFirstColumn="0" w:lastRowLastColumn="0"/>
            <w:tcW w:w="1160" w:type="dxa"/>
            <w:noWrap/>
          </w:tcPr>
          <w:p w14:paraId="39058A46" w14:textId="77777777" w:rsidR="00980537" w:rsidRPr="00153059" w:rsidRDefault="00980537" w:rsidP="00980537">
            <w:pPr>
              <w:jc w:val="center"/>
              <w:rPr>
                <w:rFonts w:ascii="Times New Roman" w:eastAsia="Times New Roman" w:hAnsi="Times New Roman" w:cs="Times New Roman"/>
                <w:b/>
                <w:bCs/>
              </w:rPr>
            </w:pPr>
            <w:r w:rsidRPr="00153059">
              <w:rPr>
                <w:rFonts w:ascii="Times New Roman" w:eastAsia="Times New Roman" w:hAnsi="Times New Roman" w:cs="Times New Roman"/>
                <w:b/>
                <w:bCs/>
              </w:rPr>
              <w:t>14</w:t>
            </w:r>
          </w:p>
        </w:tc>
        <w:tc>
          <w:tcPr>
            <w:tcW w:w="1064" w:type="dxa"/>
            <w:noWrap/>
          </w:tcPr>
          <w:p w14:paraId="249680EA" w14:textId="77777777" w:rsidR="00980537" w:rsidRPr="00153059" w:rsidRDefault="00980537" w:rsidP="0098053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4" w:type="dxa"/>
            <w:noWrap/>
          </w:tcPr>
          <w:p w14:paraId="3CDC508C" w14:textId="77777777" w:rsidR="00980537" w:rsidRPr="00153059" w:rsidRDefault="00980537" w:rsidP="0098053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4" w:type="dxa"/>
            <w:noWrap/>
          </w:tcPr>
          <w:p w14:paraId="6B0AE5E5" w14:textId="77777777" w:rsidR="00980537" w:rsidRPr="00153059" w:rsidRDefault="00980537" w:rsidP="0098053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4" w:type="dxa"/>
            <w:noWrap/>
          </w:tcPr>
          <w:p w14:paraId="1C2276A2" w14:textId="77777777" w:rsidR="00980537" w:rsidRPr="00153059" w:rsidRDefault="00980537" w:rsidP="0098053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4" w:type="dxa"/>
            <w:noWrap/>
          </w:tcPr>
          <w:p w14:paraId="712DE2D1" w14:textId="77777777" w:rsidR="00980537" w:rsidRPr="00153059" w:rsidRDefault="00980537" w:rsidP="0098053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4" w:type="dxa"/>
            <w:noWrap/>
          </w:tcPr>
          <w:p w14:paraId="08634E16" w14:textId="77777777" w:rsidR="00980537" w:rsidRPr="00153059" w:rsidRDefault="00980537" w:rsidP="0098053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1</w:t>
            </w:r>
          </w:p>
        </w:tc>
        <w:tc>
          <w:tcPr>
            <w:tcW w:w="1064" w:type="dxa"/>
            <w:noWrap/>
          </w:tcPr>
          <w:p w14:paraId="64B753AB" w14:textId="77777777" w:rsidR="00980537" w:rsidRPr="00153059" w:rsidRDefault="00980537" w:rsidP="0098053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1</w:t>
            </w:r>
          </w:p>
        </w:tc>
      </w:tr>
      <w:tr w:rsidR="00153059" w:rsidRPr="00153059" w14:paraId="0C65E910" w14:textId="77777777" w:rsidTr="0015305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160" w:type="dxa"/>
            <w:noWrap/>
          </w:tcPr>
          <w:p w14:paraId="09CE52B8" w14:textId="77777777" w:rsidR="00980537" w:rsidRPr="00153059" w:rsidRDefault="00980537" w:rsidP="00980537">
            <w:pPr>
              <w:jc w:val="center"/>
              <w:rPr>
                <w:rFonts w:ascii="Times New Roman" w:eastAsia="Times New Roman" w:hAnsi="Times New Roman" w:cs="Times New Roman"/>
                <w:b/>
                <w:bCs/>
              </w:rPr>
            </w:pPr>
            <w:r w:rsidRPr="00153059">
              <w:rPr>
                <w:rFonts w:ascii="Times New Roman" w:eastAsia="Times New Roman" w:hAnsi="Times New Roman" w:cs="Times New Roman"/>
                <w:b/>
                <w:bCs/>
              </w:rPr>
              <w:t>16</w:t>
            </w:r>
          </w:p>
        </w:tc>
        <w:tc>
          <w:tcPr>
            <w:tcW w:w="1064" w:type="dxa"/>
            <w:noWrap/>
          </w:tcPr>
          <w:p w14:paraId="4B482214" w14:textId="77777777" w:rsidR="00980537" w:rsidRPr="00153059" w:rsidRDefault="00980537" w:rsidP="0098053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4" w:type="dxa"/>
            <w:noWrap/>
          </w:tcPr>
          <w:p w14:paraId="29502CD0" w14:textId="77777777" w:rsidR="00980537" w:rsidRPr="00153059" w:rsidRDefault="00980537" w:rsidP="0098053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1</w:t>
            </w:r>
          </w:p>
        </w:tc>
        <w:tc>
          <w:tcPr>
            <w:tcW w:w="1064" w:type="dxa"/>
            <w:noWrap/>
          </w:tcPr>
          <w:p w14:paraId="03D3EF59" w14:textId="77777777" w:rsidR="00980537" w:rsidRPr="00153059" w:rsidRDefault="00980537" w:rsidP="0098053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4" w:type="dxa"/>
            <w:noWrap/>
          </w:tcPr>
          <w:p w14:paraId="7491DD41" w14:textId="77777777" w:rsidR="00980537" w:rsidRPr="00153059" w:rsidRDefault="00980537" w:rsidP="0098053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4" w:type="dxa"/>
            <w:noWrap/>
          </w:tcPr>
          <w:p w14:paraId="1AE20219" w14:textId="77777777" w:rsidR="00980537" w:rsidRPr="00153059" w:rsidRDefault="00980537" w:rsidP="0098053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4" w:type="dxa"/>
            <w:noWrap/>
          </w:tcPr>
          <w:p w14:paraId="6B7739BE" w14:textId="77777777" w:rsidR="00980537" w:rsidRPr="00153059" w:rsidRDefault="00980537" w:rsidP="0098053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4" w:type="dxa"/>
            <w:noWrap/>
          </w:tcPr>
          <w:p w14:paraId="57EF24DC" w14:textId="77777777" w:rsidR="00980537" w:rsidRPr="00153059" w:rsidRDefault="00980537" w:rsidP="0098053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1</w:t>
            </w:r>
          </w:p>
        </w:tc>
      </w:tr>
      <w:tr w:rsidR="00153059" w:rsidRPr="00153059" w14:paraId="02B371D0" w14:textId="77777777" w:rsidTr="00153059">
        <w:trPr>
          <w:trHeight w:val="283"/>
        </w:trPr>
        <w:tc>
          <w:tcPr>
            <w:cnfStyle w:val="001000000000" w:firstRow="0" w:lastRow="0" w:firstColumn="1" w:lastColumn="0" w:oddVBand="0" w:evenVBand="0" w:oddHBand="0" w:evenHBand="0" w:firstRowFirstColumn="0" w:firstRowLastColumn="0" w:lastRowFirstColumn="0" w:lastRowLastColumn="0"/>
            <w:tcW w:w="1160" w:type="dxa"/>
            <w:noWrap/>
          </w:tcPr>
          <w:p w14:paraId="3CAAB5D2" w14:textId="77777777" w:rsidR="00980537" w:rsidRPr="00153059" w:rsidRDefault="00980537" w:rsidP="00980537">
            <w:pPr>
              <w:jc w:val="center"/>
              <w:rPr>
                <w:rFonts w:ascii="Times New Roman" w:eastAsia="Times New Roman" w:hAnsi="Times New Roman" w:cs="Times New Roman"/>
                <w:b/>
                <w:bCs/>
              </w:rPr>
            </w:pPr>
            <w:r w:rsidRPr="00153059">
              <w:rPr>
                <w:rFonts w:ascii="Times New Roman" w:eastAsia="Times New Roman" w:hAnsi="Times New Roman" w:cs="Times New Roman"/>
                <w:b/>
                <w:bCs/>
              </w:rPr>
              <w:t>21</w:t>
            </w:r>
          </w:p>
        </w:tc>
        <w:tc>
          <w:tcPr>
            <w:tcW w:w="1064" w:type="dxa"/>
            <w:noWrap/>
          </w:tcPr>
          <w:p w14:paraId="7C0E1D2A" w14:textId="77777777" w:rsidR="00980537" w:rsidRPr="00153059" w:rsidRDefault="00980537" w:rsidP="0098053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4" w:type="dxa"/>
            <w:noWrap/>
          </w:tcPr>
          <w:p w14:paraId="4481D955" w14:textId="77777777" w:rsidR="00980537" w:rsidRPr="00153059" w:rsidRDefault="00980537" w:rsidP="0098053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4" w:type="dxa"/>
            <w:noWrap/>
          </w:tcPr>
          <w:p w14:paraId="447B5C22" w14:textId="77777777" w:rsidR="00980537" w:rsidRPr="00153059" w:rsidRDefault="00980537" w:rsidP="0098053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4" w:type="dxa"/>
            <w:noWrap/>
          </w:tcPr>
          <w:p w14:paraId="4B8A5E6A" w14:textId="77777777" w:rsidR="00980537" w:rsidRPr="00153059" w:rsidRDefault="00980537" w:rsidP="0098053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4" w:type="dxa"/>
            <w:noWrap/>
          </w:tcPr>
          <w:p w14:paraId="1654EF16" w14:textId="77777777" w:rsidR="00980537" w:rsidRPr="00153059" w:rsidRDefault="00980537" w:rsidP="0098053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1</w:t>
            </w:r>
          </w:p>
        </w:tc>
        <w:tc>
          <w:tcPr>
            <w:tcW w:w="1064" w:type="dxa"/>
            <w:noWrap/>
          </w:tcPr>
          <w:p w14:paraId="5364EC05" w14:textId="77777777" w:rsidR="00980537" w:rsidRPr="00153059" w:rsidRDefault="00980537" w:rsidP="0098053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0</w:t>
            </w:r>
          </w:p>
        </w:tc>
        <w:tc>
          <w:tcPr>
            <w:tcW w:w="1064" w:type="dxa"/>
            <w:noWrap/>
          </w:tcPr>
          <w:p w14:paraId="61BF4B2A" w14:textId="77777777" w:rsidR="00980537" w:rsidRPr="00153059" w:rsidRDefault="00980537" w:rsidP="0098053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53059">
              <w:rPr>
                <w:rFonts w:ascii="Times New Roman" w:eastAsia="Times New Roman" w:hAnsi="Times New Roman" w:cs="Times New Roman"/>
              </w:rPr>
              <w:t>1</w:t>
            </w:r>
          </w:p>
        </w:tc>
      </w:tr>
      <w:tr w:rsidR="00153059" w:rsidRPr="00153059" w14:paraId="1E401132" w14:textId="77777777" w:rsidTr="0015305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160" w:type="dxa"/>
            <w:noWrap/>
          </w:tcPr>
          <w:p w14:paraId="3921ED17" w14:textId="77777777" w:rsidR="00980537" w:rsidRPr="00153059" w:rsidRDefault="00980537" w:rsidP="00980537">
            <w:pPr>
              <w:jc w:val="center"/>
              <w:rPr>
                <w:rFonts w:ascii="Times New Roman" w:eastAsia="Times New Roman" w:hAnsi="Times New Roman" w:cs="Times New Roman"/>
                <w:b/>
                <w:bCs/>
              </w:rPr>
            </w:pPr>
            <w:r w:rsidRPr="00153059">
              <w:rPr>
                <w:rFonts w:ascii="Times New Roman" w:eastAsia="Times New Roman" w:hAnsi="Times New Roman" w:cs="Times New Roman"/>
                <w:b/>
                <w:bCs/>
              </w:rPr>
              <w:t>Total</w:t>
            </w:r>
          </w:p>
        </w:tc>
        <w:tc>
          <w:tcPr>
            <w:tcW w:w="1064" w:type="dxa"/>
            <w:noWrap/>
          </w:tcPr>
          <w:p w14:paraId="65914B7F" w14:textId="77777777" w:rsidR="00980537" w:rsidRPr="00153059" w:rsidRDefault="00980537" w:rsidP="0098053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sidRPr="00153059">
              <w:rPr>
                <w:rFonts w:ascii="Times New Roman" w:eastAsia="Times New Roman" w:hAnsi="Times New Roman" w:cs="Times New Roman"/>
                <w:b/>
                <w:bCs/>
              </w:rPr>
              <w:t>570</w:t>
            </w:r>
          </w:p>
        </w:tc>
        <w:tc>
          <w:tcPr>
            <w:tcW w:w="1064" w:type="dxa"/>
            <w:noWrap/>
          </w:tcPr>
          <w:p w14:paraId="120A2433" w14:textId="77777777" w:rsidR="00980537" w:rsidRPr="00153059" w:rsidRDefault="00980537" w:rsidP="0098053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sidRPr="00153059">
              <w:rPr>
                <w:rFonts w:ascii="Times New Roman" w:eastAsia="Times New Roman" w:hAnsi="Times New Roman" w:cs="Times New Roman"/>
                <w:b/>
                <w:bCs/>
              </w:rPr>
              <w:t>570</w:t>
            </w:r>
          </w:p>
        </w:tc>
        <w:tc>
          <w:tcPr>
            <w:tcW w:w="1064" w:type="dxa"/>
            <w:noWrap/>
          </w:tcPr>
          <w:p w14:paraId="2A1B82EF" w14:textId="77777777" w:rsidR="00980537" w:rsidRPr="00153059" w:rsidRDefault="00980537" w:rsidP="0098053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sidRPr="00153059">
              <w:rPr>
                <w:rFonts w:ascii="Times New Roman" w:eastAsia="Times New Roman" w:hAnsi="Times New Roman" w:cs="Times New Roman"/>
                <w:b/>
                <w:bCs/>
              </w:rPr>
              <w:t>570</w:t>
            </w:r>
          </w:p>
        </w:tc>
        <w:tc>
          <w:tcPr>
            <w:tcW w:w="1064" w:type="dxa"/>
            <w:noWrap/>
          </w:tcPr>
          <w:p w14:paraId="7C7ACC75" w14:textId="77777777" w:rsidR="00980537" w:rsidRPr="00153059" w:rsidRDefault="00980537" w:rsidP="0098053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sidRPr="00153059">
              <w:rPr>
                <w:rFonts w:ascii="Times New Roman" w:eastAsia="Times New Roman" w:hAnsi="Times New Roman" w:cs="Times New Roman"/>
                <w:b/>
                <w:bCs/>
              </w:rPr>
              <w:t>570</w:t>
            </w:r>
          </w:p>
        </w:tc>
        <w:tc>
          <w:tcPr>
            <w:tcW w:w="1064" w:type="dxa"/>
            <w:noWrap/>
          </w:tcPr>
          <w:p w14:paraId="0E02A935" w14:textId="77777777" w:rsidR="00980537" w:rsidRPr="00153059" w:rsidRDefault="00980537" w:rsidP="0098053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sidRPr="00153059">
              <w:rPr>
                <w:rFonts w:ascii="Times New Roman" w:eastAsia="Times New Roman" w:hAnsi="Times New Roman" w:cs="Times New Roman"/>
                <w:b/>
                <w:bCs/>
              </w:rPr>
              <w:t>570</w:t>
            </w:r>
          </w:p>
        </w:tc>
        <w:tc>
          <w:tcPr>
            <w:tcW w:w="1064" w:type="dxa"/>
            <w:noWrap/>
          </w:tcPr>
          <w:p w14:paraId="1721FDBE" w14:textId="77777777" w:rsidR="00980537" w:rsidRPr="00153059" w:rsidRDefault="00980537" w:rsidP="0098053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sidRPr="00153059">
              <w:rPr>
                <w:rFonts w:ascii="Times New Roman" w:eastAsia="Times New Roman" w:hAnsi="Times New Roman" w:cs="Times New Roman"/>
                <w:b/>
                <w:bCs/>
              </w:rPr>
              <w:t>570</w:t>
            </w:r>
          </w:p>
        </w:tc>
        <w:tc>
          <w:tcPr>
            <w:tcW w:w="1064" w:type="dxa"/>
            <w:noWrap/>
          </w:tcPr>
          <w:p w14:paraId="0E10314D" w14:textId="77777777" w:rsidR="00980537" w:rsidRPr="00153059" w:rsidRDefault="00980537" w:rsidP="0098053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sidRPr="00153059">
              <w:rPr>
                <w:rFonts w:ascii="Times New Roman" w:eastAsia="Times New Roman" w:hAnsi="Times New Roman" w:cs="Times New Roman"/>
                <w:b/>
                <w:bCs/>
              </w:rPr>
              <w:t>3,420</w:t>
            </w:r>
          </w:p>
        </w:tc>
      </w:tr>
    </w:tbl>
    <w:p w14:paraId="1AE063D0" w14:textId="77777777" w:rsidR="00980537" w:rsidRPr="00170F4C" w:rsidRDefault="00980537" w:rsidP="00696799">
      <w:pPr>
        <w:spacing w:line="480" w:lineRule="auto"/>
        <w:jc w:val="both"/>
        <w:rPr>
          <w:rFonts w:ascii="Times New Roman" w:hAnsi="Times New Roman" w:cs="Times New Roman"/>
          <w:sz w:val="24"/>
          <w:szCs w:val="24"/>
        </w:rPr>
      </w:pPr>
    </w:p>
    <w:p w14:paraId="2D61E254" w14:textId="4F3A74BC" w:rsidR="00311F47" w:rsidRDefault="00272AF4" w:rsidP="00064F02">
      <w:pPr>
        <w:spacing w:line="480" w:lineRule="auto"/>
        <w:jc w:val="both"/>
        <w:rPr>
          <w:rFonts w:ascii="Times New Roman" w:hAnsi="Times New Roman" w:cs="Times New Roman"/>
          <w:sz w:val="24"/>
          <w:szCs w:val="24"/>
        </w:rPr>
      </w:pPr>
      <w:r>
        <w:rPr>
          <w:rFonts w:ascii="Times New Roman" w:hAnsi="Times New Roman" w:cs="Times New Roman"/>
          <w:sz w:val="24"/>
          <w:szCs w:val="24"/>
        </w:rPr>
        <w:t>Con este panorama general, resulta necesario conocer si en verdad la varianza entre municipios y entidades federativas es significativa como para utilizar un modelo mu</w:t>
      </w:r>
      <w:r w:rsidR="00440AE5">
        <w:rPr>
          <w:rFonts w:ascii="Times New Roman" w:hAnsi="Times New Roman" w:cs="Times New Roman"/>
          <w:sz w:val="24"/>
          <w:szCs w:val="24"/>
        </w:rPr>
        <w:t>l</w:t>
      </w:r>
      <w:r>
        <w:rPr>
          <w:rFonts w:ascii="Times New Roman" w:hAnsi="Times New Roman" w:cs="Times New Roman"/>
          <w:sz w:val="24"/>
          <w:szCs w:val="24"/>
        </w:rPr>
        <w:t>tinivel, en lugar de un modelo de mínimos cuadrados ordinarios (MCO).</w:t>
      </w:r>
      <w:r w:rsidR="00D26FB0">
        <w:rPr>
          <w:rFonts w:ascii="Times New Roman" w:hAnsi="Times New Roman" w:cs="Times New Roman"/>
          <w:sz w:val="24"/>
          <w:szCs w:val="24"/>
        </w:rPr>
        <w:t xml:space="preserve"> Esto se debe a que, luego de realizar una inspección general, es posible observar que se presenta la misma estructura de datos en las tres entidades federativas.</w:t>
      </w:r>
      <w:r w:rsidR="0096687D">
        <w:rPr>
          <w:rFonts w:ascii="Times New Roman" w:hAnsi="Times New Roman" w:cs="Times New Roman"/>
          <w:sz w:val="24"/>
          <w:szCs w:val="24"/>
        </w:rPr>
        <w:t xml:space="preserve"> </w:t>
      </w:r>
      <w:r w:rsidR="00F0473D">
        <w:rPr>
          <w:rFonts w:ascii="Times New Roman" w:hAnsi="Times New Roman" w:cs="Times New Roman"/>
          <w:sz w:val="24"/>
          <w:szCs w:val="24"/>
        </w:rPr>
        <w:t>P</w:t>
      </w:r>
      <w:r w:rsidR="00440AE5">
        <w:rPr>
          <w:rFonts w:ascii="Times New Roman" w:hAnsi="Times New Roman" w:cs="Times New Roman"/>
          <w:sz w:val="24"/>
          <w:szCs w:val="24"/>
        </w:rPr>
        <w:t xml:space="preserve">ara </w:t>
      </w:r>
      <w:r w:rsidR="00D26FB0">
        <w:rPr>
          <w:rFonts w:ascii="Times New Roman" w:hAnsi="Times New Roman" w:cs="Times New Roman"/>
          <w:sz w:val="24"/>
          <w:szCs w:val="24"/>
        </w:rPr>
        <w:t>hacer la comprobación</w:t>
      </w:r>
      <w:r w:rsidR="00440AE5">
        <w:rPr>
          <w:rFonts w:ascii="Times New Roman" w:hAnsi="Times New Roman" w:cs="Times New Roman"/>
          <w:sz w:val="24"/>
          <w:szCs w:val="24"/>
        </w:rPr>
        <w:t xml:space="preserve"> llevé</w:t>
      </w:r>
      <w:r w:rsidR="00F0473D">
        <w:rPr>
          <w:rFonts w:ascii="Times New Roman" w:hAnsi="Times New Roman" w:cs="Times New Roman"/>
          <w:sz w:val="24"/>
          <w:szCs w:val="24"/>
        </w:rPr>
        <w:t xml:space="preserve"> a cabo algunas pruebas ANOVA (de análisis de varianza)</w:t>
      </w:r>
      <w:r w:rsidR="00F50AD4">
        <w:rPr>
          <w:rFonts w:ascii="Times New Roman" w:hAnsi="Times New Roman" w:cs="Times New Roman"/>
          <w:sz w:val="24"/>
          <w:szCs w:val="24"/>
        </w:rPr>
        <w:t xml:space="preserve"> a fin de</w:t>
      </w:r>
      <w:r w:rsidR="00440AE5">
        <w:rPr>
          <w:rFonts w:ascii="Times New Roman" w:hAnsi="Times New Roman" w:cs="Times New Roman"/>
          <w:sz w:val="24"/>
          <w:szCs w:val="24"/>
        </w:rPr>
        <w:t xml:space="preserve"> conocer si las diferencias entre grupos son suficientemente significativas como para </w:t>
      </w:r>
      <w:r w:rsidR="00D26FB0">
        <w:rPr>
          <w:rFonts w:ascii="Times New Roman" w:hAnsi="Times New Roman" w:cs="Times New Roman"/>
          <w:sz w:val="24"/>
          <w:szCs w:val="24"/>
        </w:rPr>
        <w:t>utilizar</w:t>
      </w:r>
      <w:r w:rsidR="00440AE5">
        <w:rPr>
          <w:rFonts w:ascii="Times New Roman" w:hAnsi="Times New Roman" w:cs="Times New Roman"/>
          <w:sz w:val="24"/>
          <w:szCs w:val="24"/>
        </w:rPr>
        <w:t xml:space="preserve"> un modelo multinivel. </w:t>
      </w:r>
      <w:r w:rsidR="00204252">
        <w:rPr>
          <w:rFonts w:ascii="Times New Roman" w:hAnsi="Times New Roman" w:cs="Times New Roman"/>
          <w:sz w:val="24"/>
          <w:szCs w:val="24"/>
        </w:rPr>
        <w:t xml:space="preserve">Los resultados de dichas pruebas indican que para </w:t>
      </w:r>
      <w:r w:rsidR="00A96731">
        <w:rPr>
          <w:rFonts w:ascii="Times New Roman" w:hAnsi="Times New Roman" w:cs="Times New Roman"/>
          <w:sz w:val="24"/>
          <w:szCs w:val="24"/>
        </w:rPr>
        <w:t>tres de los cuatro</w:t>
      </w:r>
      <w:r w:rsidR="00204252">
        <w:rPr>
          <w:rFonts w:ascii="Times New Roman" w:hAnsi="Times New Roman" w:cs="Times New Roman"/>
          <w:sz w:val="24"/>
          <w:szCs w:val="24"/>
        </w:rPr>
        <w:t xml:space="preserve"> casos analizados (combinaciones de las variables dependientes con las claves municipales y estatales), se puede rechazar con un 99% de confianza que sean iguales las variaciones entre niveles. Es decir, podemos aplicar un modelo multinivel, dado que existe</w:t>
      </w:r>
      <w:r w:rsidR="0096687D">
        <w:rPr>
          <w:rFonts w:ascii="Times New Roman" w:hAnsi="Times New Roman" w:cs="Times New Roman"/>
          <w:sz w:val="24"/>
          <w:szCs w:val="24"/>
        </w:rPr>
        <w:t xml:space="preserve"> </w:t>
      </w:r>
      <w:r w:rsidR="00204252">
        <w:rPr>
          <w:rFonts w:ascii="Times New Roman" w:hAnsi="Times New Roman" w:cs="Times New Roman"/>
          <w:sz w:val="24"/>
          <w:szCs w:val="24"/>
        </w:rPr>
        <w:t xml:space="preserve">suficiente variación entre </w:t>
      </w:r>
      <w:r w:rsidR="00F45F01">
        <w:rPr>
          <w:rFonts w:ascii="Times New Roman" w:hAnsi="Times New Roman" w:cs="Times New Roman"/>
          <w:sz w:val="24"/>
          <w:szCs w:val="24"/>
        </w:rPr>
        <w:t>l</w:t>
      </w:r>
      <w:r w:rsidR="00204252">
        <w:rPr>
          <w:rFonts w:ascii="Times New Roman" w:hAnsi="Times New Roman" w:cs="Times New Roman"/>
          <w:sz w:val="24"/>
          <w:szCs w:val="24"/>
        </w:rPr>
        <w:t>os grupos de cada uno de los niveles de agregación.</w:t>
      </w:r>
    </w:p>
    <w:p w14:paraId="1F347A19" w14:textId="6FAABD6B" w:rsidR="009163D6" w:rsidRDefault="00F45F01" w:rsidP="00F50AD4">
      <w:pPr>
        <w:spacing w:before="240"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A834E9" w:rsidRPr="00A30DA9">
        <w:rPr>
          <w:rFonts w:ascii="Times New Roman" w:hAnsi="Times New Roman" w:cs="Times New Roman"/>
          <w:sz w:val="24"/>
          <w:szCs w:val="24"/>
        </w:rPr>
        <w:t xml:space="preserve">En </w:t>
      </w:r>
      <w:r w:rsidR="000E790A" w:rsidRPr="00A30DA9">
        <w:rPr>
          <w:rFonts w:ascii="Times New Roman" w:hAnsi="Times New Roman" w:cs="Times New Roman"/>
          <w:sz w:val="24"/>
          <w:szCs w:val="24"/>
        </w:rPr>
        <w:t xml:space="preserve">los </w:t>
      </w:r>
      <w:r w:rsidR="00A834E9" w:rsidRPr="00A30DA9">
        <w:rPr>
          <w:rFonts w:ascii="Times New Roman" w:hAnsi="Times New Roman" w:cs="Times New Roman"/>
          <w:sz w:val="24"/>
          <w:szCs w:val="24"/>
        </w:rPr>
        <w:t>primero</w:t>
      </w:r>
      <w:r w:rsidR="000E790A" w:rsidRPr="00A30DA9">
        <w:rPr>
          <w:rFonts w:ascii="Times New Roman" w:hAnsi="Times New Roman" w:cs="Times New Roman"/>
          <w:sz w:val="24"/>
          <w:szCs w:val="24"/>
        </w:rPr>
        <w:t>s</w:t>
      </w:r>
      <w:r w:rsidR="00A834E9" w:rsidRPr="00A30DA9">
        <w:rPr>
          <w:rFonts w:ascii="Times New Roman" w:hAnsi="Times New Roman" w:cs="Times New Roman"/>
          <w:sz w:val="24"/>
          <w:szCs w:val="24"/>
        </w:rPr>
        <w:t xml:space="preserve"> modelos</w:t>
      </w:r>
      <w:r w:rsidR="000E790A" w:rsidRPr="00A30DA9">
        <w:rPr>
          <w:rFonts w:ascii="Times New Roman" w:hAnsi="Times New Roman" w:cs="Times New Roman"/>
          <w:sz w:val="24"/>
          <w:szCs w:val="24"/>
        </w:rPr>
        <w:t xml:space="preserve"> (tablas 6 y 7)</w:t>
      </w:r>
      <w:r w:rsidR="00A834E9" w:rsidRPr="00A30DA9">
        <w:rPr>
          <w:rFonts w:ascii="Times New Roman" w:hAnsi="Times New Roman" w:cs="Times New Roman"/>
          <w:sz w:val="24"/>
          <w:szCs w:val="24"/>
        </w:rPr>
        <w:t xml:space="preserve"> se excluyeron las variables de ciclo electoral municipal (año previo a</w:t>
      </w:r>
      <w:r w:rsidR="00A834E9">
        <w:rPr>
          <w:rFonts w:ascii="Times New Roman" w:hAnsi="Times New Roman" w:cs="Times New Roman"/>
          <w:sz w:val="24"/>
          <w:szCs w:val="24"/>
        </w:rPr>
        <w:t xml:space="preserve"> elección municipal y año de elección municipal) debido a que, de incluirlas, la mitad de las observaciones dejaban de tomarse en cuenta. </w:t>
      </w:r>
      <w:r w:rsidR="008178ED">
        <w:rPr>
          <w:rFonts w:ascii="Times New Roman" w:hAnsi="Times New Roman" w:cs="Times New Roman"/>
          <w:sz w:val="24"/>
          <w:szCs w:val="24"/>
        </w:rPr>
        <w:t>Esto se debe a que la mayoría de los municipios de Oaxaca eligen a sus autoridades a través de usos y costumbres y de tomar en cuenta dichas variables, t</w:t>
      </w:r>
      <w:r w:rsidR="00542318">
        <w:rPr>
          <w:rFonts w:ascii="Times New Roman" w:hAnsi="Times New Roman" w:cs="Times New Roman"/>
          <w:sz w:val="24"/>
          <w:szCs w:val="24"/>
        </w:rPr>
        <w:t xml:space="preserve">ales </w:t>
      </w:r>
      <w:r w:rsidR="008178ED">
        <w:rPr>
          <w:rFonts w:ascii="Times New Roman" w:hAnsi="Times New Roman" w:cs="Times New Roman"/>
          <w:sz w:val="24"/>
          <w:szCs w:val="24"/>
        </w:rPr>
        <w:t xml:space="preserve">registros </w:t>
      </w:r>
      <w:r w:rsidR="00542318">
        <w:rPr>
          <w:rFonts w:ascii="Times New Roman" w:hAnsi="Times New Roman" w:cs="Times New Roman"/>
          <w:sz w:val="24"/>
          <w:szCs w:val="24"/>
        </w:rPr>
        <w:t>quedaban excluidos d</w:t>
      </w:r>
      <w:r w:rsidR="008178ED">
        <w:rPr>
          <w:rFonts w:ascii="Times New Roman" w:hAnsi="Times New Roman" w:cs="Times New Roman"/>
          <w:sz w:val="24"/>
          <w:szCs w:val="24"/>
        </w:rPr>
        <w:t>el modelo d</w:t>
      </w:r>
      <w:r w:rsidR="001B4DCA">
        <w:rPr>
          <w:rFonts w:ascii="Times New Roman" w:hAnsi="Times New Roman" w:cs="Times New Roman"/>
          <w:sz w:val="24"/>
          <w:szCs w:val="24"/>
        </w:rPr>
        <w:t>e</w:t>
      </w:r>
      <w:r w:rsidR="008178ED">
        <w:rPr>
          <w:rFonts w:ascii="Times New Roman" w:hAnsi="Times New Roman" w:cs="Times New Roman"/>
          <w:sz w:val="24"/>
          <w:szCs w:val="24"/>
        </w:rPr>
        <w:t xml:space="preserve"> regresión multinivel.</w:t>
      </w:r>
      <w:r w:rsidR="009163D6" w:rsidRPr="009163D6">
        <w:rPr>
          <w:rFonts w:ascii="Times New Roman" w:hAnsi="Times New Roman" w:cs="Times New Roman"/>
          <w:sz w:val="24"/>
          <w:szCs w:val="24"/>
        </w:rPr>
        <w:t xml:space="preserve"> </w:t>
      </w:r>
    </w:p>
    <w:p w14:paraId="3B3CD2CB" w14:textId="1E96259C" w:rsidR="003D4221" w:rsidRDefault="009163D6" w:rsidP="00F50AD4">
      <w:pPr>
        <w:spacing w:before="240" w:after="0" w:line="48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En dichas tablas</w:t>
      </w:r>
      <w:r w:rsidR="00F50AD4">
        <w:rPr>
          <w:rFonts w:ascii="Times New Roman" w:hAnsi="Times New Roman" w:cs="Times New Roman"/>
          <w:sz w:val="24"/>
          <w:szCs w:val="24"/>
        </w:rPr>
        <w:t>,</w:t>
      </w:r>
      <w:r>
        <w:rPr>
          <w:rFonts w:ascii="Times New Roman" w:hAnsi="Times New Roman" w:cs="Times New Roman"/>
          <w:sz w:val="24"/>
          <w:szCs w:val="24"/>
        </w:rPr>
        <w:t xml:space="preserve"> 6 y 7</w:t>
      </w:r>
      <w:r w:rsidR="00F50AD4">
        <w:rPr>
          <w:rFonts w:ascii="Times New Roman" w:hAnsi="Times New Roman" w:cs="Times New Roman"/>
          <w:sz w:val="24"/>
          <w:szCs w:val="24"/>
        </w:rPr>
        <w:t>,</w:t>
      </w:r>
      <w:r>
        <w:rPr>
          <w:rFonts w:ascii="Times New Roman" w:hAnsi="Times New Roman" w:cs="Times New Roman"/>
          <w:sz w:val="24"/>
          <w:szCs w:val="24"/>
        </w:rPr>
        <w:t xml:space="preserve"> el primer renglón se refiere al coeficiente</w:t>
      </w:r>
      <w:r w:rsidR="00F50AD4">
        <w:rPr>
          <w:rFonts w:ascii="Times New Roman" w:hAnsi="Times New Roman" w:cs="Times New Roman"/>
          <w:sz w:val="24"/>
          <w:szCs w:val="24"/>
        </w:rPr>
        <w:t xml:space="preserve"> de la estimación</w:t>
      </w:r>
      <w:r>
        <w:rPr>
          <w:rFonts w:ascii="Times New Roman" w:hAnsi="Times New Roman" w:cs="Times New Roman"/>
          <w:sz w:val="24"/>
          <w:szCs w:val="24"/>
        </w:rPr>
        <w:t>, el segundo al error estándar y el tercero al valor p de cada variable, es decir, la probabilidad de que el coeficiente sea 0 y, por tanto no tenga impacto sobre la variable dependiente. Asimismo se desagregan los resultados para el modelo general que no hace distinciones entre entidades federativas y los resultados particulares para cada una de las mismas.</w:t>
      </w:r>
      <w:r w:rsidR="008178ED">
        <w:rPr>
          <w:rFonts w:ascii="Times New Roman" w:hAnsi="Times New Roman" w:cs="Times New Roman"/>
          <w:sz w:val="24"/>
          <w:szCs w:val="24"/>
        </w:rPr>
        <w:t xml:space="preserve"> Más adelante</w:t>
      </w:r>
      <w:r w:rsidR="001B4DCA">
        <w:rPr>
          <w:rFonts w:ascii="Times New Roman" w:hAnsi="Times New Roman" w:cs="Times New Roman"/>
          <w:sz w:val="24"/>
          <w:szCs w:val="24"/>
        </w:rPr>
        <w:t xml:space="preserve"> (tablas 8 y 9)</w:t>
      </w:r>
      <w:r w:rsidR="008178ED">
        <w:rPr>
          <w:rFonts w:ascii="Times New Roman" w:hAnsi="Times New Roman" w:cs="Times New Roman"/>
          <w:sz w:val="24"/>
          <w:szCs w:val="24"/>
        </w:rPr>
        <w:t xml:space="preserve"> veremos los cambios en los resultados al incluir ambas variables y excluir del modelo a </w:t>
      </w:r>
      <w:r w:rsidR="001B4DCA">
        <w:rPr>
          <w:rFonts w:ascii="Times New Roman" w:hAnsi="Times New Roman" w:cs="Times New Roman"/>
          <w:sz w:val="24"/>
          <w:szCs w:val="24"/>
        </w:rPr>
        <w:t>los</w:t>
      </w:r>
      <w:r w:rsidR="008178ED">
        <w:rPr>
          <w:rFonts w:ascii="Times New Roman" w:hAnsi="Times New Roman" w:cs="Times New Roman"/>
          <w:sz w:val="24"/>
          <w:szCs w:val="24"/>
        </w:rPr>
        <w:t xml:space="preserve"> municipios</w:t>
      </w:r>
      <w:r w:rsidR="001B4DCA">
        <w:rPr>
          <w:rFonts w:ascii="Times New Roman" w:hAnsi="Times New Roman" w:cs="Times New Roman"/>
          <w:sz w:val="24"/>
          <w:szCs w:val="24"/>
        </w:rPr>
        <w:t xml:space="preserve"> de usos y costumbres</w:t>
      </w:r>
      <w:r w:rsidR="008178ED">
        <w:rPr>
          <w:rFonts w:ascii="Times New Roman" w:hAnsi="Times New Roman" w:cs="Times New Roman"/>
          <w:sz w:val="24"/>
          <w:szCs w:val="24"/>
        </w:rPr>
        <w:t>.</w:t>
      </w:r>
      <w:r w:rsidR="001B2D0A">
        <w:rPr>
          <w:rFonts w:ascii="Times New Roman" w:hAnsi="Times New Roman" w:cs="Times New Roman"/>
          <w:sz w:val="24"/>
          <w:szCs w:val="24"/>
        </w:rPr>
        <w:t xml:space="preserve"> Por su parte, en la tabla 5 se concentran los resultados generales obtenidos en cada modelo y se contrastan con las expectativas teóricas de la tesina.</w:t>
      </w:r>
      <w:r w:rsidR="008178ED">
        <w:rPr>
          <w:rFonts w:ascii="Times New Roman" w:hAnsi="Times New Roman" w:cs="Times New Roman"/>
          <w:sz w:val="24"/>
          <w:szCs w:val="24"/>
        </w:rPr>
        <w:t xml:space="preserve"> </w:t>
      </w:r>
    </w:p>
    <w:p w14:paraId="5B51D516" w14:textId="77777777" w:rsidR="003D4221" w:rsidRDefault="003D4221">
      <w:pPr>
        <w:rPr>
          <w:rFonts w:ascii="Times New Roman" w:hAnsi="Times New Roman" w:cs="Times New Roman"/>
          <w:sz w:val="24"/>
          <w:szCs w:val="24"/>
        </w:rPr>
      </w:pPr>
      <w:r>
        <w:rPr>
          <w:rFonts w:ascii="Times New Roman" w:hAnsi="Times New Roman" w:cs="Times New Roman"/>
          <w:sz w:val="24"/>
          <w:szCs w:val="24"/>
        </w:rPr>
        <w:br w:type="page"/>
      </w:r>
    </w:p>
    <w:p w14:paraId="276F9B0D" w14:textId="77777777" w:rsidR="00A341AB" w:rsidRPr="00F547EA" w:rsidRDefault="00A341AB" w:rsidP="00F547EA">
      <w:pPr>
        <w:spacing w:line="240" w:lineRule="auto"/>
        <w:jc w:val="center"/>
        <w:rPr>
          <w:rFonts w:ascii="Times New Roman" w:hAnsi="Times New Roman" w:cs="Times New Roman"/>
          <w:b/>
          <w:sz w:val="24"/>
          <w:szCs w:val="24"/>
        </w:rPr>
      </w:pPr>
      <w:r w:rsidRPr="00F547EA">
        <w:rPr>
          <w:rFonts w:ascii="Times New Roman" w:hAnsi="Times New Roman" w:cs="Times New Roman"/>
          <w:b/>
          <w:sz w:val="24"/>
          <w:szCs w:val="24"/>
        </w:rPr>
        <w:lastRenderedPageBreak/>
        <w:t>Tabla 5. Hipótesis y resultado de los modelos</w:t>
      </w:r>
      <w:r w:rsidR="00D348A5" w:rsidRPr="00F547EA">
        <w:rPr>
          <w:rFonts w:ascii="Times New Roman" w:hAnsi="Times New Roman" w:cs="Times New Roman"/>
          <w:b/>
          <w:sz w:val="24"/>
          <w:szCs w:val="24"/>
        </w:rPr>
        <w:t xml:space="preserve"> </w:t>
      </w:r>
    </w:p>
    <w:tbl>
      <w:tblPr>
        <w:tblStyle w:val="Listamedia2-nfasis3"/>
        <w:tblW w:w="3234" w:type="dxa"/>
        <w:tblLook w:val="04A0" w:firstRow="1" w:lastRow="0" w:firstColumn="1" w:lastColumn="0" w:noHBand="0" w:noVBand="1"/>
      </w:tblPr>
      <w:tblGrid>
        <w:gridCol w:w="1818"/>
        <w:gridCol w:w="999"/>
        <w:gridCol w:w="1035"/>
        <w:gridCol w:w="1279"/>
        <w:gridCol w:w="950"/>
        <w:gridCol w:w="1072"/>
        <w:gridCol w:w="1255"/>
      </w:tblGrid>
      <w:tr w:rsidR="00336523" w:rsidRPr="00336523" w14:paraId="0018E889" w14:textId="77777777" w:rsidTr="00153059">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818" w:type="dxa"/>
            <w:noWrap/>
          </w:tcPr>
          <w:p w14:paraId="7F9C0B60" w14:textId="77777777" w:rsidR="00BB2C55" w:rsidRPr="00F547EA" w:rsidRDefault="00BB2C55" w:rsidP="00086CB9">
            <w:pPr>
              <w:rPr>
                <w:rFonts w:ascii="Times New Roman" w:eastAsia="Times New Roman" w:hAnsi="Times New Roman" w:cs="Times New Roman"/>
                <w:color w:val="000000"/>
              </w:rPr>
            </w:pPr>
          </w:p>
        </w:tc>
        <w:tc>
          <w:tcPr>
            <w:tcW w:w="236" w:type="dxa"/>
            <w:noWrap/>
          </w:tcPr>
          <w:p w14:paraId="206D50EC" w14:textId="77777777" w:rsidR="00BB2C55" w:rsidRPr="00153059" w:rsidRDefault="00BB2C55" w:rsidP="0033652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rPr>
            </w:pPr>
            <w:r w:rsidRPr="00153059">
              <w:rPr>
                <w:rFonts w:ascii="Times New Roman" w:eastAsia="Times New Roman" w:hAnsi="Times New Roman" w:cs="Times New Roman"/>
                <w:color w:val="000000"/>
                <w:sz w:val="22"/>
                <w:szCs w:val="22"/>
              </w:rPr>
              <w:t>Votantes duros</w:t>
            </w:r>
          </w:p>
        </w:tc>
        <w:tc>
          <w:tcPr>
            <w:tcW w:w="236" w:type="dxa"/>
            <w:noWrap/>
          </w:tcPr>
          <w:p w14:paraId="1CC628B5" w14:textId="77777777" w:rsidR="00BB2C55" w:rsidRPr="00153059" w:rsidRDefault="00BB2C55" w:rsidP="0033652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rPr>
            </w:pPr>
            <w:r w:rsidRPr="00153059">
              <w:rPr>
                <w:rFonts w:ascii="Times New Roman" w:eastAsia="Times New Roman" w:hAnsi="Times New Roman" w:cs="Times New Roman"/>
                <w:color w:val="000000"/>
                <w:sz w:val="22"/>
                <w:szCs w:val="22"/>
              </w:rPr>
              <w:t>Votantes indecisos</w:t>
            </w:r>
          </w:p>
        </w:tc>
        <w:tc>
          <w:tcPr>
            <w:tcW w:w="236" w:type="dxa"/>
            <w:noWrap/>
          </w:tcPr>
          <w:p w14:paraId="7914595A" w14:textId="77777777" w:rsidR="00BB2C55" w:rsidRPr="00153059" w:rsidRDefault="00BB2C55" w:rsidP="0033652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rPr>
            </w:pPr>
            <w:r w:rsidRPr="00153059">
              <w:rPr>
                <w:rFonts w:ascii="Times New Roman" w:eastAsia="Times New Roman" w:hAnsi="Times New Roman" w:cs="Times New Roman"/>
                <w:color w:val="000000"/>
                <w:sz w:val="22"/>
                <w:szCs w:val="22"/>
              </w:rPr>
              <w:t>Poder de negociación</w:t>
            </w:r>
          </w:p>
        </w:tc>
        <w:tc>
          <w:tcPr>
            <w:tcW w:w="236" w:type="dxa"/>
            <w:noWrap/>
          </w:tcPr>
          <w:p w14:paraId="1CB4DB57" w14:textId="5F00F7BE" w:rsidR="00BB2C55" w:rsidRPr="00153059" w:rsidRDefault="00336523" w:rsidP="0033652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rPr>
            </w:pPr>
            <w:r w:rsidRPr="00153059">
              <w:rPr>
                <w:rFonts w:ascii="Times New Roman" w:eastAsia="Times New Roman" w:hAnsi="Times New Roman" w:cs="Times New Roman"/>
                <w:color w:val="000000"/>
                <w:sz w:val="22"/>
                <w:szCs w:val="22"/>
              </w:rPr>
              <w:t>Modelo 1:</w:t>
            </w:r>
            <w:r w:rsidR="00BB2C55" w:rsidRPr="00153059">
              <w:rPr>
                <w:rFonts w:ascii="Times New Roman" w:eastAsia="Times New Roman" w:hAnsi="Times New Roman" w:cs="Times New Roman"/>
                <w:color w:val="000000"/>
                <w:sz w:val="22"/>
                <w:szCs w:val="22"/>
              </w:rPr>
              <w:t>monto per cápita</w:t>
            </w:r>
          </w:p>
        </w:tc>
        <w:tc>
          <w:tcPr>
            <w:tcW w:w="236" w:type="dxa"/>
            <w:noWrap/>
          </w:tcPr>
          <w:p w14:paraId="614F6601" w14:textId="08362EF6" w:rsidR="00BB2C55" w:rsidRPr="00153059" w:rsidRDefault="00336523" w:rsidP="0033652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rPr>
            </w:pPr>
            <w:r w:rsidRPr="00153059">
              <w:rPr>
                <w:rFonts w:ascii="Times New Roman" w:eastAsia="Times New Roman" w:hAnsi="Times New Roman" w:cs="Times New Roman"/>
                <w:color w:val="000000"/>
                <w:sz w:val="22"/>
                <w:szCs w:val="22"/>
              </w:rPr>
              <w:t>Modelo 2:</w:t>
            </w:r>
            <w:r w:rsidR="00BB2C55" w:rsidRPr="00153059">
              <w:rPr>
                <w:rFonts w:ascii="Times New Roman" w:eastAsia="Times New Roman" w:hAnsi="Times New Roman" w:cs="Times New Roman"/>
                <w:color w:val="000000"/>
                <w:sz w:val="22"/>
                <w:szCs w:val="22"/>
              </w:rPr>
              <w:t>número de proyectos</w:t>
            </w:r>
          </w:p>
        </w:tc>
        <w:tc>
          <w:tcPr>
            <w:tcW w:w="236" w:type="dxa"/>
          </w:tcPr>
          <w:p w14:paraId="3E09268E" w14:textId="4826BE1F" w:rsidR="00BB2C55" w:rsidRPr="00153059" w:rsidRDefault="00B744D0" w:rsidP="0033652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rPr>
            </w:pPr>
            <w:r w:rsidRPr="00153059">
              <w:rPr>
                <w:rFonts w:ascii="Times New Roman" w:eastAsia="Times New Roman" w:hAnsi="Times New Roman" w:cs="Times New Roman"/>
                <w:color w:val="000000"/>
                <w:sz w:val="22"/>
                <w:szCs w:val="22"/>
              </w:rPr>
              <w:t>Oaxaca # de proyectos*-</w:t>
            </w:r>
          </w:p>
        </w:tc>
      </w:tr>
      <w:tr w:rsidR="00336523" w:rsidRPr="00F547EA" w14:paraId="3C34FA49" w14:textId="77777777" w:rsidTr="0015305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18" w:type="dxa"/>
            <w:noWrap/>
            <w:vAlign w:val="center"/>
          </w:tcPr>
          <w:p w14:paraId="569D862B" w14:textId="77777777" w:rsidR="00BB2C55" w:rsidRPr="00153059" w:rsidRDefault="00BB2C55" w:rsidP="00153059">
            <w:pPr>
              <w:spacing w:line="276" w:lineRule="auto"/>
              <w:jc w:val="center"/>
              <w:rPr>
                <w:rFonts w:ascii="Times New Roman" w:eastAsia="Times New Roman" w:hAnsi="Times New Roman" w:cs="Times New Roman"/>
                <w:color w:val="000000"/>
              </w:rPr>
            </w:pPr>
            <w:r w:rsidRPr="00153059">
              <w:rPr>
                <w:rFonts w:ascii="Times New Roman" w:eastAsia="Times New Roman" w:hAnsi="Times New Roman" w:cs="Times New Roman"/>
                <w:color w:val="000000"/>
              </w:rPr>
              <w:t>Margen de victoria</w:t>
            </w:r>
          </w:p>
        </w:tc>
        <w:tc>
          <w:tcPr>
            <w:tcW w:w="236" w:type="dxa"/>
            <w:noWrap/>
            <w:vAlign w:val="center"/>
          </w:tcPr>
          <w:p w14:paraId="7430F483" w14:textId="77777777" w:rsidR="00BB2C55" w:rsidRPr="00F547EA" w:rsidRDefault="00BB2C55" w:rsidP="0015305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F547EA">
              <w:rPr>
                <w:rFonts w:ascii="Times New Roman" w:eastAsia="Times New Roman" w:hAnsi="Times New Roman" w:cs="Times New Roman"/>
                <w:color w:val="000000"/>
              </w:rPr>
              <w:t>+</w:t>
            </w:r>
          </w:p>
        </w:tc>
        <w:tc>
          <w:tcPr>
            <w:tcW w:w="236" w:type="dxa"/>
            <w:noWrap/>
            <w:vAlign w:val="center"/>
          </w:tcPr>
          <w:p w14:paraId="15214BB7" w14:textId="77777777" w:rsidR="00BB2C55" w:rsidRPr="00F547EA" w:rsidRDefault="00BB2C55" w:rsidP="0015305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F547EA">
              <w:rPr>
                <w:rFonts w:ascii="Times New Roman" w:eastAsia="Times New Roman" w:hAnsi="Times New Roman" w:cs="Times New Roman"/>
                <w:color w:val="000000"/>
              </w:rPr>
              <w:t>(-)</w:t>
            </w:r>
          </w:p>
        </w:tc>
        <w:tc>
          <w:tcPr>
            <w:tcW w:w="236" w:type="dxa"/>
            <w:noWrap/>
            <w:vAlign w:val="center"/>
          </w:tcPr>
          <w:p w14:paraId="3962645A" w14:textId="77777777" w:rsidR="00BB2C55" w:rsidRPr="00F547EA" w:rsidRDefault="00BB2C55" w:rsidP="0015305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236" w:type="dxa"/>
            <w:noWrap/>
            <w:vAlign w:val="center"/>
          </w:tcPr>
          <w:p w14:paraId="0EB0A55E" w14:textId="77777777" w:rsidR="00BB2C55" w:rsidRPr="00F547EA" w:rsidRDefault="00BB2C55" w:rsidP="0015305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236" w:type="dxa"/>
            <w:noWrap/>
            <w:vAlign w:val="center"/>
          </w:tcPr>
          <w:p w14:paraId="29C4C45E" w14:textId="77777777" w:rsidR="00BB2C55" w:rsidRPr="00F547EA" w:rsidRDefault="00334545" w:rsidP="0015305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236" w:type="dxa"/>
            <w:vAlign w:val="center"/>
          </w:tcPr>
          <w:p w14:paraId="7CAE0CFB" w14:textId="77777777" w:rsidR="00BB2C55" w:rsidRPr="00F547EA" w:rsidRDefault="00BB2C55" w:rsidP="0015305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336523" w:rsidRPr="00F547EA" w14:paraId="1D9C962F" w14:textId="77777777" w:rsidTr="00153059">
        <w:trPr>
          <w:trHeight w:val="300"/>
        </w:trPr>
        <w:tc>
          <w:tcPr>
            <w:cnfStyle w:val="001000000000" w:firstRow="0" w:lastRow="0" w:firstColumn="1" w:lastColumn="0" w:oddVBand="0" w:evenVBand="0" w:oddHBand="0" w:evenHBand="0" w:firstRowFirstColumn="0" w:firstRowLastColumn="0" w:lastRowFirstColumn="0" w:lastRowLastColumn="0"/>
            <w:tcW w:w="1818" w:type="dxa"/>
            <w:noWrap/>
            <w:vAlign w:val="center"/>
          </w:tcPr>
          <w:p w14:paraId="57729B29" w14:textId="77777777" w:rsidR="00BB2C55" w:rsidRPr="00153059" w:rsidRDefault="00BB2C55" w:rsidP="00153059">
            <w:pPr>
              <w:spacing w:line="276" w:lineRule="auto"/>
              <w:jc w:val="center"/>
              <w:rPr>
                <w:rFonts w:ascii="Times New Roman" w:eastAsia="Times New Roman" w:hAnsi="Times New Roman" w:cs="Times New Roman"/>
                <w:color w:val="000000"/>
              </w:rPr>
            </w:pPr>
            <w:r w:rsidRPr="00153059">
              <w:rPr>
                <w:rFonts w:ascii="Times New Roman" w:eastAsia="Times New Roman" w:hAnsi="Times New Roman" w:cs="Times New Roman"/>
                <w:color w:val="000000"/>
              </w:rPr>
              <w:t>Mismo partido en el poder</w:t>
            </w:r>
          </w:p>
        </w:tc>
        <w:tc>
          <w:tcPr>
            <w:tcW w:w="236" w:type="dxa"/>
            <w:noWrap/>
            <w:vAlign w:val="center"/>
          </w:tcPr>
          <w:p w14:paraId="62B74929" w14:textId="77777777" w:rsidR="00BB2C55" w:rsidRPr="00F547EA" w:rsidRDefault="00BB2C55" w:rsidP="0015305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547EA">
              <w:rPr>
                <w:rFonts w:ascii="Times New Roman" w:eastAsia="Times New Roman" w:hAnsi="Times New Roman" w:cs="Times New Roman"/>
                <w:color w:val="000000"/>
              </w:rPr>
              <w:t>+</w:t>
            </w:r>
          </w:p>
        </w:tc>
        <w:tc>
          <w:tcPr>
            <w:tcW w:w="236" w:type="dxa"/>
            <w:noWrap/>
            <w:vAlign w:val="center"/>
          </w:tcPr>
          <w:p w14:paraId="2C7E9EDC" w14:textId="77777777" w:rsidR="00BB2C55" w:rsidRPr="00F547EA" w:rsidRDefault="00BB2C55" w:rsidP="0015305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547EA">
              <w:rPr>
                <w:rFonts w:ascii="Times New Roman" w:eastAsia="Times New Roman" w:hAnsi="Times New Roman" w:cs="Times New Roman"/>
                <w:color w:val="000000"/>
              </w:rPr>
              <w:t>(-)</w:t>
            </w:r>
          </w:p>
        </w:tc>
        <w:tc>
          <w:tcPr>
            <w:tcW w:w="236" w:type="dxa"/>
            <w:noWrap/>
            <w:vAlign w:val="center"/>
          </w:tcPr>
          <w:p w14:paraId="10A12628" w14:textId="77777777" w:rsidR="00BB2C55" w:rsidRPr="00F547EA" w:rsidRDefault="00BB2C55" w:rsidP="0015305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236" w:type="dxa"/>
            <w:noWrap/>
            <w:vAlign w:val="center"/>
          </w:tcPr>
          <w:p w14:paraId="114183E8" w14:textId="77777777" w:rsidR="00BB2C55" w:rsidRPr="00F547EA" w:rsidRDefault="00BB2C55" w:rsidP="0015305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236" w:type="dxa"/>
            <w:noWrap/>
            <w:vAlign w:val="center"/>
          </w:tcPr>
          <w:p w14:paraId="196E17AD" w14:textId="77777777" w:rsidR="00BB2C55" w:rsidRPr="00F547EA" w:rsidRDefault="00BB2C55" w:rsidP="0015305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236" w:type="dxa"/>
            <w:vAlign w:val="center"/>
          </w:tcPr>
          <w:p w14:paraId="2F8F0AC3" w14:textId="77777777" w:rsidR="00BB2C55" w:rsidRPr="00F547EA" w:rsidRDefault="00BB2C55" w:rsidP="0015305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r>
      <w:tr w:rsidR="00336523" w:rsidRPr="00F547EA" w14:paraId="6CD7DE23" w14:textId="77777777" w:rsidTr="0015305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18" w:type="dxa"/>
            <w:noWrap/>
            <w:vAlign w:val="center"/>
          </w:tcPr>
          <w:p w14:paraId="1B3A5D85" w14:textId="77777777" w:rsidR="00BB2C55" w:rsidRPr="00153059" w:rsidRDefault="00BB2C55" w:rsidP="00153059">
            <w:pPr>
              <w:spacing w:line="276" w:lineRule="auto"/>
              <w:jc w:val="center"/>
              <w:rPr>
                <w:rFonts w:ascii="Times New Roman" w:eastAsia="Times New Roman" w:hAnsi="Times New Roman" w:cs="Times New Roman"/>
                <w:color w:val="000000"/>
              </w:rPr>
            </w:pPr>
            <w:r w:rsidRPr="00153059">
              <w:rPr>
                <w:rFonts w:ascii="Times New Roman" w:eastAsia="Times New Roman" w:hAnsi="Times New Roman" w:cs="Times New Roman"/>
                <w:color w:val="000000"/>
              </w:rPr>
              <w:t>IDH</w:t>
            </w:r>
          </w:p>
        </w:tc>
        <w:tc>
          <w:tcPr>
            <w:tcW w:w="236" w:type="dxa"/>
            <w:noWrap/>
            <w:vAlign w:val="center"/>
          </w:tcPr>
          <w:p w14:paraId="292285FE" w14:textId="77777777" w:rsidR="00BB2C55" w:rsidRPr="00F547EA" w:rsidRDefault="00BB2C55" w:rsidP="0015305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236" w:type="dxa"/>
            <w:noWrap/>
            <w:vAlign w:val="center"/>
          </w:tcPr>
          <w:p w14:paraId="2C7B3079" w14:textId="77777777" w:rsidR="00BB2C55" w:rsidRPr="00F547EA" w:rsidRDefault="00BB2C55" w:rsidP="0015305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236" w:type="dxa"/>
            <w:noWrap/>
            <w:vAlign w:val="center"/>
          </w:tcPr>
          <w:p w14:paraId="0CFF6B93" w14:textId="77777777" w:rsidR="00BB2C55" w:rsidRPr="00F547EA" w:rsidRDefault="00BB2C55" w:rsidP="0015305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F547EA">
              <w:rPr>
                <w:rFonts w:ascii="Times New Roman" w:eastAsia="Times New Roman" w:hAnsi="Times New Roman" w:cs="Times New Roman"/>
                <w:color w:val="000000"/>
              </w:rPr>
              <w:t>+</w:t>
            </w:r>
          </w:p>
        </w:tc>
        <w:tc>
          <w:tcPr>
            <w:tcW w:w="236" w:type="dxa"/>
            <w:noWrap/>
            <w:vAlign w:val="center"/>
          </w:tcPr>
          <w:p w14:paraId="3DCEA32B" w14:textId="77777777" w:rsidR="00BB2C55" w:rsidRPr="00F547EA" w:rsidRDefault="00BB2C55" w:rsidP="0015305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236" w:type="dxa"/>
            <w:noWrap/>
            <w:vAlign w:val="center"/>
          </w:tcPr>
          <w:p w14:paraId="3B568E60" w14:textId="77777777" w:rsidR="00BB2C55" w:rsidRPr="00F547EA" w:rsidRDefault="00334545" w:rsidP="0015305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236" w:type="dxa"/>
            <w:vAlign w:val="center"/>
          </w:tcPr>
          <w:p w14:paraId="02A0C5FB" w14:textId="77777777" w:rsidR="00BB2C55" w:rsidRPr="00F547EA" w:rsidRDefault="00BB2C55" w:rsidP="0015305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336523" w:rsidRPr="00F547EA" w14:paraId="1717D6E9" w14:textId="77777777" w:rsidTr="00153059">
        <w:trPr>
          <w:trHeight w:val="300"/>
        </w:trPr>
        <w:tc>
          <w:tcPr>
            <w:cnfStyle w:val="001000000000" w:firstRow="0" w:lastRow="0" w:firstColumn="1" w:lastColumn="0" w:oddVBand="0" w:evenVBand="0" w:oddHBand="0" w:evenHBand="0" w:firstRowFirstColumn="0" w:firstRowLastColumn="0" w:lastRowFirstColumn="0" w:lastRowLastColumn="0"/>
            <w:tcW w:w="1818" w:type="dxa"/>
            <w:noWrap/>
            <w:vAlign w:val="center"/>
          </w:tcPr>
          <w:p w14:paraId="3071C826" w14:textId="77777777" w:rsidR="00BB2C55" w:rsidRPr="00153059" w:rsidRDefault="00BB2C55" w:rsidP="00153059">
            <w:pPr>
              <w:spacing w:line="276" w:lineRule="auto"/>
              <w:jc w:val="center"/>
              <w:rPr>
                <w:rFonts w:ascii="Times New Roman" w:eastAsia="Times New Roman" w:hAnsi="Times New Roman" w:cs="Times New Roman"/>
                <w:color w:val="000000"/>
              </w:rPr>
            </w:pPr>
            <w:r w:rsidRPr="00153059">
              <w:rPr>
                <w:rFonts w:ascii="Times New Roman" w:eastAsia="Times New Roman" w:hAnsi="Times New Roman" w:cs="Times New Roman"/>
                <w:color w:val="000000"/>
              </w:rPr>
              <w:t>Cambio en IDH</w:t>
            </w:r>
          </w:p>
        </w:tc>
        <w:tc>
          <w:tcPr>
            <w:tcW w:w="236" w:type="dxa"/>
            <w:noWrap/>
            <w:vAlign w:val="center"/>
          </w:tcPr>
          <w:p w14:paraId="181825B6" w14:textId="77777777" w:rsidR="00BB2C55" w:rsidRPr="00F547EA" w:rsidRDefault="00BB2C55" w:rsidP="0015305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236" w:type="dxa"/>
            <w:noWrap/>
            <w:vAlign w:val="center"/>
          </w:tcPr>
          <w:p w14:paraId="716B6AAA" w14:textId="77777777" w:rsidR="00BB2C55" w:rsidRPr="00F547EA" w:rsidRDefault="00BB2C55" w:rsidP="0015305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236" w:type="dxa"/>
            <w:noWrap/>
            <w:vAlign w:val="center"/>
          </w:tcPr>
          <w:p w14:paraId="40E7FAC3" w14:textId="77777777" w:rsidR="00BB2C55" w:rsidRPr="00F547EA" w:rsidRDefault="00376AB1" w:rsidP="0015305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236" w:type="dxa"/>
            <w:noWrap/>
            <w:vAlign w:val="center"/>
          </w:tcPr>
          <w:p w14:paraId="1E8BE02F" w14:textId="77777777" w:rsidR="00BB2C55" w:rsidRPr="00F547EA" w:rsidRDefault="00BB2C55" w:rsidP="0015305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236" w:type="dxa"/>
            <w:noWrap/>
            <w:vAlign w:val="center"/>
          </w:tcPr>
          <w:p w14:paraId="772440A4" w14:textId="77777777" w:rsidR="00BB2C55" w:rsidRPr="00F547EA" w:rsidRDefault="00334545" w:rsidP="0015305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w:t>
            </w:r>
            <w:r w:rsidR="00EB38A6">
              <w:rPr>
                <w:rFonts w:ascii="Times New Roman" w:eastAsia="Times New Roman" w:hAnsi="Times New Roman" w:cs="Times New Roman"/>
                <w:color w:val="000000"/>
              </w:rPr>
              <w:t>*</w:t>
            </w:r>
          </w:p>
        </w:tc>
        <w:tc>
          <w:tcPr>
            <w:tcW w:w="236" w:type="dxa"/>
            <w:vAlign w:val="center"/>
          </w:tcPr>
          <w:p w14:paraId="44D0BE0D" w14:textId="77777777" w:rsidR="00BB2C55" w:rsidRPr="00F547EA" w:rsidRDefault="00BB2C55" w:rsidP="0015305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r>
      <w:tr w:rsidR="00336523" w:rsidRPr="00F547EA" w14:paraId="4759C034" w14:textId="77777777" w:rsidTr="0015305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18" w:type="dxa"/>
            <w:noWrap/>
            <w:vAlign w:val="center"/>
          </w:tcPr>
          <w:p w14:paraId="089C687D" w14:textId="77777777" w:rsidR="00BB2C55" w:rsidRPr="00153059" w:rsidRDefault="00BB2C55" w:rsidP="00153059">
            <w:pPr>
              <w:spacing w:line="276" w:lineRule="auto"/>
              <w:jc w:val="center"/>
              <w:rPr>
                <w:rFonts w:ascii="Times New Roman" w:eastAsia="Times New Roman" w:hAnsi="Times New Roman" w:cs="Times New Roman"/>
                <w:color w:val="000000"/>
              </w:rPr>
            </w:pPr>
            <w:r w:rsidRPr="00153059">
              <w:rPr>
                <w:rFonts w:ascii="Times New Roman" w:eastAsia="Times New Roman" w:hAnsi="Times New Roman" w:cs="Times New Roman"/>
                <w:color w:val="000000"/>
              </w:rPr>
              <w:t>Año</w:t>
            </w:r>
          </w:p>
        </w:tc>
        <w:tc>
          <w:tcPr>
            <w:tcW w:w="236" w:type="dxa"/>
            <w:noWrap/>
            <w:vAlign w:val="center"/>
          </w:tcPr>
          <w:p w14:paraId="73612D98" w14:textId="77777777" w:rsidR="00BB2C55" w:rsidRPr="00F547EA" w:rsidRDefault="00BB2C55" w:rsidP="0015305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F547EA">
              <w:rPr>
                <w:rFonts w:ascii="Times New Roman" w:eastAsia="Times New Roman" w:hAnsi="Times New Roman" w:cs="Times New Roman"/>
                <w:color w:val="000000"/>
              </w:rPr>
              <w:t>+</w:t>
            </w:r>
          </w:p>
        </w:tc>
        <w:tc>
          <w:tcPr>
            <w:tcW w:w="236" w:type="dxa"/>
            <w:noWrap/>
            <w:vAlign w:val="center"/>
          </w:tcPr>
          <w:p w14:paraId="721F042C" w14:textId="77777777" w:rsidR="00BB2C55" w:rsidRPr="00F547EA" w:rsidRDefault="00BB2C55" w:rsidP="0015305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F547EA">
              <w:rPr>
                <w:rFonts w:ascii="Times New Roman" w:eastAsia="Times New Roman" w:hAnsi="Times New Roman" w:cs="Times New Roman"/>
                <w:color w:val="000000"/>
              </w:rPr>
              <w:t>+</w:t>
            </w:r>
          </w:p>
        </w:tc>
        <w:tc>
          <w:tcPr>
            <w:tcW w:w="236" w:type="dxa"/>
            <w:noWrap/>
            <w:vAlign w:val="center"/>
          </w:tcPr>
          <w:p w14:paraId="2AEFF1D0" w14:textId="77777777" w:rsidR="00BB2C55" w:rsidRPr="00F547EA" w:rsidRDefault="00BB2C55" w:rsidP="0015305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F547EA">
              <w:rPr>
                <w:rFonts w:ascii="Times New Roman" w:eastAsia="Times New Roman" w:hAnsi="Times New Roman" w:cs="Times New Roman"/>
                <w:color w:val="000000"/>
              </w:rPr>
              <w:t>+</w:t>
            </w:r>
          </w:p>
        </w:tc>
        <w:tc>
          <w:tcPr>
            <w:tcW w:w="236" w:type="dxa"/>
            <w:noWrap/>
            <w:vAlign w:val="center"/>
          </w:tcPr>
          <w:p w14:paraId="521C8CB5" w14:textId="77777777" w:rsidR="00BB2C55" w:rsidRPr="00F547EA" w:rsidRDefault="00BB2C55" w:rsidP="0015305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F547EA">
              <w:rPr>
                <w:rFonts w:ascii="Times New Roman" w:eastAsia="Times New Roman" w:hAnsi="Times New Roman" w:cs="Times New Roman"/>
                <w:color w:val="000000"/>
              </w:rPr>
              <w:t>+</w:t>
            </w:r>
          </w:p>
        </w:tc>
        <w:tc>
          <w:tcPr>
            <w:tcW w:w="236" w:type="dxa"/>
            <w:noWrap/>
            <w:vAlign w:val="center"/>
          </w:tcPr>
          <w:p w14:paraId="2C4ED4EC" w14:textId="77777777" w:rsidR="00BB2C55" w:rsidRPr="00F547EA" w:rsidRDefault="00BB2C55" w:rsidP="0015305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F547EA">
              <w:rPr>
                <w:rFonts w:ascii="Times New Roman" w:eastAsia="Times New Roman" w:hAnsi="Times New Roman" w:cs="Times New Roman"/>
                <w:color w:val="000000"/>
              </w:rPr>
              <w:t>+</w:t>
            </w:r>
          </w:p>
        </w:tc>
        <w:tc>
          <w:tcPr>
            <w:tcW w:w="236" w:type="dxa"/>
            <w:vAlign w:val="center"/>
          </w:tcPr>
          <w:p w14:paraId="674B1B0D" w14:textId="77777777" w:rsidR="00BB2C55" w:rsidRPr="00F547EA" w:rsidRDefault="00BB2C55" w:rsidP="0015305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336523" w:rsidRPr="00F547EA" w14:paraId="5F3F5665" w14:textId="77777777" w:rsidTr="00153059">
        <w:trPr>
          <w:trHeight w:val="300"/>
        </w:trPr>
        <w:tc>
          <w:tcPr>
            <w:cnfStyle w:val="001000000000" w:firstRow="0" w:lastRow="0" w:firstColumn="1" w:lastColumn="0" w:oddVBand="0" w:evenVBand="0" w:oddHBand="0" w:evenHBand="0" w:firstRowFirstColumn="0" w:firstRowLastColumn="0" w:lastRowFirstColumn="0" w:lastRowLastColumn="0"/>
            <w:tcW w:w="1818" w:type="dxa"/>
            <w:noWrap/>
            <w:vAlign w:val="center"/>
          </w:tcPr>
          <w:p w14:paraId="592F55BE" w14:textId="77777777" w:rsidR="00BB2C55" w:rsidRPr="00153059" w:rsidRDefault="00BB2C55" w:rsidP="00153059">
            <w:pPr>
              <w:spacing w:line="276" w:lineRule="auto"/>
              <w:jc w:val="center"/>
              <w:rPr>
                <w:rFonts w:ascii="Times New Roman" w:eastAsia="Times New Roman" w:hAnsi="Times New Roman" w:cs="Times New Roman"/>
                <w:color w:val="000000"/>
              </w:rPr>
            </w:pPr>
            <w:r w:rsidRPr="00153059">
              <w:rPr>
                <w:rFonts w:ascii="Times New Roman" w:eastAsia="Times New Roman" w:hAnsi="Times New Roman" w:cs="Times New Roman"/>
                <w:color w:val="000000"/>
              </w:rPr>
              <w:t>Población</w:t>
            </w:r>
          </w:p>
        </w:tc>
        <w:tc>
          <w:tcPr>
            <w:tcW w:w="236" w:type="dxa"/>
            <w:noWrap/>
            <w:vAlign w:val="center"/>
          </w:tcPr>
          <w:p w14:paraId="07F94579" w14:textId="77777777" w:rsidR="00BB2C55" w:rsidRPr="00F547EA" w:rsidRDefault="00BB2C55" w:rsidP="0015305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236" w:type="dxa"/>
            <w:noWrap/>
            <w:vAlign w:val="center"/>
          </w:tcPr>
          <w:p w14:paraId="00EAF892" w14:textId="77777777" w:rsidR="00BB2C55" w:rsidRPr="00F547EA" w:rsidRDefault="00BB2C55" w:rsidP="0015305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236" w:type="dxa"/>
            <w:noWrap/>
            <w:vAlign w:val="center"/>
          </w:tcPr>
          <w:p w14:paraId="514EA2B3" w14:textId="77777777" w:rsidR="00BB2C55" w:rsidRPr="00F547EA" w:rsidRDefault="00BB2C55" w:rsidP="0015305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547EA">
              <w:rPr>
                <w:rFonts w:ascii="Times New Roman" w:eastAsia="Times New Roman" w:hAnsi="Times New Roman" w:cs="Times New Roman"/>
                <w:color w:val="000000"/>
              </w:rPr>
              <w:t>+</w:t>
            </w:r>
          </w:p>
        </w:tc>
        <w:tc>
          <w:tcPr>
            <w:tcW w:w="236" w:type="dxa"/>
            <w:noWrap/>
            <w:vAlign w:val="center"/>
          </w:tcPr>
          <w:p w14:paraId="50C48691" w14:textId="77777777" w:rsidR="00BB2C55" w:rsidRPr="00F547EA" w:rsidRDefault="00BB2C55" w:rsidP="0015305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236" w:type="dxa"/>
            <w:noWrap/>
            <w:vAlign w:val="center"/>
          </w:tcPr>
          <w:p w14:paraId="1E6B504E" w14:textId="77777777" w:rsidR="00BB2C55" w:rsidRPr="00F547EA" w:rsidRDefault="00BB2C55" w:rsidP="0015305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236" w:type="dxa"/>
            <w:vAlign w:val="center"/>
          </w:tcPr>
          <w:p w14:paraId="15F47BD5" w14:textId="77777777" w:rsidR="00BB2C55" w:rsidRPr="00F547EA" w:rsidRDefault="00BB2C55" w:rsidP="0015305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336523" w:rsidRPr="00F547EA" w14:paraId="2E0CD81C" w14:textId="77777777" w:rsidTr="0015305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18" w:type="dxa"/>
            <w:noWrap/>
            <w:vAlign w:val="center"/>
          </w:tcPr>
          <w:p w14:paraId="1BE24D7D" w14:textId="77777777" w:rsidR="00BB2C55" w:rsidRPr="00153059" w:rsidRDefault="00BB2C55" w:rsidP="00153059">
            <w:pPr>
              <w:spacing w:line="276" w:lineRule="auto"/>
              <w:jc w:val="center"/>
              <w:rPr>
                <w:rFonts w:ascii="Times New Roman" w:eastAsia="Times New Roman" w:hAnsi="Times New Roman" w:cs="Times New Roman"/>
                <w:color w:val="000000"/>
              </w:rPr>
            </w:pPr>
            <w:r w:rsidRPr="00153059">
              <w:rPr>
                <w:rFonts w:ascii="Times New Roman" w:eastAsia="Times New Roman" w:hAnsi="Times New Roman" w:cs="Times New Roman"/>
                <w:color w:val="000000"/>
              </w:rPr>
              <w:t>Año previo a elección municipal</w:t>
            </w:r>
          </w:p>
        </w:tc>
        <w:tc>
          <w:tcPr>
            <w:tcW w:w="236" w:type="dxa"/>
            <w:noWrap/>
            <w:vAlign w:val="center"/>
          </w:tcPr>
          <w:p w14:paraId="53C3845C" w14:textId="77777777" w:rsidR="00BB2C55" w:rsidRPr="00F547EA" w:rsidRDefault="00BB2C55" w:rsidP="0015305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F547EA">
              <w:rPr>
                <w:rFonts w:ascii="Times New Roman" w:eastAsia="Times New Roman" w:hAnsi="Times New Roman" w:cs="Times New Roman"/>
                <w:color w:val="000000"/>
              </w:rPr>
              <w:t>(-)</w:t>
            </w:r>
          </w:p>
        </w:tc>
        <w:tc>
          <w:tcPr>
            <w:tcW w:w="236" w:type="dxa"/>
            <w:noWrap/>
            <w:vAlign w:val="center"/>
          </w:tcPr>
          <w:p w14:paraId="0EB98FFF" w14:textId="77777777" w:rsidR="00BB2C55" w:rsidRPr="00F547EA" w:rsidRDefault="00BB2C55" w:rsidP="0015305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F547EA">
              <w:rPr>
                <w:rFonts w:ascii="Times New Roman" w:eastAsia="Times New Roman" w:hAnsi="Times New Roman" w:cs="Times New Roman"/>
                <w:color w:val="000000"/>
              </w:rPr>
              <w:t>+</w:t>
            </w:r>
          </w:p>
        </w:tc>
        <w:tc>
          <w:tcPr>
            <w:tcW w:w="236" w:type="dxa"/>
            <w:noWrap/>
            <w:vAlign w:val="center"/>
          </w:tcPr>
          <w:p w14:paraId="7FD5E38D" w14:textId="77777777" w:rsidR="00BB2C55" w:rsidRPr="00F547EA" w:rsidRDefault="00BB2C55" w:rsidP="0015305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F547EA">
              <w:rPr>
                <w:rFonts w:ascii="Times New Roman" w:eastAsia="Times New Roman" w:hAnsi="Times New Roman" w:cs="Times New Roman"/>
                <w:color w:val="000000"/>
              </w:rPr>
              <w:t>+</w:t>
            </w:r>
          </w:p>
        </w:tc>
        <w:tc>
          <w:tcPr>
            <w:tcW w:w="236" w:type="dxa"/>
            <w:noWrap/>
            <w:vAlign w:val="center"/>
          </w:tcPr>
          <w:p w14:paraId="4B87A816" w14:textId="77777777" w:rsidR="00BB2C55" w:rsidRPr="00F547EA" w:rsidRDefault="00BB2C55" w:rsidP="0015305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236" w:type="dxa"/>
            <w:noWrap/>
            <w:vAlign w:val="center"/>
          </w:tcPr>
          <w:p w14:paraId="2E48243E" w14:textId="77777777" w:rsidR="00BB2C55" w:rsidRPr="00F547EA" w:rsidRDefault="00BB2C55" w:rsidP="0015305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236" w:type="dxa"/>
            <w:vAlign w:val="center"/>
          </w:tcPr>
          <w:p w14:paraId="20A3269B" w14:textId="77777777" w:rsidR="00BB2C55" w:rsidRDefault="00BB2C55" w:rsidP="0015305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r>
      <w:tr w:rsidR="00336523" w:rsidRPr="00A276AA" w14:paraId="440D935D" w14:textId="77777777" w:rsidTr="00153059">
        <w:trPr>
          <w:trHeight w:val="300"/>
        </w:trPr>
        <w:tc>
          <w:tcPr>
            <w:cnfStyle w:val="001000000000" w:firstRow="0" w:lastRow="0" w:firstColumn="1" w:lastColumn="0" w:oddVBand="0" w:evenVBand="0" w:oddHBand="0" w:evenHBand="0" w:firstRowFirstColumn="0" w:firstRowLastColumn="0" w:lastRowFirstColumn="0" w:lastRowLastColumn="0"/>
            <w:tcW w:w="1818" w:type="dxa"/>
            <w:noWrap/>
            <w:vAlign w:val="center"/>
          </w:tcPr>
          <w:p w14:paraId="4066BD5C" w14:textId="77777777" w:rsidR="00BB2C55" w:rsidRPr="00153059" w:rsidRDefault="00BB2C55" w:rsidP="00153059">
            <w:pPr>
              <w:spacing w:line="276" w:lineRule="auto"/>
              <w:jc w:val="center"/>
              <w:rPr>
                <w:rFonts w:ascii="Times New Roman" w:eastAsia="Times New Roman" w:hAnsi="Times New Roman" w:cs="Times New Roman"/>
                <w:color w:val="000000"/>
              </w:rPr>
            </w:pPr>
            <w:r w:rsidRPr="00153059">
              <w:rPr>
                <w:rFonts w:ascii="Times New Roman" w:eastAsia="Times New Roman" w:hAnsi="Times New Roman" w:cs="Times New Roman"/>
                <w:color w:val="000000"/>
              </w:rPr>
              <w:t>Año electoral municipal</w:t>
            </w:r>
          </w:p>
        </w:tc>
        <w:tc>
          <w:tcPr>
            <w:tcW w:w="236" w:type="dxa"/>
            <w:noWrap/>
            <w:vAlign w:val="center"/>
          </w:tcPr>
          <w:p w14:paraId="407B5B2C" w14:textId="77777777" w:rsidR="00BB2C55" w:rsidRPr="00F547EA" w:rsidRDefault="00BB2C55" w:rsidP="0015305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236" w:type="dxa"/>
            <w:noWrap/>
            <w:vAlign w:val="center"/>
          </w:tcPr>
          <w:p w14:paraId="57657E46" w14:textId="77777777" w:rsidR="00BB2C55" w:rsidRPr="00A276AA" w:rsidRDefault="00BB2C55" w:rsidP="0015305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236" w:type="dxa"/>
            <w:noWrap/>
            <w:vAlign w:val="center"/>
          </w:tcPr>
          <w:p w14:paraId="6BAA34B8" w14:textId="77777777" w:rsidR="00BB2C55" w:rsidRPr="00A276AA" w:rsidRDefault="00BB2C55" w:rsidP="0015305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276AA">
              <w:rPr>
                <w:rFonts w:ascii="Times New Roman" w:eastAsia="Times New Roman" w:hAnsi="Times New Roman" w:cs="Times New Roman"/>
                <w:color w:val="000000"/>
              </w:rPr>
              <w:t>+</w:t>
            </w:r>
          </w:p>
        </w:tc>
        <w:tc>
          <w:tcPr>
            <w:tcW w:w="236" w:type="dxa"/>
            <w:noWrap/>
            <w:vAlign w:val="center"/>
          </w:tcPr>
          <w:p w14:paraId="7BB56942" w14:textId="77777777" w:rsidR="00BB2C55" w:rsidRPr="00A276AA" w:rsidRDefault="00BB2C55" w:rsidP="0015305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236" w:type="dxa"/>
            <w:noWrap/>
            <w:vAlign w:val="center"/>
          </w:tcPr>
          <w:p w14:paraId="7993F0E6" w14:textId="77777777" w:rsidR="00BB2C55" w:rsidRPr="00A276AA" w:rsidRDefault="00BB2C55" w:rsidP="0015305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236" w:type="dxa"/>
            <w:vAlign w:val="center"/>
          </w:tcPr>
          <w:p w14:paraId="3B8DA55C" w14:textId="77777777" w:rsidR="00BB2C55" w:rsidRPr="00A276AA" w:rsidRDefault="00BB2C55" w:rsidP="0015305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r>
      <w:tr w:rsidR="00336523" w:rsidRPr="00A276AA" w14:paraId="36EA1544" w14:textId="77777777" w:rsidTr="0015305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18" w:type="dxa"/>
            <w:noWrap/>
            <w:vAlign w:val="center"/>
          </w:tcPr>
          <w:p w14:paraId="57DB2190" w14:textId="77777777" w:rsidR="00BB2C55" w:rsidRPr="00153059" w:rsidRDefault="00BB2C55" w:rsidP="00153059">
            <w:pPr>
              <w:spacing w:line="276" w:lineRule="auto"/>
              <w:jc w:val="center"/>
              <w:rPr>
                <w:rFonts w:ascii="Times New Roman" w:eastAsia="Times New Roman" w:hAnsi="Times New Roman" w:cs="Times New Roman"/>
                <w:color w:val="000000"/>
              </w:rPr>
            </w:pPr>
            <w:r w:rsidRPr="00153059">
              <w:rPr>
                <w:rFonts w:ascii="Times New Roman" w:eastAsia="Times New Roman" w:hAnsi="Times New Roman" w:cs="Times New Roman"/>
                <w:color w:val="000000"/>
              </w:rPr>
              <w:t>Año previo a elección de gobernador</w:t>
            </w:r>
          </w:p>
        </w:tc>
        <w:tc>
          <w:tcPr>
            <w:tcW w:w="236" w:type="dxa"/>
            <w:noWrap/>
            <w:vAlign w:val="center"/>
          </w:tcPr>
          <w:p w14:paraId="0CA375CB" w14:textId="77777777" w:rsidR="00BB2C55" w:rsidRPr="00A276AA" w:rsidRDefault="00BB2C55" w:rsidP="0015305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276AA">
              <w:rPr>
                <w:rFonts w:ascii="Times New Roman" w:eastAsia="Times New Roman" w:hAnsi="Times New Roman" w:cs="Times New Roman"/>
                <w:color w:val="000000"/>
              </w:rPr>
              <w:t>(-)</w:t>
            </w:r>
          </w:p>
        </w:tc>
        <w:tc>
          <w:tcPr>
            <w:tcW w:w="236" w:type="dxa"/>
            <w:noWrap/>
            <w:vAlign w:val="center"/>
          </w:tcPr>
          <w:p w14:paraId="75EAB679" w14:textId="77777777" w:rsidR="00BB2C55" w:rsidRPr="00A276AA" w:rsidRDefault="00BB2C55" w:rsidP="0015305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276AA">
              <w:rPr>
                <w:rFonts w:ascii="Times New Roman" w:eastAsia="Times New Roman" w:hAnsi="Times New Roman" w:cs="Times New Roman"/>
                <w:color w:val="000000"/>
              </w:rPr>
              <w:t>+</w:t>
            </w:r>
          </w:p>
        </w:tc>
        <w:tc>
          <w:tcPr>
            <w:tcW w:w="236" w:type="dxa"/>
            <w:noWrap/>
            <w:vAlign w:val="center"/>
          </w:tcPr>
          <w:p w14:paraId="486735F8" w14:textId="77777777" w:rsidR="00BB2C55" w:rsidRPr="00A276AA" w:rsidRDefault="00BB2C55" w:rsidP="0015305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236" w:type="dxa"/>
            <w:noWrap/>
            <w:vAlign w:val="center"/>
          </w:tcPr>
          <w:p w14:paraId="3A8E483B" w14:textId="77777777" w:rsidR="00BB2C55" w:rsidRPr="00A276AA" w:rsidRDefault="00BB2C55" w:rsidP="0015305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236" w:type="dxa"/>
            <w:noWrap/>
            <w:vAlign w:val="center"/>
          </w:tcPr>
          <w:p w14:paraId="7F75D0CD" w14:textId="77777777" w:rsidR="00BB2C55" w:rsidRPr="00A276AA" w:rsidRDefault="00BB2C55" w:rsidP="0015305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276AA">
              <w:rPr>
                <w:rFonts w:ascii="Times New Roman" w:eastAsia="Times New Roman" w:hAnsi="Times New Roman" w:cs="Times New Roman"/>
                <w:color w:val="000000"/>
              </w:rPr>
              <w:t>+</w:t>
            </w:r>
          </w:p>
        </w:tc>
        <w:tc>
          <w:tcPr>
            <w:tcW w:w="236" w:type="dxa"/>
            <w:vAlign w:val="center"/>
          </w:tcPr>
          <w:p w14:paraId="65D852B7" w14:textId="0A9A3D99" w:rsidR="00BB2C55" w:rsidRPr="00A276AA" w:rsidRDefault="00A73DB4" w:rsidP="0015305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w:t>
            </w:r>
            <w:r w:rsidR="00BB2C55">
              <w:rPr>
                <w:rFonts w:ascii="Times New Roman" w:eastAsia="Times New Roman" w:hAnsi="Times New Roman" w:cs="Times New Roman"/>
                <w:color w:val="000000"/>
              </w:rPr>
              <w:t>-</w:t>
            </w:r>
            <w:r>
              <w:rPr>
                <w:rFonts w:ascii="Times New Roman" w:eastAsia="Times New Roman" w:hAnsi="Times New Roman" w:cs="Times New Roman"/>
                <w:color w:val="000000"/>
              </w:rPr>
              <w:t>)</w:t>
            </w:r>
          </w:p>
        </w:tc>
      </w:tr>
      <w:tr w:rsidR="00336523" w:rsidRPr="00A276AA" w14:paraId="64BB2563" w14:textId="77777777" w:rsidTr="00153059">
        <w:trPr>
          <w:trHeight w:val="300"/>
        </w:trPr>
        <w:tc>
          <w:tcPr>
            <w:cnfStyle w:val="001000000000" w:firstRow="0" w:lastRow="0" w:firstColumn="1" w:lastColumn="0" w:oddVBand="0" w:evenVBand="0" w:oddHBand="0" w:evenHBand="0" w:firstRowFirstColumn="0" w:firstRowLastColumn="0" w:lastRowFirstColumn="0" w:lastRowLastColumn="0"/>
            <w:tcW w:w="1818" w:type="dxa"/>
            <w:noWrap/>
            <w:vAlign w:val="center"/>
          </w:tcPr>
          <w:p w14:paraId="4D3EA2ED" w14:textId="77777777" w:rsidR="00BB2C55" w:rsidRPr="00153059" w:rsidRDefault="00BB2C55" w:rsidP="00153059">
            <w:pPr>
              <w:spacing w:line="276" w:lineRule="auto"/>
              <w:jc w:val="center"/>
              <w:rPr>
                <w:rFonts w:ascii="Times New Roman" w:eastAsia="Times New Roman" w:hAnsi="Times New Roman" w:cs="Times New Roman"/>
                <w:color w:val="000000"/>
              </w:rPr>
            </w:pPr>
            <w:r w:rsidRPr="00153059">
              <w:rPr>
                <w:rFonts w:ascii="Times New Roman" w:eastAsia="Times New Roman" w:hAnsi="Times New Roman" w:cs="Times New Roman"/>
                <w:color w:val="000000"/>
              </w:rPr>
              <w:t>Año electoral para gobernador</w:t>
            </w:r>
          </w:p>
        </w:tc>
        <w:tc>
          <w:tcPr>
            <w:tcW w:w="236" w:type="dxa"/>
            <w:noWrap/>
            <w:vAlign w:val="center"/>
          </w:tcPr>
          <w:p w14:paraId="76FD340A" w14:textId="77777777" w:rsidR="00BB2C55" w:rsidRPr="00A276AA" w:rsidRDefault="00BB2C55" w:rsidP="0015305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236" w:type="dxa"/>
            <w:noWrap/>
            <w:vAlign w:val="center"/>
          </w:tcPr>
          <w:p w14:paraId="6AC24A95" w14:textId="77777777" w:rsidR="00BB2C55" w:rsidRPr="00A276AA" w:rsidRDefault="00BB2C55" w:rsidP="0015305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236" w:type="dxa"/>
            <w:noWrap/>
            <w:vAlign w:val="center"/>
          </w:tcPr>
          <w:p w14:paraId="3AB42626" w14:textId="77777777" w:rsidR="00BB2C55" w:rsidRPr="00A276AA" w:rsidRDefault="00BB2C55" w:rsidP="0015305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236" w:type="dxa"/>
            <w:noWrap/>
            <w:vAlign w:val="center"/>
          </w:tcPr>
          <w:p w14:paraId="2C28487D" w14:textId="77777777" w:rsidR="00BB2C55" w:rsidRPr="00A276AA" w:rsidRDefault="00BB2C55" w:rsidP="0015305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236" w:type="dxa"/>
            <w:noWrap/>
            <w:vAlign w:val="center"/>
          </w:tcPr>
          <w:p w14:paraId="20719E3B" w14:textId="77777777" w:rsidR="00BB2C55" w:rsidRPr="00A276AA" w:rsidRDefault="00BB2C55" w:rsidP="00153059">
            <w:pPr>
              <w:ind w:left="311" w:hanging="31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36" w:type="dxa"/>
            <w:vAlign w:val="center"/>
          </w:tcPr>
          <w:p w14:paraId="41D00777" w14:textId="1CA16059" w:rsidR="00BB2C55" w:rsidRDefault="00A73DB4" w:rsidP="00153059">
            <w:pPr>
              <w:ind w:left="311" w:hanging="31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w:t>
            </w:r>
            <w:r w:rsidR="00BB2C55">
              <w:rPr>
                <w:rFonts w:ascii="Times New Roman" w:eastAsia="Times New Roman" w:hAnsi="Times New Roman" w:cs="Times New Roman"/>
                <w:color w:val="000000"/>
              </w:rPr>
              <w:t>-</w:t>
            </w:r>
            <w:r>
              <w:rPr>
                <w:rFonts w:ascii="Times New Roman" w:eastAsia="Times New Roman" w:hAnsi="Times New Roman" w:cs="Times New Roman"/>
                <w:color w:val="000000"/>
              </w:rPr>
              <w:t>)</w:t>
            </w:r>
          </w:p>
        </w:tc>
      </w:tr>
    </w:tbl>
    <w:p w14:paraId="7A9639E7" w14:textId="77777777" w:rsidR="00607429" w:rsidRPr="00336523" w:rsidRDefault="00607429" w:rsidP="00CA3A28">
      <w:pPr>
        <w:spacing w:after="0" w:line="240" w:lineRule="auto"/>
        <w:jc w:val="both"/>
        <w:rPr>
          <w:rFonts w:ascii="Times New Roman" w:hAnsi="Times New Roman" w:cs="Times New Roman"/>
          <w:sz w:val="20"/>
          <w:szCs w:val="20"/>
        </w:rPr>
      </w:pPr>
      <w:r w:rsidRPr="00336523">
        <w:rPr>
          <w:rFonts w:ascii="Times New Roman" w:hAnsi="Times New Roman" w:cs="Times New Roman"/>
          <w:sz w:val="20"/>
          <w:szCs w:val="20"/>
        </w:rPr>
        <w:t>* Esta</w:t>
      </w:r>
      <w:r w:rsidR="00EB38A6" w:rsidRPr="00336523">
        <w:rPr>
          <w:rFonts w:ascii="Times New Roman" w:hAnsi="Times New Roman" w:cs="Times New Roman"/>
          <w:sz w:val="20"/>
          <w:szCs w:val="20"/>
        </w:rPr>
        <w:t>s</w:t>
      </w:r>
      <w:r w:rsidRPr="00336523">
        <w:rPr>
          <w:rFonts w:ascii="Times New Roman" w:hAnsi="Times New Roman" w:cs="Times New Roman"/>
          <w:sz w:val="20"/>
          <w:szCs w:val="20"/>
        </w:rPr>
        <w:t xml:space="preserve"> variable</w:t>
      </w:r>
      <w:r w:rsidR="00EB38A6" w:rsidRPr="00336523">
        <w:rPr>
          <w:rFonts w:ascii="Times New Roman" w:hAnsi="Times New Roman" w:cs="Times New Roman"/>
          <w:sz w:val="20"/>
          <w:szCs w:val="20"/>
        </w:rPr>
        <w:t>s sólo son</w:t>
      </w:r>
      <w:r w:rsidRPr="00336523">
        <w:rPr>
          <w:rFonts w:ascii="Times New Roman" w:hAnsi="Times New Roman" w:cs="Times New Roman"/>
          <w:sz w:val="20"/>
          <w:szCs w:val="20"/>
        </w:rPr>
        <w:t xml:space="preserve"> significativa</w:t>
      </w:r>
      <w:r w:rsidR="00EB38A6" w:rsidRPr="00336523">
        <w:rPr>
          <w:rFonts w:ascii="Times New Roman" w:hAnsi="Times New Roman" w:cs="Times New Roman"/>
          <w:sz w:val="20"/>
          <w:szCs w:val="20"/>
        </w:rPr>
        <w:t>s</w:t>
      </w:r>
      <w:r w:rsidRPr="00336523">
        <w:rPr>
          <w:rFonts w:ascii="Times New Roman" w:hAnsi="Times New Roman" w:cs="Times New Roman"/>
          <w:sz w:val="20"/>
          <w:szCs w:val="20"/>
        </w:rPr>
        <w:t xml:space="preserve"> en el modelo que excluye usos y costumbres.</w:t>
      </w:r>
    </w:p>
    <w:p w14:paraId="7038452E" w14:textId="77777777" w:rsidR="007E5FC9" w:rsidRPr="00336523" w:rsidRDefault="00607429" w:rsidP="00CA3A28">
      <w:pPr>
        <w:spacing w:after="0" w:line="240" w:lineRule="auto"/>
        <w:jc w:val="both"/>
        <w:rPr>
          <w:rFonts w:ascii="Times New Roman" w:hAnsi="Times New Roman" w:cs="Times New Roman"/>
          <w:sz w:val="20"/>
          <w:szCs w:val="20"/>
        </w:rPr>
      </w:pPr>
      <w:r w:rsidRPr="00336523">
        <w:rPr>
          <w:rFonts w:ascii="Times New Roman" w:hAnsi="Times New Roman" w:cs="Times New Roman"/>
          <w:sz w:val="20"/>
          <w:szCs w:val="20"/>
        </w:rPr>
        <w:t>*</w:t>
      </w:r>
      <w:r w:rsidR="00CA3A28" w:rsidRPr="00336523">
        <w:rPr>
          <w:rFonts w:ascii="Times New Roman" w:hAnsi="Times New Roman" w:cs="Times New Roman"/>
          <w:sz w:val="20"/>
          <w:szCs w:val="20"/>
        </w:rPr>
        <w:t>* La variable de año electoral para gobernador únicamente sale significativa en el modelo en que se excluyen las variables municipales.</w:t>
      </w:r>
    </w:p>
    <w:p w14:paraId="115878E4" w14:textId="669DAC53" w:rsidR="00B744D0" w:rsidRDefault="00B744D0" w:rsidP="00CA3A28">
      <w:pPr>
        <w:spacing w:after="0" w:line="240" w:lineRule="auto"/>
        <w:jc w:val="both"/>
        <w:rPr>
          <w:rFonts w:ascii="Times New Roman" w:hAnsi="Times New Roman" w:cs="Times New Roman"/>
          <w:sz w:val="24"/>
          <w:szCs w:val="24"/>
        </w:rPr>
      </w:pPr>
      <w:r w:rsidRPr="00336523">
        <w:rPr>
          <w:rFonts w:ascii="Times New Roman" w:hAnsi="Times New Roman" w:cs="Times New Roman"/>
          <w:sz w:val="20"/>
          <w:szCs w:val="20"/>
        </w:rPr>
        <w:t>*- Se incluye el modelo de Oaxaca para número de proyectos al ser el más significativo</w:t>
      </w:r>
      <w:r>
        <w:rPr>
          <w:rFonts w:ascii="Times New Roman" w:hAnsi="Times New Roman" w:cs="Times New Roman"/>
          <w:sz w:val="24"/>
          <w:szCs w:val="24"/>
        </w:rPr>
        <w:t>.</w:t>
      </w:r>
    </w:p>
    <w:p w14:paraId="39C2F610" w14:textId="77777777" w:rsidR="00542318" w:rsidRDefault="00542318" w:rsidP="00CA3A28">
      <w:pPr>
        <w:spacing w:after="0" w:line="240" w:lineRule="auto"/>
        <w:jc w:val="both"/>
        <w:rPr>
          <w:rFonts w:ascii="Times New Roman" w:hAnsi="Times New Roman" w:cs="Times New Roman"/>
          <w:sz w:val="24"/>
          <w:szCs w:val="24"/>
        </w:rPr>
      </w:pPr>
    </w:p>
    <w:p w14:paraId="4703FC58" w14:textId="77777777" w:rsidR="00336523" w:rsidRDefault="00336523" w:rsidP="00CA3A28">
      <w:pPr>
        <w:spacing w:after="0" w:line="240" w:lineRule="auto"/>
        <w:jc w:val="both"/>
        <w:rPr>
          <w:rFonts w:ascii="Times New Roman" w:hAnsi="Times New Roman" w:cs="Times New Roman"/>
          <w:sz w:val="24"/>
          <w:szCs w:val="24"/>
        </w:rPr>
      </w:pPr>
    </w:p>
    <w:p w14:paraId="0766A380" w14:textId="7EF4A28B" w:rsidR="003D4221" w:rsidRDefault="0051401B" w:rsidP="0051401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Antes de comenzar</w:t>
      </w:r>
      <w:r w:rsidR="00336523">
        <w:rPr>
          <w:rFonts w:ascii="Times New Roman" w:hAnsi="Times New Roman" w:cs="Times New Roman"/>
          <w:sz w:val="24"/>
          <w:szCs w:val="24"/>
        </w:rPr>
        <w:t xml:space="preserve"> a comentar los resultados,</w:t>
      </w:r>
      <w:r>
        <w:rPr>
          <w:rFonts w:ascii="Times New Roman" w:hAnsi="Times New Roman" w:cs="Times New Roman"/>
          <w:sz w:val="24"/>
          <w:szCs w:val="24"/>
        </w:rPr>
        <w:t xml:space="preserve"> conviene aclarar que t</w:t>
      </w:r>
      <w:r w:rsidR="00F41EF5">
        <w:rPr>
          <w:rFonts w:ascii="Times New Roman" w:hAnsi="Times New Roman" w:cs="Times New Roman"/>
          <w:sz w:val="24"/>
          <w:szCs w:val="24"/>
        </w:rPr>
        <w:t>ras realizar una serie de pruebas, se decidió no incluir en los modelos la variable de urbanización, debido a la alta correlación que presentaba con algunas otras variables.</w:t>
      </w:r>
      <w:r>
        <w:rPr>
          <w:rFonts w:ascii="Times New Roman" w:hAnsi="Times New Roman" w:cs="Times New Roman"/>
          <w:sz w:val="24"/>
          <w:szCs w:val="24"/>
        </w:rPr>
        <w:t xml:space="preserve"> Esto generaba un problema importante de </w:t>
      </w:r>
      <w:proofErr w:type="spellStart"/>
      <w:r>
        <w:rPr>
          <w:rFonts w:ascii="Times New Roman" w:hAnsi="Times New Roman" w:cs="Times New Roman"/>
          <w:sz w:val="24"/>
          <w:szCs w:val="24"/>
        </w:rPr>
        <w:t>colinealidad</w:t>
      </w:r>
      <w:proofErr w:type="spellEnd"/>
      <w:r>
        <w:rPr>
          <w:rFonts w:ascii="Times New Roman" w:hAnsi="Times New Roman" w:cs="Times New Roman"/>
          <w:sz w:val="24"/>
          <w:szCs w:val="24"/>
        </w:rPr>
        <w:t>, por lo que se decidió suprimir dicha variable de todos los modelos. A pesar de ello, los modelos no sufrieron una pérdida importante en su capacidad explicativa, dado que los efectos de la urbanización están representados por otras variables.</w:t>
      </w:r>
    </w:p>
    <w:p w14:paraId="35E4C3B2" w14:textId="77777777" w:rsidR="003D4221" w:rsidRDefault="003D4221">
      <w:pPr>
        <w:rPr>
          <w:rFonts w:ascii="Times New Roman" w:hAnsi="Times New Roman" w:cs="Times New Roman"/>
          <w:sz w:val="24"/>
          <w:szCs w:val="24"/>
        </w:rPr>
      </w:pPr>
      <w:r>
        <w:rPr>
          <w:rFonts w:ascii="Times New Roman" w:hAnsi="Times New Roman" w:cs="Times New Roman"/>
          <w:sz w:val="24"/>
          <w:szCs w:val="24"/>
        </w:rPr>
        <w:br w:type="page"/>
      </w:r>
    </w:p>
    <w:p w14:paraId="63D7E377" w14:textId="77777777" w:rsidR="00577375" w:rsidRDefault="00CA3A28" w:rsidP="00CA3A28">
      <w:pPr>
        <w:spacing w:after="0"/>
        <w:jc w:val="center"/>
        <w:rPr>
          <w:rFonts w:ascii="Times New Roman" w:hAnsi="Times New Roman" w:cs="Times New Roman"/>
          <w:sz w:val="24"/>
          <w:szCs w:val="24"/>
        </w:rPr>
      </w:pPr>
      <w:r>
        <w:rPr>
          <w:rFonts w:ascii="Times New Roman" w:hAnsi="Times New Roman" w:cs="Times New Roman"/>
          <w:b/>
          <w:sz w:val="24"/>
          <w:szCs w:val="24"/>
        </w:rPr>
        <w:lastRenderedPageBreak/>
        <w:t>Tabla 6</w:t>
      </w:r>
      <w:r w:rsidRPr="00FE28B6">
        <w:rPr>
          <w:rFonts w:ascii="Times New Roman" w:hAnsi="Times New Roman" w:cs="Times New Roman"/>
          <w:b/>
          <w:sz w:val="24"/>
          <w:szCs w:val="24"/>
        </w:rPr>
        <w:t xml:space="preserve">. </w:t>
      </w:r>
      <w:r>
        <w:rPr>
          <w:rFonts w:ascii="Times New Roman" w:hAnsi="Times New Roman" w:cs="Times New Roman"/>
          <w:b/>
          <w:sz w:val="24"/>
          <w:szCs w:val="24"/>
        </w:rPr>
        <w:t xml:space="preserve">Resultados de los modelos para montos per cápita sin las variables de </w:t>
      </w:r>
      <w:r w:rsidR="009D20BA">
        <w:rPr>
          <w:rFonts w:ascii="Times New Roman" w:hAnsi="Times New Roman" w:cs="Times New Roman"/>
          <w:b/>
          <w:sz w:val="24"/>
          <w:szCs w:val="24"/>
        </w:rPr>
        <w:t>ciclo electoral</w:t>
      </w:r>
      <w:r>
        <w:rPr>
          <w:rFonts w:ascii="Times New Roman" w:hAnsi="Times New Roman" w:cs="Times New Roman"/>
          <w:b/>
          <w:sz w:val="24"/>
          <w:szCs w:val="24"/>
        </w:rPr>
        <w:t xml:space="preserve"> local</w:t>
      </w:r>
    </w:p>
    <w:tbl>
      <w:tblPr>
        <w:tblStyle w:val="Sombreadomedio1-nfasis1"/>
        <w:tblW w:w="8969" w:type="dxa"/>
        <w:jc w:val="center"/>
        <w:tblLook w:val="04A0" w:firstRow="1" w:lastRow="0" w:firstColumn="1" w:lastColumn="0" w:noHBand="0" w:noVBand="1"/>
      </w:tblPr>
      <w:tblGrid>
        <w:gridCol w:w="2177"/>
        <w:gridCol w:w="1698"/>
        <w:gridCol w:w="1698"/>
        <w:gridCol w:w="1698"/>
        <w:gridCol w:w="1698"/>
      </w:tblGrid>
      <w:tr w:rsidR="00CA3A28" w:rsidRPr="00F547EA" w14:paraId="224226E3" w14:textId="77777777" w:rsidTr="00CA3A28">
        <w:trPr>
          <w:cnfStyle w:val="100000000000" w:firstRow="1" w:lastRow="0" w:firstColumn="0" w:lastColumn="0" w:oddVBand="0" w:evenVBand="0" w:oddHBand="0" w:evenHBand="0" w:firstRowFirstColumn="0" w:firstRowLastColumn="0" w:lastRowFirstColumn="0" w:lastRowLastColumn="0"/>
          <w:trHeight w:val="1370"/>
          <w:jc w:val="center"/>
        </w:trPr>
        <w:tc>
          <w:tcPr>
            <w:cnfStyle w:val="001000000000" w:firstRow="0" w:lastRow="0" w:firstColumn="1" w:lastColumn="0" w:oddVBand="0" w:evenVBand="0" w:oddHBand="0" w:evenHBand="0" w:firstRowFirstColumn="0" w:firstRowLastColumn="0" w:lastRowFirstColumn="0" w:lastRowLastColumn="0"/>
            <w:tcW w:w="2177" w:type="dxa"/>
            <w:tcBorders>
              <w:top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6C3E37AD" w14:textId="77777777" w:rsidR="00CA3A28" w:rsidRPr="00F547EA" w:rsidRDefault="00CA3A28" w:rsidP="00CA3A28">
            <w:pPr>
              <w:jc w:val="center"/>
              <w:rPr>
                <w:rFonts w:ascii="Times New Roman" w:eastAsia="Times New Roman" w:hAnsi="Times New Roman" w:cs="Times New Roman"/>
                <w:b w:val="0"/>
                <w:bCs w:val="0"/>
                <w:sz w:val="24"/>
                <w:szCs w:val="24"/>
              </w:rPr>
            </w:pPr>
            <w:r w:rsidRPr="00F547EA">
              <w:rPr>
                <w:rFonts w:ascii="Times New Roman" w:eastAsia="Times New Roman" w:hAnsi="Times New Roman" w:cs="Times New Roman"/>
                <w:sz w:val="24"/>
                <w:szCs w:val="24"/>
              </w:rPr>
              <w:t>Variable</w:t>
            </w:r>
          </w:p>
        </w:tc>
        <w:tc>
          <w:tcPr>
            <w:tcW w:w="1698" w:type="dxa"/>
            <w:tcBorders>
              <w:left w:val="single" w:sz="12" w:space="0" w:color="7BA0CD" w:themeColor="accent1" w:themeTint="BF"/>
            </w:tcBorders>
            <w:noWrap/>
            <w:vAlign w:val="center"/>
          </w:tcPr>
          <w:p w14:paraId="29EAD3D2" w14:textId="77777777" w:rsidR="00CA3A28" w:rsidRPr="00F547EA" w:rsidRDefault="00CA3A28" w:rsidP="00CA3A2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F547EA">
              <w:rPr>
                <w:rFonts w:ascii="Times New Roman" w:eastAsia="Times New Roman" w:hAnsi="Times New Roman" w:cs="Times New Roman"/>
                <w:sz w:val="24"/>
                <w:szCs w:val="24"/>
              </w:rPr>
              <w:t>Modelo general monto per cápita</w:t>
            </w:r>
          </w:p>
        </w:tc>
        <w:tc>
          <w:tcPr>
            <w:tcW w:w="1698" w:type="dxa"/>
            <w:noWrap/>
            <w:vAlign w:val="center"/>
          </w:tcPr>
          <w:p w14:paraId="30CCEF63" w14:textId="77777777" w:rsidR="00CA3A28" w:rsidRPr="00F547EA" w:rsidRDefault="00CA3A28" w:rsidP="00CA3A2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F547EA">
              <w:rPr>
                <w:rFonts w:ascii="Times New Roman" w:eastAsia="Times New Roman" w:hAnsi="Times New Roman" w:cs="Times New Roman"/>
                <w:sz w:val="24"/>
                <w:szCs w:val="24"/>
              </w:rPr>
              <w:t>Modelo monto per cápita Chiapas</w:t>
            </w:r>
          </w:p>
        </w:tc>
        <w:tc>
          <w:tcPr>
            <w:tcW w:w="1698" w:type="dxa"/>
            <w:noWrap/>
            <w:vAlign w:val="center"/>
          </w:tcPr>
          <w:p w14:paraId="41088979" w14:textId="77777777" w:rsidR="00CA3A28" w:rsidRPr="00F547EA" w:rsidRDefault="00CA3A28" w:rsidP="00CA3A2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F547EA">
              <w:rPr>
                <w:rFonts w:ascii="Times New Roman" w:eastAsia="Times New Roman" w:hAnsi="Times New Roman" w:cs="Times New Roman"/>
                <w:sz w:val="24"/>
                <w:szCs w:val="24"/>
              </w:rPr>
              <w:t>Modelo monto per cápita Guerrero</w:t>
            </w:r>
          </w:p>
        </w:tc>
        <w:tc>
          <w:tcPr>
            <w:tcW w:w="1698" w:type="dxa"/>
            <w:noWrap/>
            <w:vAlign w:val="center"/>
          </w:tcPr>
          <w:p w14:paraId="7F8EBEFF" w14:textId="77777777" w:rsidR="00CA3A28" w:rsidRPr="00F547EA" w:rsidRDefault="00CA3A28" w:rsidP="00CA3A2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F547EA">
              <w:rPr>
                <w:rFonts w:ascii="Times New Roman" w:eastAsia="Times New Roman" w:hAnsi="Times New Roman" w:cs="Times New Roman"/>
                <w:sz w:val="24"/>
                <w:szCs w:val="24"/>
              </w:rPr>
              <w:t>Modelo monto per cápita Oaxaca</w:t>
            </w:r>
          </w:p>
        </w:tc>
      </w:tr>
      <w:tr w:rsidR="0094319E" w:rsidRPr="00F547EA" w14:paraId="777941CC" w14:textId="77777777" w:rsidTr="00CA3A28">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vMerge w:val="restart"/>
            <w:tcBorders>
              <w:top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5EDA9BD1" w14:textId="77777777" w:rsidR="0094319E" w:rsidRPr="00F547EA" w:rsidRDefault="0094319E" w:rsidP="00CA3A28">
            <w:pPr>
              <w:jc w:val="center"/>
              <w:rPr>
                <w:rFonts w:ascii="Times New Roman" w:eastAsia="Times New Roman" w:hAnsi="Times New Roman" w:cs="Times New Roman"/>
                <w:b w:val="0"/>
                <w:bCs w:val="0"/>
              </w:rPr>
            </w:pPr>
            <w:r w:rsidRPr="00F547EA">
              <w:rPr>
                <w:rFonts w:ascii="Times New Roman" w:eastAsia="Times New Roman" w:hAnsi="Times New Roman" w:cs="Times New Roman"/>
              </w:rPr>
              <w:t>Margen de victoria</w:t>
            </w:r>
          </w:p>
        </w:tc>
        <w:tc>
          <w:tcPr>
            <w:tcW w:w="1698" w:type="dxa"/>
            <w:tcBorders>
              <w:left w:val="single" w:sz="12" w:space="0" w:color="7BA0CD" w:themeColor="accent1" w:themeTint="BF"/>
            </w:tcBorders>
            <w:noWrap/>
            <w:vAlign w:val="bottom"/>
          </w:tcPr>
          <w:p w14:paraId="03989A77" w14:textId="77777777" w:rsidR="0094319E" w:rsidRDefault="0094319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1.2930112</w:t>
            </w:r>
          </w:p>
        </w:tc>
        <w:tc>
          <w:tcPr>
            <w:tcW w:w="1698" w:type="dxa"/>
            <w:noWrap/>
            <w:vAlign w:val="bottom"/>
          </w:tcPr>
          <w:p w14:paraId="106A6C2C" w14:textId="77777777" w:rsidR="0094319E" w:rsidRDefault="0094319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-7.5811791</w:t>
            </w:r>
          </w:p>
        </w:tc>
        <w:tc>
          <w:tcPr>
            <w:tcW w:w="1698" w:type="dxa"/>
            <w:noWrap/>
            <w:vAlign w:val="bottom"/>
          </w:tcPr>
          <w:p w14:paraId="5DC49C83" w14:textId="77777777" w:rsidR="0094319E" w:rsidRDefault="0094319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-2.5511769</w:t>
            </w:r>
          </w:p>
        </w:tc>
        <w:tc>
          <w:tcPr>
            <w:tcW w:w="1698" w:type="dxa"/>
            <w:noWrap/>
            <w:vAlign w:val="bottom"/>
          </w:tcPr>
          <w:p w14:paraId="5AB54732" w14:textId="77777777" w:rsidR="0094319E" w:rsidRDefault="0094319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3.0029018</w:t>
            </w:r>
          </w:p>
        </w:tc>
      </w:tr>
      <w:tr w:rsidR="0094319E" w:rsidRPr="00F547EA" w14:paraId="1DFFA517" w14:textId="77777777" w:rsidTr="00CA3A28">
        <w:trPr>
          <w:cnfStyle w:val="000000010000" w:firstRow="0" w:lastRow="0" w:firstColumn="0" w:lastColumn="0" w:oddVBand="0" w:evenVBand="0" w:oddHBand="0" w:evenHBand="1"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01DE19E3" w14:textId="77777777" w:rsidR="0094319E" w:rsidRPr="00F547EA" w:rsidRDefault="0094319E" w:rsidP="00CA3A28">
            <w:pPr>
              <w:jc w:val="center"/>
              <w:rPr>
                <w:rFonts w:ascii="Times New Roman" w:eastAsia="Times New Roman" w:hAnsi="Times New Roman" w:cs="Times New Roman"/>
                <w:b w:val="0"/>
                <w:bCs w:val="0"/>
              </w:rPr>
            </w:pPr>
          </w:p>
        </w:tc>
        <w:tc>
          <w:tcPr>
            <w:tcW w:w="1698" w:type="dxa"/>
            <w:tcBorders>
              <w:left w:val="single" w:sz="12" w:space="0" w:color="7BA0CD" w:themeColor="accent1" w:themeTint="BF"/>
            </w:tcBorders>
            <w:noWrap/>
            <w:vAlign w:val="bottom"/>
          </w:tcPr>
          <w:p w14:paraId="4093C6CC" w14:textId="77777777" w:rsidR="0094319E" w:rsidRDefault="0094319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1.928878</w:t>
            </w:r>
          </w:p>
        </w:tc>
        <w:tc>
          <w:tcPr>
            <w:tcW w:w="1698" w:type="dxa"/>
            <w:noWrap/>
            <w:vAlign w:val="bottom"/>
          </w:tcPr>
          <w:p w14:paraId="003E55D5" w14:textId="77777777" w:rsidR="0094319E" w:rsidRDefault="0094319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10.644998</w:t>
            </w:r>
          </w:p>
        </w:tc>
        <w:tc>
          <w:tcPr>
            <w:tcW w:w="1698" w:type="dxa"/>
            <w:noWrap/>
            <w:vAlign w:val="bottom"/>
          </w:tcPr>
          <w:p w14:paraId="726F8F10" w14:textId="77777777" w:rsidR="0094319E" w:rsidRDefault="0094319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4.3191369</w:t>
            </w:r>
          </w:p>
        </w:tc>
        <w:tc>
          <w:tcPr>
            <w:tcW w:w="1698" w:type="dxa"/>
            <w:noWrap/>
            <w:vAlign w:val="bottom"/>
          </w:tcPr>
          <w:p w14:paraId="3CD04BFB" w14:textId="77777777" w:rsidR="0094319E" w:rsidRDefault="0094319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2.0490588</w:t>
            </w:r>
          </w:p>
        </w:tc>
      </w:tr>
      <w:tr w:rsidR="0094319E" w:rsidRPr="00F547EA" w14:paraId="11C95C34" w14:textId="77777777" w:rsidTr="00CA3A28">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736D3314" w14:textId="77777777" w:rsidR="0094319E" w:rsidRPr="00F547EA" w:rsidRDefault="0094319E" w:rsidP="00CA3A28">
            <w:pPr>
              <w:jc w:val="center"/>
              <w:rPr>
                <w:rFonts w:ascii="Times New Roman" w:eastAsia="Times New Roman" w:hAnsi="Times New Roman" w:cs="Times New Roman"/>
                <w:b w:val="0"/>
                <w:bCs w:val="0"/>
              </w:rPr>
            </w:pPr>
          </w:p>
        </w:tc>
        <w:tc>
          <w:tcPr>
            <w:tcW w:w="1698" w:type="dxa"/>
            <w:tcBorders>
              <w:left w:val="single" w:sz="12" w:space="0" w:color="7BA0CD" w:themeColor="accent1" w:themeTint="BF"/>
            </w:tcBorders>
            <w:noWrap/>
            <w:vAlign w:val="bottom"/>
          </w:tcPr>
          <w:p w14:paraId="3F4D6A4C" w14:textId="77777777" w:rsidR="0094319E" w:rsidRDefault="0094319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0.5026</w:t>
            </w:r>
          </w:p>
        </w:tc>
        <w:tc>
          <w:tcPr>
            <w:tcW w:w="1698" w:type="dxa"/>
            <w:noWrap/>
            <w:vAlign w:val="bottom"/>
          </w:tcPr>
          <w:p w14:paraId="17F3ABF8" w14:textId="77777777" w:rsidR="0094319E" w:rsidRDefault="0094319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0.4764</w:t>
            </w:r>
          </w:p>
        </w:tc>
        <w:tc>
          <w:tcPr>
            <w:tcW w:w="1698" w:type="dxa"/>
            <w:noWrap/>
            <w:vAlign w:val="bottom"/>
          </w:tcPr>
          <w:p w14:paraId="7A191212" w14:textId="77777777" w:rsidR="0094319E" w:rsidRDefault="0094319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0.5547</w:t>
            </w:r>
          </w:p>
        </w:tc>
        <w:tc>
          <w:tcPr>
            <w:tcW w:w="1698" w:type="dxa"/>
            <w:noWrap/>
            <w:vAlign w:val="bottom"/>
          </w:tcPr>
          <w:p w14:paraId="2ED73999" w14:textId="77777777" w:rsidR="0094319E" w:rsidRDefault="0094319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0.1428</w:t>
            </w:r>
          </w:p>
        </w:tc>
      </w:tr>
      <w:tr w:rsidR="0094319E" w:rsidRPr="00F547EA" w14:paraId="18257CA8" w14:textId="77777777" w:rsidTr="00CA3A28">
        <w:trPr>
          <w:cnfStyle w:val="000000010000" w:firstRow="0" w:lastRow="0" w:firstColumn="0" w:lastColumn="0" w:oddVBand="0" w:evenVBand="0" w:oddHBand="0" w:evenHBand="1"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vMerge w:val="restart"/>
            <w:tcBorders>
              <w:top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74E30483" w14:textId="77777777" w:rsidR="0094319E" w:rsidRPr="00F547EA" w:rsidRDefault="0094319E" w:rsidP="00CA3A28">
            <w:pPr>
              <w:jc w:val="center"/>
              <w:rPr>
                <w:rFonts w:ascii="Times New Roman" w:eastAsia="Times New Roman" w:hAnsi="Times New Roman" w:cs="Times New Roman"/>
                <w:b w:val="0"/>
                <w:bCs w:val="0"/>
              </w:rPr>
            </w:pPr>
            <w:r w:rsidRPr="00F547EA">
              <w:rPr>
                <w:rFonts w:ascii="Times New Roman" w:eastAsia="Times New Roman" w:hAnsi="Times New Roman" w:cs="Times New Roman"/>
              </w:rPr>
              <w:t>Mismo partido en el poder</w:t>
            </w:r>
          </w:p>
        </w:tc>
        <w:tc>
          <w:tcPr>
            <w:tcW w:w="1698" w:type="dxa"/>
            <w:tcBorders>
              <w:left w:val="single" w:sz="12" w:space="0" w:color="7BA0CD" w:themeColor="accent1" w:themeTint="BF"/>
            </w:tcBorders>
            <w:noWrap/>
            <w:vAlign w:val="bottom"/>
          </w:tcPr>
          <w:p w14:paraId="44311CB0" w14:textId="77777777" w:rsidR="0094319E" w:rsidRDefault="0094319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-114.96755</w:t>
            </w:r>
          </w:p>
        </w:tc>
        <w:tc>
          <w:tcPr>
            <w:tcW w:w="1698" w:type="dxa"/>
            <w:noWrap/>
            <w:vAlign w:val="bottom"/>
          </w:tcPr>
          <w:p w14:paraId="2B265299" w14:textId="77777777" w:rsidR="0094319E" w:rsidRDefault="0094319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-291.23542</w:t>
            </w:r>
          </w:p>
        </w:tc>
        <w:tc>
          <w:tcPr>
            <w:tcW w:w="1698" w:type="dxa"/>
            <w:noWrap/>
            <w:vAlign w:val="bottom"/>
          </w:tcPr>
          <w:p w14:paraId="783B7612" w14:textId="77777777" w:rsidR="0094319E" w:rsidRDefault="0094319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30.861767</w:t>
            </w:r>
          </w:p>
        </w:tc>
        <w:tc>
          <w:tcPr>
            <w:tcW w:w="1698" w:type="dxa"/>
            <w:noWrap/>
            <w:vAlign w:val="bottom"/>
          </w:tcPr>
          <w:p w14:paraId="1C2D7D1D" w14:textId="77777777" w:rsidR="0094319E" w:rsidRDefault="0094319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-79.491487</w:t>
            </w:r>
          </w:p>
        </w:tc>
      </w:tr>
      <w:tr w:rsidR="0094319E" w:rsidRPr="00F547EA" w14:paraId="32B38550" w14:textId="77777777" w:rsidTr="00CA3A28">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712BF891" w14:textId="77777777" w:rsidR="0094319E" w:rsidRPr="00F547EA" w:rsidRDefault="0094319E" w:rsidP="00CA3A28">
            <w:pPr>
              <w:jc w:val="center"/>
              <w:rPr>
                <w:rFonts w:ascii="Times New Roman" w:eastAsia="Times New Roman" w:hAnsi="Times New Roman" w:cs="Times New Roman"/>
                <w:b w:val="0"/>
                <w:bCs w:val="0"/>
              </w:rPr>
            </w:pPr>
          </w:p>
        </w:tc>
        <w:tc>
          <w:tcPr>
            <w:tcW w:w="1698" w:type="dxa"/>
            <w:tcBorders>
              <w:left w:val="single" w:sz="12" w:space="0" w:color="7BA0CD" w:themeColor="accent1" w:themeTint="BF"/>
            </w:tcBorders>
            <w:noWrap/>
            <w:vAlign w:val="bottom"/>
          </w:tcPr>
          <w:p w14:paraId="3EEBD414" w14:textId="77777777" w:rsidR="0094319E" w:rsidRDefault="0094319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72.558715</w:t>
            </w:r>
          </w:p>
        </w:tc>
        <w:tc>
          <w:tcPr>
            <w:tcW w:w="1698" w:type="dxa"/>
            <w:noWrap/>
            <w:vAlign w:val="bottom"/>
          </w:tcPr>
          <w:p w14:paraId="7833D16A" w14:textId="77777777" w:rsidR="0094319E" w:rsidRDefault="0094319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258.57521</w:t>
            </w:r>
          </w:p>
        </w:tc>
        <w:tc>
          <w:tcPr>
            <w:tcW w:w="1698" w:type="dxa"/>
            <w:noWrap/>
            <w:vAlign w:val="bottom"/>
          </w:tcPr>
          <w:p w14:paraId="76F5BAA7" w14:textId="77777777" w:rsidR="0094319E" w:rsidRDefault="0094319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84.078047</w:t>
            </w:r>
          </w:p>
        </w:tc>
        <w:tc>
          <w:tcPr>
            <w:tcW w:w="1698" w:type="dxa"/>
            <w:noWrap/>
            <w:vAlign w:val="bottom"/>
          </w:tcPr>
          <w:p w14:paraId="4C068F47" w14:textId="77777777" w:rsidR="0094319E" w:rsidRDefault="0094319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82.985514</w:t>
            </w:r>
          </w:p>
        </w:tc>
      </w:tr>
      <w:tr w:rsidR="0094319E" w:rsidRPr="00F547EA" w14:paraId="3968B2A4" w14:textId="77777777" w:rsidTr="00CA3A28">
        <w:trPr>
          <w:cnfStyle w:val="000000010000" w:firstRow="0" w:lastRow="0" w:firstColumn="0" w:lastColumn="0" w:oddVBand="0" w:evenVBand="0" w:oddHBand="0" w:evenHBand="1"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2C0E24D5" w14:textId="77777777" w:rsidR="0094319E" w:rsidRPr="00F547EA" w:rsidRDefault="0094319E" w:rsidP="00CA3A28">
            <w:pPr>
              <w:jc w:val="center"/>
              <w:rPr>
                <w:rFonts w:ascii="Times New Roman" w:eastAsia="Times New Roman" w:hAnsi="Times New Roman" w:cs="Times New Roman"/>
                <w:b w:val="0"/>
                <w:bCs w:val="0"/>
              </w:rPr>
            </w:pPr>
          </w:p>
        </w:tc>
        <w:tc>
          <w:tcPr>
            <w:tcW w:w="1698" w:type="dxa"/>
            <w:tcBorders>
              <w:left w:val="single" w:sz="12" w:space="0" w:color="7BA0CD" w:themeColor="accent1" w:themeTint="BF"/>
            </w:tcBorders>
            <w:noWrap/>
            <w:vAlign w:val="bottom"/>
          </w:tcPr>
          <w:p w14:paraId="35A7BFE5" w14:textId="77777777" w:rsidR="0094319E" w:rsidRDefault="0094319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0.1131</w:t>
            </w:r>
          </w:p>
        </w:tc>
        <w:tc>
          <w:tcPr>
            <w:tcW w:w="1698" w:type="dxa"/>
            <w:noWrap/>
            <w:vAlign w:val="bottom"/>
          </w:tcPr>
          <w:p w14:paraId="7F7976B9" w14:textId="77777777" w:rsidR="0094319E" w:rsidRDefault="0094319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0.26</w:t>
            </w:r>
          </w:p>
        </w:tc>
        <w:tc>
          <w:tcPr>
            <w:tcW w:w="1698" w:type="dxa"/>
            <w:noWrap/>
            <w:vAlign w:val="bottom"/>
          </w:tcPr>
          <w:p w14:paraId="71CCA2CC" w14:textId="77777777" w:rsidR="0094319E" w:rsidRDefault="0094319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0.7136</w:t>
            </w:r>
          </w:p>
        </w:tc>
        <w:tc>
          <w:tcPr>
            <w:tcW w:w="1698" w:type="dxa"/>
            <w:noWrap/>
            <w:vAlign w:val="bottom"/>
          </w:tcPr>
          <w:p w14:paraId="528E553C" w14:textId="77777777" w:rsidR="0094319E" w:rsidRDefault="0094319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0.3381</w:t>
            </w:r>
          </w:p>
        </w:tc>
      </w:tr>
      <w:tr w:rsidR="0094319E" w:rsidRPr="00F547EA" w14:paraId="567CF1FC" w14:textId="77777777" w:rsidTr="00CA3A28">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vMerge w:val="restart"/>
            <w:tcBorders>
              <w:top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009A213D" w14:textId="77777777" w:rsidR="0094319E" w:rsidRPr="00F547EA" w:rsidRDefault="0094319E" w:rsidP="00CA3A28">
            <w:pPr>
              <w:jc w:val="center"/>
              <w:rPr>
                <w:rFonts w:ascii="Times New Roman" w:eastAsia="Times New Roman" w:hAnsi="Times New Roman" w:cs="Times New Roman"/>
                <w:b w:val="0"/>
                <w:bCs w:val="0"/>
              </w:rPr>
            </w:pPr>
            <w:r w:rsidRPr="00F547EA">
              <w:rPr>
                <w:rFonts w:ascii="Times New Roman" w:eastAsia="Times New Roman" w:hAnsi="Times New Roman" w:cs="Times New Roman"/>
              </w:rPr>
              <w:t>IDH</w:t>
            </w:r>
          </w:p>
        </w:tc>
        <w:tc>
          <w:tcPr>
            <w:tcW w:w="1698" w:type="dxa"/>
            <w:tcBorders>
              <w:left w:val="single" w:sz="12" w:space="0" w:color="7BA0CD" w:themeColor="accent1" w:themeTint="BF"/>
            </w:tcBorders>
            <w:noWrap/>
            <w:vAlign w:val="bottom"/>
          </w:tcPr>
          <w:p w14:paraId="33F9C49A" w14:textId="77777777" w:rsidR="0094319E" w:rsidRDefault="0094319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-562.87819</w:t>
            </w:r>
          </w:p>
        </w:tc>
        <w:tc>
          <w:tcPr>
            <w:tcW w:w="1698" w:type="dxa"/>
            <w:noWrap/>
            <w:vAlign w:val="bottom"/>
          </w:tcPr>
          <w:p w14:paraId="0FF81E91" w14:textId="77777777" w:rsidR="0094319E" w:rsidRDefault="0094319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-3485.5572</w:t>
            </w:r>
          </w:p>
        </w:tc>
        <w:tc>
          <w:tcPr>
            <w:tcW w:w="1698" w:type="dxa"/>
            <w:noWrap/>
            <w:vAlign w:val="bottom"/>
          </w:tcPr>
          <w:p w14:paraId="3CB95EC1" w14:textId="77777777" w:rsidR="0094319E" w:rsidRDefault="0094319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-604.02171</w:t>
            </w:r>
          </w:p>
        </w:tc>
        <w:tc>
          <w:tcPr>
            <w:tcW w:w="1698" w:type="dxa"/>
            <w:noWrap/>
            <w:vAlign w:val="bottom"/>
          </w:tcPr>
          <w:p w14:paraId="2E74EB8B" w14:textId="77777777" w:rsidR="0094319E" w:rsidRDefault="0094319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437.73911</w:t>
            </w:r>
          </w:p>
        </w:tc>
      </w:tr>
      <w:tr w:rsidR="0094319E" w:rsidRPr="00F547EA" w14:paraId="203DA74F" w14:textId="77777777" w:rsidTr="00CA3A28">
        <w:trPr>
          <w:cnfStyle w:val="000000010000" w:firstRow="0" w:lastRow="0" w:firstColumn="0" w:lastColumn="0" w:oddVBand="0" w:evenVBand="0" w:oddHBand="0" w:evenHBand="1"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125C3D1F" w14:textId="77777777" w:rsidR="0094319E" w:rsidRPr="00F547EA" w:rsidRDefault="0094319E" w:rsidP="00CA3A28">
            <w:pPr>
              <w:jc w:val="center"/>
              <w:rPr>
                <w:rFonts w:ascii="Times New Roman" w:eastAsia="Times New Roman" w:hAnsi="Times New Roman" w:cs="Times New Roman"/>
                <w:b w:val="0"/>
                <w:bCs w:val="0"/>
              </w:rPr>
            </w:pPr>
          </w:p>
        </w:tc>
        <w:tc>
          <w:tcPr>
            <w:tcW w:w="1698" w:type="dxa"/>
            <w:tcBorders>
              <w:left w:val="single" w:sz="12" w:space="0" w:color="7BA0CD" w:themeColor="accent1" w:themeTint="BF"/>
            </w:tcBorders>
            <w:noWrap/>
            <w:vAlign w:val="bottom"/>
          </w:tcPr>
          <w:p w14:paraId="77A1894D" w14:textId="77777777" w:rsidR="0094319E" w:rsidRDefault="0094319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619.30976</w:t>
            </w:r>
          </w:p>
        </w:tc>
        <w:tc>
          <w:tcPr>
            <w:tcW w:w="1698" w:type="dxa"/>
            <w:noWrap/>
            <w:vAlign w:val="bottom"/>
          </w:tcPr>
          <w:p w14:paraId="0B1D5446" w14:textId="77777777" w:rsidR="0094319E" w:rsidRDefault="0094319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2758.7089</w:t>
            </w:r>
          </w:p>
        </w:tc>
        <w:tc>
          <w:tcPr>
            <w:tcW w:w="1698" w:type="dxa"/>
            <w:noWrap/>
            <w:vAlign w:val="bottom"/>
          </w:tcPr>
          <w:p w14:paraId="7F36BA4C" w14:textId="77777777" w:rsidR="0094319E" w:rsidRDefault="0094319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802.56043</w:t>
            </w:r>
          </w:p>
        </w:tc>
        <w:tc>
          <w:tcPr>
            <w:tcW w:w="1698" w:type="dxa"/>
            <w:noWrap/>
            <w:vAlign w:val="bottom"/>
          </w:tcPr>
          <w:p w14:paraId="7195F0A4" w14:textId="77777777" w:rsidR="0094319E" w:rsidRDefault="0094319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684.37719</w:t>
            </w:r>
          </w:p>
        </w:tc>
      </w:tr>
      <w:tr w:rsidR="0094319E" w:rsidRPr="00F547EA" w14:paraId="340D0F23" w14:textId="77777777" w:rsidTr="00CA3A28">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7848528B" w14:textId="77777777" w:rsidR="0094319E" w:rsidRPr="00F547EA" w:rsidRDefault="0094319E" w:rsidP="00CA3A28">
            <w:pPr>
              <w:jc w:val="center"/>
              <w:rPr>
                <w:rFonts w:ascii="Times New Roman" w:eastAsia="Times New Roman" w:hAnsi="Times New Roman" w:cs="Times New Roman"/>
                <w:b w:val="0"/>
                <w:bCs w:val="0"/>
              </w:rPr>
            </w:pPr>
          </w:p>
        </w:tc>
        <w:tc>
          <w:tcPr>
            <w:tcW w:w="1698" w:type="dxa"/>
            <w:tcBorders>
              <w:left w:val="single" w:sz="12" w:space="0" w:color="7BA0CD" w:themeColor="accent1" w:themeTint="BF"/>
            </w:tcBorders>
            <w:noWrap/>
            <w:vAlign w:val="bottom"/>
          </w:tcPr>
          <w:p w14:paraId="09939E54" w14:textId="77777777" w:rsidR="0094319E" w:rsidRDefault="0094319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0.3634</w:t>
            </w:r>
          </w:p>
        </w:tc>
        <w:tc>
          <w:tcPr>
            <w:tcW w:w="1698" w:type="dxa"/>
            <w:noWrap/>
            <w:vAlign w:val="bottom"/>
          </w:tcPr>
          <w:p w14:paraId="7F2DAB7E" w14:textId="77777777" w:rsidR="0094319E" w:rsidRDefault="0094319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0.2064</w:t>
            </w:r>
          </w:p>
        </w:tc>
        <w:tc>
          <w:tcPr>
            <w:tcW w:w="1698" w:type="dxa"/>
            <w:noWrap/>
            <w:vAlign w:val="bottom"/>
          </w:tcPr>
          <w:p w14:paraId="1618FCB5" w14:textId="77777777" w:rsidR="0094319E" w:rsidRDefault="0094319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0.4517</w:t>
            </w:r>
          </w:p>
        </w:tc>
        <w:tc>
          <w:tcPr>
            <w:tcW w:w="1698" w:type="dxa"/>
            <w:noWrap/>
            <w:vAlign w:val="bottom"/>
          </w:tcPr>
          <w:p w14:paraId="57A37003" w14:textId="77777777" w:rsidR="0094319E" w:rsidRDefault="0094319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0.5224</w:t>
            </w:r>
          </w:p>
        </w:tc>
      </w:tr>
      <w:tr w:rsidR="0094319E" w:rsidRPr="00F547EA" w14:paraId="32F18106" w14:textId="77777777" w:rsidTr="00CA3A28">
        <w:trPr>
          <w:cnfStyle w:val="000000010000" w:firstRow="0" w:lastRow="0" w:firstColumn="0" w:lastColumn="0" w:oddVBand="0" w:evenVBand="0" w:oddHBand="0" w:evenHBand="1"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vMerge w:val="restart"/>
            <w:tcBorders>
              <w:top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740A88B4" w14:textId="77777777" w:rsidR="0094319E" w:rsidRPr="00F547EA" w:rsidRDefault="0094319E" w:rsidP="00CA3A28">
            <w:pPr>
              <w:jc w:val="center"/>
              <w:rPr>
                <w:rFonts w:ascii="Times New Roman" w:eastAsia="Times New Roman" w:hAnsi="Times New Roman" w:cs="Times New Roman"/>
                <w:b w:val="0"/>
                <w:bCs w:val="0"/>
              </w:rPr>
            </w:pPr>
            <w:r w:rsidRPr="00F547EA">
              <w:rPr>
                <w:rFonts w:ascii="Times New Roman" w:eastAsia="Times New Roman" w:hAnsi="Times New Roman" w:cs="Times New Roman"/>
              </w:rPr>
              <w:t>Cambio en IDH</w:t>
            </w:r>
          </w:p>
        </w:tc>
        <w:tc>
          <w:tcPr>
            <w:tcW w:w="1698" w:type="dxa"/>
            <w:tcBorders>
              <w:left w:val="single" w:sz="12" w:space="0" w:color="7BA0CD" w:themeColor="accent1" w:themeTint="BF"/>
            </w:tcBorders>
            <w:noWrap/>
            <w:vAlign w:val="bottom"/>
          </w:tcPr>
          <w:p w14:paraId="532B5D2C" w14:textId="77777777" w:rsidR="0094319E" w:rsidRDefault="0094319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-9.6662647</w:t>
            </w:r>
          </w:p>
        </w:tc>
        <w:tc>
          <w:tcPr>
            <w:tcW w:w="1698" w:type="dxa"/>
            <w:noWrap/>
            <w:vAlign w:val="bottom"/>
          </w:tcPr>
          <w:p w14:paraId="41A23D85" w14:textId="77777777" w:rsidR="0094319E" w:rsidRDefault="0094319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35.607568</w:t>
            </w:r>
          </w:p>
        </w:tc>
        <w:tc>
          <w:tcPr>
            <w:tcW w:w="1698" w:type="dxa"/>
            <w:noWrap/>
            <w:vAlign w:val="bottom"/>
          </w:tcPr>
          <w:p w14:paraId="081EFDAC" w14:textId="77777777" w:rsidR="0094319E" w:rsidRDefault="0094319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-7.0007459</w:t>
            </w:r>
          </w:p>
        </w:tc>
        <w:tc>
          <w:tcPr>
            <w:tcW w:w="1698" w:type="dxa"/>
            <w:noWrap/>
            <w:vAlign w:val="bottom"/>
          </w:tcPr>
          <w:p w14:paraId="27F6679C" w14:textId="77777777" w:rsidR="0094319E" w:rsidRDefault="0094319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-15.577107</w:t>
            </w:r>
          </w:p>
        </w:tc>
      </w:tr>
      <w:tr w:rsidR="0094319E" w:rsidRPr="00F547EA" w14:paraId="40CC8370" w14:textId="77777777" w:rsidTr="00CA3A28">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75EF833E" w14:textId="77777777" w:rsidR="0094319E" w:rsidRPr="00F547EA" w:rsidRDefault="0094319E" w:rsidP="00CA3A28">
            <w:pPr>
              <w:jc w:val="center"/>
              <w:rPr>
                <w:rFonts w:ascii="Times New Roman" w:eastAsia="Times New Roman" w:hAnsi="Times New Roman" w:cs="Times New Roman"/>
                <w:b w:val="0"/>
                <w:bCs w:val="0"/>
              </w:rPr>
            </w:pPr>
          </w:p>
        </w:tc>
        <w:tc>
          <w:tcPr>
            <w:tcW w:w="1698" w:type="dxa"/>
            <w:tcBorders>
              <w:left w:val="single" w:sz="12" w:space="0" w:color="7BA0CD" w:themeColor="accent1" w:themeTint="BF"/>
            </w:tcBorders>
            <w:noWrap/>
            <w:vAlign w:val="bottom"/>
          </w:tcPr>
          <w:p w14:paraId="008AC6FB" w14:textId="77777777" w:rsidR="0094319E" w:rsidRDefault="0094319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9.032172</w:t>
            </w:r>
          </w:p>
        </w:tc>
        <w:tc>
          <w:tcPr>
            <w:tcW w:w="1698" w:type="dxa"/>
            <w:noWrap/>
            <w:vAlign w:val="bottom"/>
          </w:tcPr>
          <w:p w14:paraId="67003C8F" w14:textId="77777777" w:rsidR="0094319E" w:rsidRDefault="0094319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41.799247</w:t>
            </w:r>
          </w:p>
        </w:tc>
        <w:tc>
          <w:tcPr>
            <w:tcW w:w="1698" w:type="dxa"/>
            <w:noWrap/>
            <w:vAlign w:val="bottom"/>
          </w:tcPr>
          <w:p w14:paraId="0F202EB1" w14:textId="77777777" w:rsidR="0094319E" w:rsidRDefault="0094319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10.848593</w:t>
            </w:r>
          </w:p>
        </w:tc>
        <w:tc>
          <w:tcPr>
            <w:tcW w:w="1698" w:type="dxa"/>
            <w:noWrap/>
            <w:vAlign w:val="bottom"/>
          </w:tcPr>
          <w:p w14:paraId="60ABFB17" w14:textId="77777777" w:rsidR="0094319E" w:rsidRDefault="0094319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9.7640379</w:t>
            </w:r>
          </w:p>
        </w:tc>
      </w:tr>
      <w:tr w:rsidR="0094319E" w:rsidRPr="00F547EA" w14:paraId="3623F448" w14:textId="77777777" w:rsidTr="00CA3A28">
        <w:trPr>
          <w:cnfStyle w:val="000000010000" w:firstRow="0" w:lastRow="0" w:firstColumn="0" w:lastColumn="0" w:oddVBand="0" w:evenVBand="0" w:oddHBand="0" w:evenHBand="1"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00DB309D" w14:textId="77777777" w:rsidR="0094319E" w:rsidRPr="00F547EA" w:rsidRDefault="0094319E" w:rsidP="00CA3A28">
            <w:pPr>
              <w:jc w:val="center"/>
              <w:rPr>
                <w:rFonts w:ascii="Times New Roman" w:eastAsia="Times New Roman" w:hAnsi="Times New Roman" w:cs="Times New Roman"/>
                <w:b w:val="0"/>
                <w:bCs w:val="0"/>
              </w:rPr>
            </w:pPr>
          </w:p>
        </w:tc>
        <w:tc>
          <w:tcPr>
            <w:tcW w:w="1698" w:type="dxa"/>
            <w:tcBorders>
              <w:left w:val="single" w:sz="12" w:space="0" w:color="7BA0CD" w:themeColor="accent1" w:themeTint="BF"/>
            </w:tcBorders>
            <w:noWrap/>
            <w:vAlign w:val="bottom"/>
          </w:tcPr>
          <w:p w14:paraId="73E4B11A" w14:textId="77777777" w:rsidR="0094319E" w:rsidRDefault="0094319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0.2845</w:t>
            </w:r>
          </w:p>
        </w:tc>
        <w:tc>
          <w:tcPr>
            <w:tcW w:w="1698" w:type="dxa"/>
            <w:noWrap/>
            <w:vAlign w:val="bottom"/>
          </w:tcPr>
          <w:p w14:paraId="276B29E2" w14:textId="77777777" w:rsidR="0094319E" w:rsidRDefault="0094319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0.3943</w:t>
            </w:r>
          </w:p>
        </w:tc>
        <w:tc>
          <w:tcPr>
            <w:tcW w:w="1698" w:type="dxa"/>
            <w:noWrap/>
            <w:vAlign w:val="bottom"/>
          </w:tcPr>
          <w:p w14:paraId="553296A5" w14:textId="77777777" w:rsidR="0094319E" w:rsidRDefault="0094319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0.5187</w:t>
            </w:r>
          </w:p>
        </w:tc>
        <w:tc>
          <w:tcPr>
            <w:tcW w:w="1698" w:type="dxa"/>
            <w:noWrap/>
            <w:vAlign w:val="bottom"/>
          </w:tcPr>
          <w:p w14:paraId="10CA2617" w14:textId="77777777" w:rsidR="0094319E" w:rsidRDefault="0094319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0.1106</w:t>
            </w:r>
          </w:p>
        </w:tc>
      </w:tr>
      <w:tr w:rsidR="0094319E" w:rsidRPr="00F547EA" w14:paraId="779868F8" w14:textId="77777777" w:rsidTr="00CA3A28">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vMerge w:val="restart"/>
            <w:tcBorders>
              <w:top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1C5F4347" w14:textId="77777777" w:rsidR="0094319E" w:rsidRPr="00F547EA" w:rsidRDefault="0094319E" w:rsidP="00CA3A28">
            <w:pPr>
              <w:jc w:val="center"/>
              <w:rPr>
                <w:rFonts w:ascii="Times New Roman" w:eastAsia="Times New Roman" w:hAnsi="Times New Roman" w:cs="Times New Roman"/>
                <w:b w:val="0"/>
                <w:bCs w:val="0"/>
              </w:rPr>
            </w:pPr>
            <w:r w:rsidRPr="00F547EA">
              <w:rPr>
                <w:rFonts w:ascii="Times New Roman" w:eastAsia="Times New Roman" w:hAnsi="Times New Roman" w:cs="Times New Roman"/>
              </w:rPr>
              <w:t>Año</w:t>
            </w:r>
          </w:p>
        </w:tc>
        <w:tc>
          <w:tcPr>
            <w:tcW w:w="1698" w:type="dxa"/>
            <w:tcBorders>
              <w:left w:val="single" w:sz="12" w:space="0" w:color="7BA0CD" w:themeColor="accent1" w:themeTint="BF"/>
            </w:tcBorders>
            <w:noWrap/>
            <w:vAlign w:val="bottom"/>
          </w:tcPr>
          <w:p w14:paraId="0DA4BB76" w14:textId="77777777" w:rsidR="0094319E" w:rsidRDefault="0094319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43.7141</w:t>
            </w:r>
          </w:p>
        </w:tc>
        <w:tc>
          <w:tcPr>
            <w:tcW w:w="1698" w:type="dxa"/>
            <w:noWrap/>
            <w:vAlign w:val="bottom"/>
          </w:tcPr>
          <w:p w14:paraId="03B847FB" w14:textId="77777777" w:rsidR="0094319E" w:rsidRDefault="0094319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279.34882</w:t>
            </w:r>
          </w:p>
        </w:tc>
        <w:tc>
          <w:tcPr>
            <w:tcW w:w="1698" w:type="dxa"/>
            <w:noWrap/>
            <w:vAlign w:val="bottom"/>
          </w:tcPr>
          <w:p w14:paraId="4FAE1ECE" w14:textId="77777777" w:rsidR="0094319E" w:rsidRDefault="0094319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28.63546</w:t>
            </w:r>
          </w:p>
        </w:tc>
        <w:tc>
          <w:tcPr>
            <w:tcW w:w="1698" w:type="dxa"/>
            <w:noWrap/>
            <w:vAlign w:val="bottom"/>
          </w:tcPr>
          <w:p w14:paraId="65E0AEA2" w14:textId="77777777" w:rsidR="0094319E" w:rsidRDefault="0094319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33.967406</w:t>
            </w:r>
          </w:p>
        </w:tc>
      </w:tr>
      <w:tr w:rsidR="0094319E" w:rsidRPr="00F547EA" w14:paraId="6FADF7BD" w14:textId="77777777" w:rsidTr="00CA3A28">
        <w:trPr>
          <w:cnfStyle w:val="000000010000" w:firstRow="0" w:lastRow="0" w:firstColumn="0" w:lastColumn="0" w:oddVBand="0" w:evenVBand="0" w:oddHBand="0" w:evenHBand="1"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2CFFF66B" w14:textId="77777777" w:rsidR="0094319E" w:rsidRPr="00F547EA" w:rsidRDefault="0094319E" w:rsidP="00CA3A28">
            <w:pPr>
              <w:jc w:val="center"/>
              <w:rPr>
                <w:rFonts w:ascii="Times New Roman" w:eastAsia="Times New Roman" w:hAnsi="Times New Roman" w:cs="Times New Roman"/>
                <w:b w:val="0"/>
                <w:bCs w:val="0"/>
              </w:rPr>
            </w:pPr>
          </w:p>
        </w:tc>
        <w:tc>
          <w:tcPr>
            <w:tcW w:w="1698" w:type="dxa"/>
            <w:tcBorders>
              <w:left w:val="single" w:sz="12" w:space="0" w:color="7BA0CD" w:themeColor="accent1" w:themeTint="BF"/>
            </w:tcBorders>
            <w:noWrap/>
            <w:vAlign w:val="bottom"/>
          </w:tcPr>
          <w:p w14:paraId="729D3851" w14:textId="77777777" w:rsidR="0094319E" w:rsidRDefault="0094319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18.776378</w:t>
            </w:r>
          </w:p>
        </w:tc>
        <w:tc>
          <w:tcPr>
            <w:tcW w:w="1698" w:type="dxa"/>
            <w:noWrap/>
            <w:vAlign w:val="bottom"/>
          </w:tcPr>
          <w:p w14:paraId="14866647" w14:textId="77777777" w:rsidR="0094319E" w:rsidRDefault="0094319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138.75465</w:t>
            </w:r>
          </w:p>
        </w:tc>
        <w:tc>
          <w:tcPr>
            <w:tcW w:w="1698" w:type="dxa"/>
            <w:noWrap/>
            <w:vAlign w:val="bottom"/>
          </w:tcPr>
          <w:p w14:paraId="030E662C" w14:textId="77777777" w:rsidR="0094319E" w:rsidRDefault="0094319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19.214436</w:t>
            </w:r>
          </w:p>
        </w:tc>
        <w:tc>
          <w:tcPr>
            <w:tcW w:w="1698" w:type="dxa"/>
            <w:noWrap/>
            <w:vAlign w:val="bottom"/>
          </w:tcPr>
          <w:p w14:paraId="5A72582F" w14:textId="77777777" w:rsidR="0094319E" w:rsidRDefault="0094319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19.222172</w:t>
            </w:r>
          </w:p>
        </w:tc>
      </w:tr>
      <w:tr w:rsidR="0094319E" w:rsidRPr="00F547EA" w14:paraId="2C4E75DB" w14:textId="77777777" w:rsidTr="00CA3A28">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0005F763" w14:textId="77777777" w:rsidR="0094319E" w:rsidRPr="00F547EA" w:rsidRDefault="0094319E" w:rsidP="00CA3A28">
            <w:pPr>
              <w:jc w:val="center"/>
              <w:rPr>
                <w:rFonts w:ascii="Times New Roman" w:eastAsia="Times New Roman" w:hAnsi="Times New Roman" w:cs="Times New Roman"/>
                <w:b w:val="0"/>
                <w:bCs w:val="0"/>
              </w:rPr>
            </w:pPr>
          </w:p>
        </w:tc>
        <w:tc>
          <w:tcPr>
            <w:tcW w:w="1698" w:type="dxa"/>
            <w:tcBorders>
              <w:left w:val="single" w:sz="12" w:space="0" w:color="7BA0CD" w:themeColor="accent1" w:themeTint="BF"/>
            </w:tcBorders>
            <w:noWrap/>
            <w:vAlign w:val="bottom"/>
          </w:tcPr>
          <w:p w14:paraId="7FF04FD3" w14:textId="77777777" w:rsidR="0094319E" w:rsidRPr="00336523" w:rsidRDefault="0094319E">
            <w:pPr>
              <w:jc w:val="right"/>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336523">
              <w:rPr>
                <w:rFonts w:ascii="Calibri" w:hAnsi="Calibri"/>
                <w:b/>
                <w:color w:val="000000"/>
              </w:rPr>
              <w:t>0.0199</w:t>
            </w:r>
          </w:p>
        </w:tc>
        <w:tc>
          <w:tcPr>
            <w:tcW w:w="1698" w:type="dxa"/>
            <w:noWrap/>
            <w:vAlign w:val="bottom"/>
          </w:tcPr>
          <w:p w14:paraId="41336111" w14:textId="77777777" w:rsidR="0094319E" w:rsidRPr="00336523" w:rsidRDefault="0094319E">
            <w:pPr>
              <w:jc w:val="right"/>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336523">
              <w:rPr>
                <w:rFonts w:ascii="Calibri" w:hAnsi="Calibri"/>
                <w:b/>
                <w:color w:val="000000"/>
              </w:rPr>
              <w:t>0.0441</w:t>
            </w:r>
          </w:p>
        </w:tc>
        <w:tc>
          <w:tcPr>
            <w:tcW w:w="1698" w:type="dxa"/>
            <w:noWrap/>
            <w:vAlign w:val="bottom"/>
          </w:tcPr>
          <w:p w14:paraId="6B1FA3E9" w14:textId="77777777" w:rsidR="0094319E" w:rsidRDefault="0094319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0.1361</w:t>
            </w:r>
          </w:p>
        </w:tc>
        <w:tc>
          <w:tcPr>
            <w:tcW w:w="1698" w:type="dxa"/>
            <w:noWrap/>
            <w:vAlign w:val="bottom"/>
          </w:tcPr>
          <w:p w14:paraId="37E02093" w14:textId="77777777" w:rsidR="0094319E" w:rsidRDefault="0094319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0.0772</w:t>
            </w:r>
          </w:p>
        </w:tc>
      </w:tr>
      <w:tr w:rsidR="0094319E" w:rsidRPr="00F547EA" w14:paraId="4163FB53" w14:textId="77777777" w:rsidTr="00CA3A28">
        <w:trPr>
          <w:cnfStyle w:val="000000010000" w:firstRow="0" w:lastRow="0" w:firstColumn="0" w:lastColumn="0" w:oddVBand="0" w:evenVBand="0" w:oddHBand="0" w:evenHBand="1"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vMerge w:val="restart"/>
            <w:tcBorders>
              <w:top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590C0CDA" w14:textId="77777777" w:rsidR="0094319E" w:rsidRPr="00F547EA" w:rsidRDefault="0094319E" w:rsidP="00CA3A28">
            <w:pPr>
              <w:jc w:val="center"/>
              <w:rPr>
                <w:rFonts w:ascii="Times New Roman" w:eastAsia="Times New Roman" w:hAnsi="Times New Roman" w:cs="Times New Roman"/>
                <w:b w:val="0"/>
                <w:bCs w:val="0"/>
              </w:rPr>
            </w:pPr>
            <w:r w:rsidRPr="00F547EA">
              <w:rPr>
                <w:rFonts w:ascii="Times New Roman" w:eastAsia="Times New Roman" w:hAnsi="Times New Roman" w:cs="Times New Roman"/>
              </w:rPr>
              <w:t>Año previo a elección de gobernador</w:t>
            </w:r>
          </w:p>
        </w:tc>
        <w:tc>
          <w:tcPr>
            <w:tcW w:w="1698" w:type="dxa"/>
            <w:tcBorders>
              <w:left w:val="single" w:sz="12" w:space="0" w:color="7BA0CD" w:themeColor="accent1" w:themeTint="BF"/>
            </w:tcBorders>
            <w:noWrap/>
            <w:vAlign w:val="bottom"/>
          </w:tcPr>
          <w:p w14:paraId="3E55ED2C" w14:textId="77777777" w:rsidR="0094319E" w:rsidRDefault="0094319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13.121183</w:t>
            </w:r>
          </w:p>
        </w:tc>
        <w:tc>
          <w:tcPr>
            <w:tcW w:w="1698" w:type="dxa"/>
            <w:noWrap/>
            <w:vAlign w:val="bottom"/>
          </w:tcPr>
          <w:p w14:paraId="017892FF" w14:textId="77777777" w:rsidR="0094319E" w:rsidRDefault="0094319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-647.27409</w:t>
            </w:r>
          </w:p>
        </w:tc>
        <w:tc>
          <w:tcPr>
            <w:tcW w:w="1698" w:type="dxa"/>
            <w:noWrap/>
            <w:vAlign w:val="bottom"/>
          </w:tcPr>
          <w:p w14:paraId="09ABE43B" w14:textId="77777777" w:rsidR="0094319E" w:rsidRDefault="0094319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217.43931</w:t>
            </w:r>
          </w:p>
        </w:tc>
        <w:tc>
          <w:tcPr>
            <w:tcW w:w="1698" w:type="dxa"/>
            <w:noWrap/>
            <w:vAlign w:val="bottom"/>
          </w:tcPr>
          <w:p w14:paraId="225F69A1" w14:textId="77777777" w:rsidR="0094319E" w:rsidRDefault="0094319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-2.7140404</w:t>
            </w:r>
          </w:p>
        </w:tc>
      </w:tr>
      <w:tr w:rsidR="0094319E" w:rsidRPr="00F547EA" w14:paraId="16EF418D" w14:textId="77777777" w:rsidTr="00CA3A28">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33AD7954" w14:textId="77777777" w:rsidR="0094319E" w:rsidRPr="00F547EA" w:rsidRDefault="0094319E" w:rsidP="00CA3A28">
            <w:pPr>
              <w:jc w:val="center"/>
              <w:rPr>
                <w:rFonts w:ascii="Times New Roman" w:eastAsia="Times New Roman" w:hAnsi="Times New Roman" w:cs="Times New Roman"/>
                <w:b w:val="0"/>
                <w:bCs w:val="0"/>
              </w:rPr>
            </w:pPr>
          </w:p>
        </w:tc>
        <w:tc>
          <w:tcPr>
            <w:tcW w:w="1698" w:type="dxa"/>
            <w:tcBorders>
              <w:left w:val="single" w:sz="12" w:space="0" w:color="7BA0CD" w:themeColor="accent1" w:themeTint="BF"/>
            </w:tcBorders>
            <w:noWrap/>
            <w:vAlign w:val="bottom"/>
          </w:tcPr>
          <w:p w14:paraId="21146954" w14:textId="77777777" w:rsidR="0094319E" w:rsidRDefault="0094319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85.309098</w:t>
            </w:r>
          </w:p>
        </w:tc>
        <w:tc>
          <w:tcPr>
            <w:tcW w:w="1698" w:type="dxa"/>
            <w:noWrap/>
            <w:vAlign w:val="bottom"/>
          </w:tcPr>
          <w:p w14:paraId="27197EE1" w14:textId="77777777" w:rsidR="0094319E" w:rsidRDefault="0094319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490.57025</w:t>
            </w:r>
          </w:p>
        </w:tc>
        <w:tc>
          <w:tcPr>
            <w:tcW w:w="1698" w:type="dxa"/>
            <w:noWrap/>
            <w:vAlign w:val="bottom"/>
          </w:tcPr>
          <w:p w14:paraId="18253C88" w14:textId="77777777" w:rsidR="0094319E" w:rsidRDefault="0094319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82.644415</w:t>
            </w:r>
          </w:p>
        </w:tc>
        <w:tc>
          <w:tcPr>
            <w:tcW w:w="1698" w:type="dxa"/>
            <w:noWrap/>
            <w:vAlign w:val="bottom"/>
          </w:tcPr>
          <w:p w14:paraId="678FE91F" w14:textId="77777777" w:rsidR="0094319E" w:rsidRDefault="0094319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89.129548</w:t>
            </w:r>
          </w:p>
        </w:tc>
      </w:tr>
      <w:tr w:rsidR="0094319E" w:rsidRPr="00F547EA" w14:paraId="29784BE5" w14:textId="77777777" w:rsidTr="00CA3A28">
        <w:trPr>
          <w:cnfStyle w:val="000000010000" w:firstRow="0" w:lastRow="0" w:firstColumn="0" w:lastColumn="0" w:oddVBand="0" w:evenVBand="0" w:oddHBand="0" w:evenHBand="1"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73B2784A" w14:textId="77777777" w:rsidR="0094319E" w:rsidRPr="00F547EA" w:rsidRDefault="0094319E" w:rsidP="00CA3A28">
            <w:pPr>
              <w:jc w:val="center"/>
              <w:rPr>
                <w:rFonts w:ascii="Times New Roman" w:eastAsia="Times New Roman" w:hAnsi="Times New Roman" w:cs="Times New Roman"/>
                <w:b w:val="0"/>
                <w:bCs w:val="0"/>
              </w:rPr>
            </w:pPr>
          </w:p>
        </w:tc>
        <w:tc>
          <w:tcPr>
            <w:tcW w:w="1698" w:type="dxa"/>
            <w:tcBorders>
              <w:left w:val="single" w:sz="12" w:space="0" w:color="7BA0CD" w:themeColor="accent1" w:themeTint="BF"/>
            </w:tcBorders>
            <w:noWrap/>
            <w:vAlign w:val="bottom"/>
          </w:tcPr>
          <w:p w14:paraId="20BDA652" w14:textId="77777777" w:rsidR="0094319E" w:rsidRDefault="0094319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0.8778</w:t>
            </w:r>
          </w:p>
        </w:tc>
        <w:tc>
          <w:tcPr>
            <w:tcW w:w="1698" w:type="dxa"/>
            <w:noWrap/>
            <w:vAlign w:val="bottom"/>
          </w:tcPr>
          <w:p w14:paraId="26A25FF2" w14:textId="77777777" w:rsidR="0094319E" w:rsidRDefault="0094319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0.187</w:t>
            </w:r>
          </w:p>
        </w:tc>
        <w:tc>
          <w:tcPr>
            <w:tcW w:w="1698" w:type="dxa"/>
            <w:noWrap/>
            <w:vAlign w:val="bottom"/>
          </w:tcPr>
          <w:p w14:paraId="3E479DAE" w14:textId="77777777" w:rsidR="0094319E" w:rsidRPr="00336523" w:rsidRDefault="0094319E">
            <w:pPr>
              <w:jc w:val="right"/>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336523">
              <w:rPr>
                <w:rFonts w:ascii="Calibri" w:hAnsi="Calibri"/>
                <w:b/>
                <w:color w:val="000000"/>
              </w:rPr>
              <w:t>0.0085</w:t>
            </w:r>
          </w:p>
        </w:tc>
        <w:tc>
          <w:tcPr>
            <w:tcW w:w="1698" w:type="dxa"/>
            <w:noWrap/>
            <w:vAlign w:val="bottom"/>
          </w:tcPr>
          <w:p w14:paraId="5C790316" w14:textId="77777777" w:rsidR="0094319E" w:rsidRDefault="0094319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0.9757</w:t>
            </w:r>
          </w:p>
        </w:tc>
      </w:tr>
      <w:tr w:rsidR="0094319E" w:rsidRPr="00F547EA" w14:paraId="63F1E817" w14:textId="77777777" w:rsidTr="00CA3A28">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vMerge w:val="restart"/>
            <w:tcBorders>
              <w:top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07044F0F" w14:textId="77777777" w:rsidR="0094319E" w:rsidRPr="00F547EA" w:rsidRDefault="0094319E" w:rsidP="00CA3A28">
            <w:pPr>
              <w:jc w:val="center"/>
              <w:rPr>
                <w:rFonts w:ascii="Times New Roman" w:eastAsia="Times New Roman" w:hAnsi="Times New Roman" w:cs="Times New Roman"/>
                <w:b w:val="0"/>
                <w:bCs w:val="0"/>
              </w:rPr>
            </w:pPr>
            <w:r w:rsidRPr="00F547EA">
              <w:rPr>
                <w:rFonts w:ascii="Times New Roman" w:eastAsia="Times New Roman" w:hAnsi="Times New Roman" w:cs="Times New Roman"/>
              </w:rPr>
              <w:t>Año electoral para gobernador</w:t>
            </w:r>
          </w:p>
        </w:tc>
        <w:tc>
          <w:tcPr>
            <w:tcW w:w="1698" w:type="dxa"/>
            <w:tcBorders>
              <w:left w:val="single" w:sz="12" w:space="0" w:color="7BA0CD" w:themeColor="accent1" w:themeTint="BF"/>
            </w:tcBorders>
            <w:noWrap/>
            <w:vAlign w:val="bottom"/>
          </w:tcPr>
          <w:p w14:paraId="4B59B523" w14:textId="77777777" w:rsidR="0094319E" w:rsidRDefault="0094319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-77.300497</w:t>
            </w:r>
          </w:p>
        </w:tc>
        <w:tc>
          <w:tcPr>
            <w:tcW w:w="1698" w:type="dxa"/>
            <w:noWrap/>
            <w:vAlign w:val="bottom"/>
          </w:tcPr>
          <w:p w14:paraId="4B86CC84" w14:textId="77777777" w:rsidR="0094319E" w:rsidRDefault="0094319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-1094.5225</w:t>
            </w:r>
          </w:p>
        </w:tc>
        <w:tc>
          <w:tcPr>
            <w:tcW w:w="1698" w:type="dxa"/>
            <w:noWrap/>
            <w:vAlign w:val="bottom"/>
          </w:tcPr>
          <w:p w14:paraId="0D60C4C4" w14:textId="77777777" w:rsidR="0094319E" w:rsidRDefault="0094319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219.3849</w:t>
            </w:r>
          </w:p>
        </w:tc>
        <w:tc>
          <w:tcPr>
            <w:tcW w:w="1698" w:type="dxa"/>
            <w:noWrap/>
            <w:vAlign w:val="bottom"/>
          </w:tcPr>
          <w:p w14:paraId="54693A64" w14:textId="77777777" w:rsidR="0094319E" w:rsidRDefault="0094319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-69.041798</w:t>
            </w:r>
          </w:p>
        </w:tc>
      </w:tr>
      <w:tr w:rsidR="0094319E" w:rsidRPr="00F547EA" w14:paraId="6257E44A" w14:textId="77777777" w:rsidTr="00CA3A28">
        <w:trPr>
          <w:cnfStyle w:val="000000010000" w:firstRow="0" w:lastRow="0" w:firstColumn="0" w:lastColumn="0" w:oddVBand="0" w:evenVBand="0" w:oddHBand="0" w:evenHBand="1"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5261AB6C" w14:textId="77777777" w:rsidR="0094319E" w:rsidRPr="00F547EA" w:rsidRDefault="0094319E" w:rsidP="00CA3A28">
            <w:pPr>
              <w:jc w:val="center"/>
              <w:rPr>
                <w:rFonts w:ascii="Times New Roman" w:eastAsia="Times New Roman" w:hAnsi="Times New Roman" w:cs="Times New Roman"/>
                <w:b w:val="0"/>
                <w:bCs w:val="0"/>
              </w:rPr>
            </w:pPr>
          </w:p>
        </w:tc>
        <w:tc>
          <w:tcPr>
            <w:tcW w:w="1698" w:type="dxa"/>
            <w:tcBorders>
              <w:left w:val="single" w:sz="12" w:space="0" w:color="7BA0CD" w:themeColor="accent1" w:themeTint="BF"/>
            </w:tcBorders>
            <w:noWrap/>
            <w:vAlign w:val="bottom"/>
          </w:tcPr>
          <w:p w14:paraId="07FA2BC0" w14:textId="77777777" w:rsidR="0094319E" w:rsidRDefault="0094319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87.792066</w:t>
            </w:r>
          </w:p>
        </w:tc>
        <w:tc>
          <w:tcPr>
            <w:tcW w:w="1698" w:type="dxa"/>
            <w:noWrap/>
            <w:vAlign w:val="bottom"/>
          </w:tcPr>
          <w:p w14:paraId="236D0C3D" w14:textId="77777777" w:rsidR="0094319E" w:rsidRDefault="0094319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596.8049</w:t>
            </w:r>
          </w:p>
        </w:tc>
        <w:tc>
          <w:tcPr>
            <w:tcW w:w="1698" w:type="dxa"/>
            <w:noWrap/>
            <w:vAlign w:val="bottom"/>
          </w:tcPr>
          <w:p w14:paraId="297B4F70" w14:textId="77777777" w:rsidR="0094319E" w:rsidRDefault="0094319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89.093676</w:t>
            </w:r>
          </w:p>
        </w:tc>
        <w:tc>
          <w:tcPr>
            <w:tcW w:w="1698" w:type="dxa"/>
            <w:noWrap/>
            <w:vAlign w:val="bottom"/>
          </w:tcPr>
          <w:p w14:paraId="7AA335E7" w14:textId="77777777" w:rsidR="0094319E" w:rsidRDefault="0094319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89.129548</w:t>
            </w:r>
          </w:p>
        </w:tc>
      </w:tr>
      <w:tr w:rsidR="0094319E" w:rsidRPr="00F547EA" w14:paraId="7763CCED" w14:textId="77777777" w:rsidTr="00CA3A28">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60DDD102" w14:textId="77777777" w:rsidR="0094319E" w:rsidRPr="00F547EA" w:rsidRDefault="0094319E" w:rsidP="00CA3A28">
            <w:pPr>
              <w:jc w:val="center"/>
              <w:rPr>
                <w:rFonts w:ascii="Times New Roman" w:eastAsia="Times New Roman" w:hAnsi="Times New Roman" w:cs="Times New Roman"/>
                <w:b w:val="0"/>
                <w:bCs w:val="0"/>
              </w:rPr>
            </w:pPr>
          </w:p>
        </w:tc>
        <w:tc>
          <w:tcPr>
            <w:tcW w:w="1698" w:type="dxa"/>
            <w:tcBorders>
              <w:left w:val="single" w:sz="12" w:space="0" w:color="7BA0CD" w:themeColor="accent1" w:themeTint="BF"/>
            </w:tcBorders>
            <w:noWrap/>
            <w:vAlign w:val="bottom"/>
          </w:tcPr>
          <w:p w14:paraId="38A829AC" w14:textId="77777777" w:rsidR="0094319E" w:rsidRDefault="0094319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0.3786</w:t>
            </w:r>
          </w:p>
        </w:tc>
        <w:tc>
          <w:tcPr>
            <w:tcW w:w="1698" w:type="dxa"/>
            <w:noWrap/>
            <w:vAlign w:val="bottom"/>
          </w:tcPr>
          <w:p w14:paraId="26536D33" w14:textId="77777777" w:rsidR="0094319E" w:rsidRDefault="0094319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0.0667</w:t>
            </w:r>
          </w:p>
        </w:tc>
        <w:tc>
          <w:tcPr>
            <w:tcW w:w="1698" w:type="dxa"/>
            <w:noWrap/>
            <w:vAlign w:val="bottom"/>
          </w:tcPr>
          <w:p w14:paraId="6990FC77" w14:textId="77777777" w:rsidR="0094319E" w:rsidRPr="00336523" w:rsidRDefault="0094319E">
            <w:pPr>
              <w:jc w:val="right"/>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336523">
              <w:rPr>
                <w:rFonts w:ascii="Calibri" w:hAnsi="Calibri"/>
                <w:b/>
                <w:color w:val="000000"/>
              </w:rPr>
              <w:t>0.0138</w:t>
            </w:r>
          </w:p>
        </w:tc>
        <w:tc>
          <w:tcPr>
            <w:tcW w:w="1698" w:type="dxa"/>
            <w:noWrap/>
            <w:vAlign w:val="bottom"/>
          </w:tcPr>
          <w:p w14:paraId="7A32513F" w14:textId="77777777" w:rsidR="0094319E" w:rsidRDefault="0094319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0.4386</w:t>
            </w:r>
          </w:p>
        </w:tc>
      </w:tr>
      <w:tr w:rsidR="0094319E" w:rsidRPr="00F547EA" w14:paraId="2CD6E24E" w14:textId="77777777" w:rsidTr="00CA3A28">
        <w:trPr>
          <w:cnfStyle w:val="000000010000" w:firstRow="0" w:lastRow="0" w:firstColumn="0" w:lastColumn="0" w:oddVBand="0" w:evenVBand="0" w:oddHBand="0" w:evenHBand="1"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vMerge w:val="restart"/>
            <w:tcBorders>
              <w:top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4AB9A7CB" w14:textId="77777777" w:rsidR="0094319E" w:rsidRPr="00F547EA" w:rsidRDefault="0094319E" w:rsidP="00CA3A28">
            <w:pPr>
              <w:jc w:val="center"/>
              <w:rPr>
                <w:rFonts w:ascii="Times New Roman" w:eastAsia="Times New Roman" w:hAnsi="Times New Roman" w:cs="Times New Roman"/>
                <w:b w:val="0"/>
                <w:bCs w:val="0"/>
              </w:rPr>
            </w:pPr>
            <w:r w:rsidRPr="00F547EA">
              <w:rPr>
                <w:rFonts w:ascii="Times New Roman" w:eastAsia="Times New Roman" w:hAnsi="Times New Roman" w:cs="Times New Roman"/>
              </w:rPr>
              <w:t>Constante</w:t>
            </w:r>
          </w:p>
        </w:tc>
        <w:tc>
          <w:tcPr>
            <w:tcW w:w="1698" w:type="dxa"/>
            <w:tcBorders>
              <w:left w:val="single" w:sz="12" w:space="0" w:color="7BA0CD" w:themeColor="accent1" w:themeTint="BF"/>
            </w:tcBorders>
            <w:noWrap/>
            <w:vAlign w:val="bottom"/>
          </w:tcPr>
          <w:p w14:paraId="4F66EEC9" w14:textId="77777777" w:rsidR="0094319E" w:rsidRDefault="0094319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-87097.959</w:t>
            </w:r>
          </w:p>
        </w:tc>
        <w:tc>
          <w:tcPr>
            <w:tcW w:w="1698" w:type="dxa"/>
            <w:noWrap/>
            <w:vAlign w:val="bottom"/>
          </w:tcPr>
          <w:p w14:paraId="3AE37F45" w14:textId="77777777" w:rsidR="0094319E" w:rsidRDefault="0094319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-558449.91</w:t>
            </w:r>
          </w:p>
        </w:tc>
        <w:tc>
          <w:tcPr>
            <w:tcW w:w="1698" w:type="dxa"/>
            <w:noWrap/>
            <w:vAlign w:val="bottom"/>
          </w:tcPr>
          <w:p w14:paraId="44964345" w14:textId="77777777" w:rsidR="0094319E" w:rsidRDefault="0094319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-56850.919</w:t>
            </w:r>
          </w:p>
        </w:tc>
        <w:tc>
          <w:tcPr>
            <w:tcW w:w="1698" w:type="dxa"/>
            <w:noWrap/>
            <w:vAlign w:val="bottom"/>
          </w:tcPr>
          <w:p w14:paraId="539F99AA" w14:textId="77777777" w:rsidR="0094319E" w:rsidRDefault="0094319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-68264.007</w:t>
            </w:r>
          </w:p>
        </w:tc>
      </w:tr>
      <w:tr w:rsidR="0094319E" w:rsidRPr="00F547EA" w14:paraId="0A7A0237" w14:textId="77777777" w:rsidTr="00CA3A28">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bottom w:val="single" w:sz="12" w:space="0" w:color="7BA0CD" w:themeColor="accent1" w:themeTint="BF"/>
              <w:right w:val="single" w:sz="12" w:space="0" w:color="7BA0CD" w:themeColor="accent1" w:themeTint="BF"/>
            </w:tcBorders>
            <w:noWrap/>
          </w:tcPr>
          <w:p w14:paraId="4AB4921E" w14:textId="77777777" w:rsidR="0094319E" w:rsidRPr="00F547EA" w:rsidRDefault="0094319E" w:rsidP="00CA3A28">
            <w:pPr>
              <w:rPr>
                <w:rFonts w:ascii="Times New Roman" w:eastAsia="Times New Roman" w:hAnsi="Times New Roman" w:cs="Times New Roman"/>
              </w:rPr>
            </w:pPr>
          </w:p>
        </w:tc>
        <w:tc>
          <w:tcPr>
            <w:tcW w:w="1698" w:type="dxa"/>
            <w:tcBorders>
              <w:left w:val="single" w:sz="12" w:space="0" w:color="7BA0CD" w:themeColor="accent1" w:themeTint="BF"/>
            </w:tcBorders>
            <w:noWrap/>
            <w:vAlign w:val="bottom"/>
          </w:tcPr>
          <w:p w14:paraId="0C566331" w14:textId="77777777" w:rsidR="0094319E" w:rsidRDefault="0094319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37730.547</w:t>
            </w:r>
          </w:p>
        </w:tc>
        <w:tc>
          <w:tcPr>
            <w:tcW w:w="1698" w:type="dxa"/>
            <w:noWrap/>
            <w:vAlign w:val="bottom"/>
          </w:tcPr>
          <w:p w14:paraId="6927FD8E" w14:textId="77777777" w:rsidR="0094319E" w:rsidRDefault="0094319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278691.27</w:t>
            </w:r>
          </w:p>
        </w:tc>
        <w:tc>
          <w:tcPr>
            <w:tcW w:w="1698" w:type="dxa"/>
            <w:noWrap/>
            <w:vAlign w:val="bottom"/>
          </w:tcPr>
          <w:p w14:paraId="3E37179D" w14:textId="77777777" w:rsidR="0094319E" w:rsidRDefault="0094319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38607.03</w:t>
            </w:r>
          </w:p>
        </w:tc>
        <w:tc>
          <w:tcPr>
            <w:tcW w:w="1698" w:type="dxa"/>
            <w:noWrap/>
            <w:vAlign w:val="bottom"/>
          </w:tcPr>
          <w:p w14:paraId="6291B282" w14:textId="77777777" w:rsidR="0094319E" w:rsidRDefault="0094319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38631.073</w:t>
            </w:r>
          </w:p>
        </w:tc>
      </w:tr>
      <w:tr w:rsidR="0094319E" w:rsidRPr="00F547EA" w14:paraId="123A2744" w14:textId="77777777" w:rsidTr="00CA3A28">
        <w:trPr>
          <w:cnfStyle w:val="000000010000" w:firstRow="0" w:lastRow="0" w:firstColumn="0" w:lastColumn="0" w:oddVBand="0" w:evenVBand="0" w:oddHBand="0" w:evenHBand="1"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bottom w:val="single" w:sz="8" w:space="0" w:color="7F7F7F" w:themeColor="text1" w:themeTint="80"/>
              <w:right w:val="single" w:sz="12" w:space="0" w:color="7BA0CD" w:themeColor="accent1" w:themeTint="BF"/>
            </w:tcBorders>
            <w:noWrap/>
          </w:tcPr>
          <w:p w14:paraId="05B3BB6B" w14:textId="77777777" w:rsidR="0094319E" w:rsidRPr="00F547EA" w:rsidRDefault="0094319E" w:rsidP="00CA3A28">
            <w:pPr>
              <w:rPr>
                <w:rFonts w:ascii="Times New Roman" w:eastAsia="Times New Roman" w:hAnsi="Times New Roman" w:cs="Times New Roman"/>
              </w:rPr>
            </w:pPr>
          </w:p>
        </w:tc>
        <w:tc>
          <w:tcPr>
            <w:tcW w:w="1698" w:type="dxa"/>
            <w:tcBorders>
              <w:left w:val="single" w:sz="12" w:space="0" w:color="7BA0CD" w:themeColor="accent1" w:themeTint="BF"/>
              <w:bottom w:val="single" w:sz="8" w:space="0" w:color="7F7F7F" w:themeColor="text1" w:themeTint="80"/>
            </w:tcBorders>
            <w:noWrap/>
            <w:vAlign w:val="bottom"/>
          </w:tcPr>
          <w:p w14:paraId="5B29BDA1" w14:textId="77777777" w:rsidR="0094319E" w:rsidRDefault="0094319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0.021</w:t>
            </w:r>
          </w:p>
        </w:tc>
        <w:tc>
          <w:tcPr>
            <w:tcW w:w="1698" w:type="dxa"/>
            <w:tcBorders>
              <w:bottom w:val="single" w:sz="8" w:space="0" w:color="7F7F7F" w:themeColor="text1" w:themeTint="80"/>
            </w:tcBorders>
            <w:noWrap/>
            <w:vAlign w:val="bottom"/>
          </w:tcPr>
          <w:p w14:paraId="6B5CA772" w14:textId="77777777" w:rsidR="0094319E" w:rsidRDefault="0094319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0.0451</w:t>
            </w:r>
          </w:p>
        </w:tc>
        <w:tc>
          <w:tcPr>
            <w:tcW w:w="1698" w:type="dxa"/>
            <w:tcBorders>
              <w:bottom w:val="single" w:sz="8" w:space="0" w:color="7F7F7F" w:themeColor="text1" w:themeTint="80"/>
            </w:tcBorders>
            <w:noWrap/>
            <w:vAlign w:val="bottom"/>
          </w:tcPr>
          <w:p w14:paraId="5C90B813" w14:textId="77777777" w:rsidR="0094319E" w:rsidRDefault="0094319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0.1409</w:t>
            </w:r>
          </w:p>
        </w:tc>
        <w:tc>
          <w:tcPr>
            <w:tcW w:w="1698" w:type="dxa"/>
            <w:tcBorders>
              <w:bottom w:val="single" w:sz="8" w:space="0" w:color="7F7F7F" w:themeColor="text1" w:themeTint="80"/>
            </w:tcBorders>
            <w:noWrap/>
            <w:vAlign w:val="bottom"/>
          </w:tcPr>
          <w:p w14:paraId="36F28DE4" w14:textId="77777777" w:rsidR="0094319E" w:rsidRDefault="0094319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0.0772</w:t>
            </w:r>
          </w:p>
        </w:tc>
      </w:tr>
      <w:tr w:rsidR="00CA3A28" w:rsidRPr="00F547EA" w14:paraId="52388FC3" w14:textId="77777777" w:rsidTr="00CA3A28">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BFBFBF" w:themeFill="background1" w:themeFillShade="BF"/>
            <w:noWrap/>
          </w:tcPr>
          <w:p w14:paraId="5C012176" w14:textId="77777777" w:rsidR="00CA3A28" w:rsidRPr="00F547EA" w:rsidRDefault="00CA3A28" w:rsidP="00CA3A28">
            <w:pPr>
              <w:rPr>
                <w:rFonts w:ascii="Times New Roman" w:eastAsia="Times New Roman" w:hAnsi="Times New Roman" w:cs="Times New Roman"/>
                <w:b w:val="0"/>
                <w:bCs w:val="0"/>
              </w:rPr>
            </w:pPr>
            <w:r w:rsidRPr="00F547EA">
              <w:rPr>
                <w:rFonts w:ascii="Times New Roman" w:eastAsia="Times New Roman" w:hAnsi="Times New Roman" w:cs="Times New Roman"/>
              </w:rPr>
              <w:t>Rho</w:t>
            </w:r>
          </w:p>
        </w:tc>
        <w:tc>
          <w:tcPr>
            <w:tcW w:w="1698"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BFBFBF" w:themeFill="background1" w:themeFillShade="BF"/>
            <w:noWrap/>
            <w:vAlign w:val="bottom"/>
          </w:tcPr>
          <w:p w14:paraId="326D89D4" w14:textId="77777777" w:rsidR="00CA3A28" w:rsidRPr="005C199B" w:rsidRDefault="00CA3A28" w:rsidP="00CA3A2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C199B">
              <w:rPr>
                <w:rFonts w:ascii="Times New Roman" w:hAnsi="Times New Roman" w:cs="Times New Roman"/>
              </w:rPr>
              <w:t>0.</w:t>
            </w:r>
            <w:r w:rsidR="009C054C">
              <w:t xml:space="preserve"> </w:t>
            </w:r>
            <w:r w:rsidR="0094319E" w:rsidRPr="0094319E">
              <w:rPr>
                <w:rFonts w:ascii="Times New Roman" w:hAnsi="Times New Roman" w:cs="Times New Roman"/>
              </w:rPr>
              <w:t>03028315</w:t>
            </w:r>
          </w:p>
        </w:tc>
        <w:tc>
          <w:tcPr>
            <w:tcW w:w="1698"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BFBFBF" w:themeFill="background1" w:themeFillShade="BF"/>
            <w:noWrap/>
            <w:vAlign w:val="bottom"/>
          </w:tcPr>
          <w:p w14:paraId="2F4D5B50" w14:textId="77777777" w:rsidR="00CA3A28" w:rsidRPr="005C199B" w:rsidRDefault="00CA3A28" w:rsidP="00CA3A2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C199B">
              <w:rPr>
                <w:rFonts w:ascii="Times New Roman" w:hAnsi="Times New Roman" w:cs="Times New Roman"/>
              </w:rPr>
              <w:t>0</w:t>
            </w:r>
          </w:p>
        </w:tc>
        <w:tc>
          <w:tcPr>
            <w:tcW w:w="1698"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BFBFBF" w:themeFill="background1" w:themeFillShade="BF"/>
            <w:noWrap/>
            <w:vAlign w:val="bottom"/>
          </w:tcPr>
          <w:p w14:paraId="45B4E8F9" w14:textId="77777777" w:rsidR="00CA3A28" w:rsidRPr="005C199B" w:rsidRDefault="00CA3A28" w:rsidP="00CA3A2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C199B">
              <w:rPr>
                <w:rFonts w:ascii="Times New Roman" w:hAnsi="Times New Roman" w:cs="Times New Roman"/>
              </w:rPr>
              <w:t>0.</w:t>
            </w:r>
            <w:r>
              <w:t xml:space="preserve"> </w:t>
            </w:r>
            <w:r w:rsidR="0094319E" w:rsidRPr="0094319E">
              <w:rPr>
                <w:rFonts w:ascii="Times New Roman" w:hAnsi="Times New Roman" w:cs="Times New Roman"/>
              </w:rPr>
              <w:t>10703999</w:t>
            </w:r>
          </w:p>
        </w:tc>
        <w:tc>
          <w:tcPr>
            <w:tcW w:w="1698"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BFBFBF" w:themeFill="background1" w:themeFillShade="BF"/>
            <w:noWrap/>
            <w:vAlign w:val="bottom"/>
          </w:tcPr>
          <w:p w14:paraId="485A7B4A" w14:textId="77777777" w:rsidR="00CA3A28" w:rsidRPr="005C199B" w:rsidRDefault="00CA3A28" w:rsidP="00CA3A2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C199B">
              <w:rPr>
                <w:rFonts w:ascii="Times New Roman" w:hAnsi="Times New Roman" w:cs="Times New Roman"/>
              </w:rPr>
              <w:t>0.</w:t>
            </w:r>
            <w:r>
              <w:t xml:space="preserve"> </w:t>
            </w:r>
            <w:r w:rsidR="0094319E" w:rsidRPr="0094319E">
              <w:rPr>
                <w:rFonts w:ascii="Times New Roman" w:hAnsi="Times New Roman" w:cs="Times New Roman"/>
              </w:rPr>
              <w:t>04866081</w:t>
            </w:r>
          </w:p>
        </w:tc>
      </w:tr>
      <w:tr w:rsidR="00CA3A28" w:rsidRPr="00F547EA" w14:paraId="33FA106A" w14:textId="77777777" w:rsidTr="00CA3A28">
        <w:trPr>
          <w:cnfStyle w:val="000000010000" w:firstRow="0" w:lastRow="0" w:firstColumn="0" w:lastColumn="0" w:oddVBand="0" w:evenVBand="0" w:oddHBand="0" w:evenHBand="1"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BFBFBF" w:themeFill="background1" w:themeFillShade="BF"/>
            <w:noWrap/>
          </w:tcPr>
          <w:p w14:paraId="5EF0096C" w14:textId="77777777" w:rsidR="00CA3A28" w:rsidRPr="00F547EA" w:rsidRDefault="00CA3A28" w:rsidP="00CA3A28">
            <w:pPr>
              <w:rPr>
                <w:rFonts w:ascii="Times New Roman" w:eastAsia="Times New Roman" w:hAnsi="Times New Roman" w:cs="Times New Roman"/>
                <w:b w:val="0"/>
                <w:bCs w:val="0"/>
              </w:rPr>
            </w:pPr>
            <w:r w:rsidRPr="00F547EA">
              <w:rPr>
                <w:rFonts w:ascii="Times New Roman" w:eastAsia="Times New Roman" w:hAnsi="Times New Roman" w:cs="Times New Roman"/>
              </w:rPr>
              <w:t>Observaciones</w:t>
            </w:r>
          </w:p>
        </w:tc>
        <w:tc>
          <w:tcPr>
            <w:tcW w:w="1698"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BFBFBF" w:themeFill="background1" w:themeFillShade="BF"/>
            <w:noWrap/>
            <w:vAlign w:val="bottom"/>
          </w:tcPr>
          <w:p w14:paraId="39A66F6B" w14:textId="77777777" w:rsidR="00CA3A28" w:rsidRPr="005C199B" w:rsidRDefault="00CA3A28" w:rsidP="00CA3A28">
            <w:pPr>
              <w:jc w:val="righ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rPr>
            </w:pPr>
            <w:r>
              <w:rPr>
                <w:rFonts w:ascii="Times New Roman" w:hAnsi="Times New Roman" w:cs="Times New Roman"/>
              </w:rPr>
              <w:t>4518</w:t>
            </w:r>
          </w:p>
        </w:tc>
        <w:tc>
          <w:tcPr>
            <w:tcW w:w="1698"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BFBFBF" w:themeFill="background1" w:themeFillShade="BF"/>
            <w:noWrap/>
            <w:vAlign w:val="bottom"/>
          </w:tcPr>
          <w:p w14:paraId="410D2706" w14:textId="77777777" w:rsidR="00CA3A28" w:rsidRPr="005C199B" w:rsidRDefault="00CA3A28" w:rsidP="00CA3A28">
            <w:pPr>
              <w:jc w:val="righ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rPr>
            </w:pPr>
            <w:r w:rsidRPr="005C199B">
              <w:rPr>
                <w:rFonts w:ascii="Times New Roman" w:hAnsi="Times New Roman" w:cs="Times New Roman"/>
              </w:rPr>
              <w:t>690</w:t>
            </w:r>
          </w:p>
        </w:tc>
        <w:tc>
          <w:tcPr>
            <w:tcW w:w="1698"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BFBFBF" w:themeFill="background1" w:themeFillShade="BF"/>
            <w:noWrap/>
            <w:vAlign w:val="bottom"/>
          </w:tcPr>
          <w:p w14:paraId="309EF223" w14:textId="77777777" w:rsidR="00CA3A28" w:rsidRPr="005C199B" w:rsidRDefault="00CA3A28" w:rsidP="00CA3A28">
            <w:pPr>
              <w:jc w:val="righ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rPr>
            </w:pPr>
            <w:r w:rsidRPr="005C199B">
              <w:rPr>
                <w:rFonts w:ascii="Times New Roman" w:hAnsi="Times New Roman" w:cs="Times New Roman"/>
              </w:rPr>
              <w:t>456</w:t>
            </w:r>
          </w:p>
        </w:tc>
        <w:tc>
          <w:tcPr>
            <w:tcW w:w="1698" w:type="dxa"/>
            <w:tcBorders>
              <w:top w:val="single" w:sz="8" w:space="0" w:color="7F7F7F" w:themeColor="text1" w:themeTint="80"/>
              <w:left w:val="single" w:sz="8" w:space="0" w:color="7F7F7F" w:themeColor="text1" w:themeTint="80"/>
              <w:right w:val="single" w:sz="8" w:space="0" w:color="7F7F7F" w:themeColor="text1" w:themeTint="80"/>
            </w:tcBorders>
            <w:shd w:val="clear" w:color="auto" w:fill="BFBFBF" w:themeFill="background1" w:themeFillShade="BF"/>
            <w:noWrap/>
            <w:vAlign w:val="bottom"/>
          </w:tcPr>
          <w:p w14:paraId="5CBC0433" w14:textId="77777777" w:rsidR="00CA3A28" w:rsidRPr="005C199B" w:rsidRDefault="00CA3A28" w:rsidP="00CA3A28">
            <w:pPr>
              <w:jc w:val="righ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rPr>
            </w:pPr>
            <w:r>
              <w:rPr>
                <w:rFonts w:ascii="Times New Roman" w:hAnsi="Times New Roman" w:cs="Times New Roman"/>
              </w:rPr>
              <w:t>3372</w:t>
            </w:r>
          </w:p>
        </w:tc>
      </w:tr>
      <w:tr w:rsidR="00CA3A28" w:rsidRPr="00F547EA" w14:paraId="727F115C" w14:textId="77777777" w:rsidTr="00CA3A28">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BFBFBF" w:themeFill="background1" w:themeFillShade="BF"/>
            <w:noWrap/>
          </w:tcPr>
          <w:p w14:paraId="1B547DF7" w14:textId="77777777" w:rsidR="00CA3A28" w:rsidRPr="00F547EA" w:rsidRDefault="00CA3A28" w:rsidP="00CA3A28">
            <w:pPr>
              <w:rPr>
                <w:rFonts w:ascii="Times New Roman" w:eastAsia="Times New Roman" w:hAnsi="Times New Roman" w:cs="Times New Roman"/>
              </w:rPr>
            </w:pPr>
          </w:p>
        </w:tc>
        <w:tc>
          <w:tcPr>
            <w:tcW w:w="1698"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BFBFBF" w:themeFill="background1" w:themeFillShade="BF"/>
            <w:noWrap/>
          </w:tcPr>
          <w:p w14:paraId="13711CD6" w14:textId="77777777" w:rsidR="00CA3A28" w:rsidRPr="00F547EA" w:rsidRDefault="00CA3A28" w:rsidP="00CA3A2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698"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BFBFBF" w:themeFill="background1" w:themeFillShade="BF"/>
            <w:noWrap/>
          </w:tcPr>
          <w:p w14:paraId="756C08BE" w14:textId="77777777" w:rsidR="00CA3A28" w:rsidRPr="00F547EA" w:rsidRDefault="00CA3A28" w:rsidP="00CA3A2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698"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BFBFBF" w:themeFill="background1" w:themeFillShade="BF"/>
            <w:noWrap/>
          </w:tcPr>
          <w:p w14:paraId="4C985A68" w14:textId="77777777" w:rsidR="00CA3A28" w:rsidRPr="00F547EA" w:rsidRDefault="00CA3A28" w:rsidP="00CA3A2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698" w:type="dxa"/>
            <w:tcBorders>
              <w:top w:val="single" w:sz="8" w:space="0" w:color="7F7F7F" w:themeColor="text1" w:themeTint="80"/>
              <w:left w:val="single" w:sz="8" w:space="0" w:color="7F7F7F" w:themeColor="text1" w:themeTint="80"/>
              <w:right w:val="single" w:sz="8" w:space="0" w:color="7F7F7F" w:themeColor="text1" w:themeTint="80"/>
            </w:tcBorders>
            <w:shd w:val="clear" w:color="auto" w:fill="BFBFBF" w:themeFill="background1" w:themeFillShade="BF"/>
            <w:noWrap/>
          </w:tcPr>
          <w:p w14:paraId="0BD12B84" w14:textId="77777777" w:rsidR="00CA3A28" w:rsidRPr="00F547EA" w:rsidRDefault="00CA3A28" w:rsidP="00CA3A2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547EA">
              <w:rPr>
                <w:rFonts w:ascii="Times New Roman" w:eastAsia="Times New Roman" w:hAnsi="Times New Roman" w:cs="Times New Roman"/>
                <w:b/>
                <w:bCs/>
              </w:rPr>
              <w:t>filas: b/</w:t>
            </w:r>
            <w:r>
              <w:rPr>
                <w:rFonts w:ascii="Times New Roman" w:eastAsia="Times New Roman" w:hAnsi="Times New Roman" w:cs="Times New Roman"/>
                <w:b/>
                <w:bCs/>
              </w:rPr>
              <w:t>d</w:t>
            </w:r>
            <w:r w:rsidRPr="00F547EA">
              <w:rPr>
                <w:rFonts w:ascii="Times New Roman" w:eastAsia="Times New Roman" w:hAnsi="Times New Roman" w:cs="Times New Roman"/>
                <w:b/>
                <w:bCs/>
              </w:rPr>
              <w:t>e/p</w:t>
            </w:r>
          </w:p>
        </w:tc>
      </w:tr>
    </w:tbl>
    <w:p w14:paraId="0FC9EF49" w14:textId="77777777" w:rsidR="00CA3A28" w:rsidRDefault="00CA3A28" w:rsidP="00064F02">
      <w:pPr>
        <w:spacing w:line="480" w:lineRule="auto"/>
        <w:jc w:val="both"/>
        <w:rPr>
          <w:rFonts w:ascii="Times New Roman" w:hAnsi="Times New Roman" w:cs="Times New Roman"/>
          <w:sz w:val="24"/>
          <w:szCs w:val="24"/>
        </w:rPr>
      </w:pPr>
    </w:p>
    <w:p w14:paraId="09023A63" w14:textId="77777777" w:rsidR="003D4221" w:rsidRDefault="003D4221">
      <w:pPr>
        <w:rPr>
          <w:rFonts w:ascii="Times New Roman" w:hAnsi="Times New Roman" w:cs="Times New Roman"/>
          <w:b/>
          <w:sz w:val="24"/>
          <w:szCs w:val="24"/>
        </w:rPr>
      </w:pPr>
      <w:r>
        <w:rPr>
          <w:rFonts w:ascii="Times New Roman" w:hAnsi="Times New Roman" w:cs="Times New Roman"/>
          <w:b/>
          <w:sz w:val="24"/>
          <w:szCs w:val="24"/>
        </w:rPr>
        <w:br w:type="page"/>
      </w:r>
    </w:p>
    <w:p w14:paraId="50ED768C" w14:textId="2434648D" w:rsidR="00CA3A28" w:rsidRDefault="00CA3A28" w:rsidP="00CA3A28">
      <w:pPr>
        <w:spacing w:after="0"/>
        <w:jc w:val="center"/>
        <w:rPr>
          <w:rFonts w:ascii="Times New Roman" w:hAnsi="Times New Roman" w:cs="Times New Roman"/>
          <w:sz w:val="24"/>
          <w:szCs w:val="24"/>
        </w:rPr>
      </w:pPr>
      <w:r>
        <w:rPr>
          <w:rFonts w:ascii="Times New Roman" w:hAnsi="Times New Roman" w:cs="Times New Roman"/>
          <w:b/>
          <w:sz w:val="24"/>
          <w:szCs w:val="24"/>
        </w:rPr>
        <w:lastRenderedPageBreak/>
        <w:t>Tabla 7</w:t>
      </w:r>
      <w:r w:rsidRPr="00FE28B6">
        <w:rPr>
          <w:rFonts w:ascii="Times New Roman" w:hAnsi="Times New Roman" w:cs="Times New Roman"/>
          <w:b/>
          <w:sz w:val="24"/>
          <w:szCs w:val="24"/>
        </w:rPr>
        <w:t xml:space="preserve">. </w:t>
      </w:r>
      <w:r>
        <w:rPr>
          <w:rFonts w:ascii="Times New Roman" w:hAnsi="Times New Roman" w:cs="Times New Roman"/>
          <w:b/>
          <w:sz w:val="24"/>
          <w:szCs w:val="24"/>
        </w:rPr>
        <w:t xml:space="preserve">Resultados de los modelos para número de proyectos sin las variables de </w:t>
      </w:r>
      <w:r w:rsidR="009D20BA">
        <w:rPr>
          <w:rFonts w:ascii="Times New Roman" w:hAnsi="Times New Roman" w:cs="Times New Roman"/>
          <w:b/>
          <w:sz w:val="24"/>
          <w:szCs w:val="24"/>
        </w:rPr>
        <w:t xml:space="preserve">ciclo electoral </w:t>
      </w:r>
      <w:r>
        <w:rPr>
          <w:rFonts w:ascii="Times New Roman" w:hAnsi="Times New Roman" w:cs="Times New Roman"/>
          <w:b/>
          <w:sz w:val="24"/>
          <w:szCs w:val="24"/>
        </w:rPr>
        <w:t>local</w:t>
      </w:r>
    </w:p>
    <w:tbl>
      <w:tblPr>
        <w:tblStyle w:val="Sombreadomedio1-nfasis1"/>
        <w:tblW w:w="8981" w:type="dxa"/>
        <w:tblLook w:val="04A0" w:firstRow="1" w:lastRow="0" w:firstColumn="1" w:lastColumn="0" w:noHBand="0" w:noVBand="1"/>
      </w:tblPr>
      <w:tblGrid>
        <w:gridCol w:w="2177"/>
        <w:gridCol w:w="1701"/>
        <w:gridCol w:w="1701"/>
        <w:gridCol w:w="1701"/>
        <w:gridCol w:w="1701"/>
      </w:tblGrid>
      <w:tr w:rsidR="00CA3A28" w:rsidRPr="00F547EA" w14:paraId="27B15639" w14:textId="77777777" w:rsidTr="00CA3A28">
        <w:trPr>
          <w:cnfStyle w:val="100000000000" w:firstRow="1" w:lastRow="0" w:firstColumn="0" w:lastColumn="0" w:oddVBand="0" w:evenVBand="0" w:oddHBand="0" w:evenHBand="0" w:firstRowFirstColumn="0" w:firstRowLastColumn="0" w:lastRowFirstColumn="0" w:lastRowLastColumn="0"/>
          <w:trHeight w:val="1348"/>
        </w:trPr>
        <w:tc>
          <w:tcPr>
            <w:cnfStyle w:val="001000000000" w:firstRow="0" w:lastRow="0" w:firstColumn="1" w:lastColumn="0" w:oddVBand="0" w:evenVBand="0" w:oddHBand="0" w:evenHBand="0" w:firstRowFirstColumn="0" w:firstRowLastColumn="0" w:lastRowFirstColumn="0" w:lastRowLastColumn="0"/>
            <w:tcW w:w="2177" w:type="dxa"/>
            <w:tcBorders>
              <w:bottom w:val="single" w:sz="12" w:space="0" w:color="7BA0CD" w:themeColor="accent1" w:themeTint="BF"/>
            </w:tcBorders>
            <w:noWrap/>
            <w:vAlign w:val="center"/>
          </w:tcPr>
          <w:p w14:paraId="40E9A716" w14:textId="77777777" w:rsidR="00CA3A28" w:rsidRPr="00F547EA" w:rsidRDefault="00CA3A28" w:rsidP="00CA3A28">
            <w:pPr>
              <w:jc w:val="center"/>
              <w:rPr>
                <w:rFonts w:ascii="Times New Roman" w:eastAsia="Times New Roman" w:hAnsi="Times New Roman" w:cs="Times New Roman"/>
                <w:b w:val="0"/>
                <w:bCs w:val="0"/>
                <w:sz w:val="24"/>
                <w:szCs w:val="24"/>
              </w:rPr>
            </w:pPr>
            <w:r w:rsidRPr="00F547EA">
              <w:rPr>
                <w:rFonts w:ascii="Times New Roman" w:eastAsia="Times New Roman" w:hAnsi="Times New Roman" w:cs="Times New Roman"/>
                <w:sz w:val="24"/>
                <w:szCs w:val="24"/>
              </w:rPr>
              <w:t>Variable</w:t>
            </w:r>
          </w:p>
        </w:tc>
        <w:tc>
          <w:tcPr>
            <w:tcW w:w="1701" w:type="dxa"/>
            <w:noWrap/>
            <w:vAlign w:val="center"/>
          </w:tcPr>
          <w:p w14:paraId="5EBBC2BE" w14:textId="77777777" w:rsidR="00CA3A28" w:rsidRPr="00F547EA" w:rsidRDefault="00CA3A28" w:rsidP="00CA3A2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Pr>
                <w:rFonts w:ascii="Times New Roman" w:eastAsia="Times New Roman" w:hAnsi="Times New Roman" w:cs="Times New Roman"/>
                <w:sz w:val="24"/>
                <w:szCs w:val="24"/>
              </w:rPr>
              <w:t>Modelo general número de proyectos</w:t>
            </w:r>
          </w:p>
        </w:tc>
        <w:tc>
          <w:tcPr>
            <w:tcW w:w="1701" w:type="dxa"/>
            <w:noWrap/>
            <w:vAlign w:val="center"/>
          </w:tcPr>
          <w:p w14:paraId="642AE55D" w14:textId="77777777" w:rsidR="00CA3A28" w:rsidRPr="00F547EA" w:rsidRDefault="00CA3A28" w:rsidP="00CA3A2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Pr>
                <w:rFonts w:ascii="Times New Roman" w:eastAsia="Times New Roman" w:hAnsi="Times New Roman" w:cs="Times New Roman"/>
                <w:sz w:val="24"/>
                <w:szCs w:val="24"/>
              </w:rPr>
              <w:t>Modelo número de proyectos Chiapas</w:t>
            </w:r>
          </w:p>
        </w:tc>
        <w:tc>
          <w:tcPr>
            <w:tcW w:w="1701" w:type="dxa"/>
            <w:noWrap/>
            <w:vAlign w:val="center"/>
          </w:tcPr>
          <w:p w14:paraId="5CAE01AA" w14:textId="77777777" w:rsidR="00CA3A28" w:rsidRPr="00F547EA" w:rsidRDefault="00CA3A28" w:rsidP="00CA3A2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Pr>
                <w:rFonts w:ascii="Times New Roman" w:eastAsia="Times New Roman" w:hAnsi="Times New Roman" w:cs="Times New Roman"/>
                <w:sz w:val="24"/>
                <w:szCs w:val="24"/>
              </w:rPr>
              <w:t>Modelo número de proyectos Guerrero</w:t>
            </w:r>
          </w:p>
        </w:tc>
        <w:tc>
          <w:tcPr>
            <w:tcW w:w="1701" w:type="dxa"/>
            <w:noWrap/>
            <w:vAlign w:val="center"/>
          </w:tcPr>
          <w:p w14:paraId="1A82D1A5" w14:textId="77777777" w:rsidR="00CA3A28" w:rsidRPr="00F547EA" w:rsidRDefault="00CA3A28" w:rsidP="00CA3A2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Pr>
                <w:rFonts w:ascii="Times New Roman" w:eastAsia="Times New Roman" w:hAnsi="Times New Roman" w:cs="Times New Roman"/>
                <w:sz w:val="24"/>
                <w:szCs w:val="24"/>
              </w:rPr>
              <w:t>Modelo número de proyectos Oaxaca</w:t>
            </w:r>
          </w:p>
        </w:tc>
      </w:tr>
      <w:tr w:rsidR="002916B5" w:rsidRPr="00F547EA" w14:paraId="76ABA3FD" w14:textId="77777777" w:rsidTr="00CA3A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7" w:type="dxa"/>
            <w:vMerge w:val="restart"/>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594593C9" w14:textId="77777777" w:rsidR="002916B5" w:rsidRPr="00F547EA" w:rsidRDefault="002916B5" w:rsidP="00CA3A28">
            <w:pPr>
              <w:jc w:val="center"/>
              <w:rPr>
                <w:rFonts w:ascii="Times New Roman" w:eastAsia="Times New Roman" w:hAnsi="Times New Roman" w:cs="Times New Roman"/>
                <w:b w:val="0"/>
                <w:bCs w:val="0"/>
                <w:color w:val="000000" w:themeColor="text1"/>
              </w:rPr>
            </w:pPr>
            <w:r w:rsidRPr="00F547EA">
              <w:rPr>
                <w:rFonts w:ascii="Times New Roman" w:eastAsia="Times New Roman" w:hAnsi="Times New Roman" w:cs="Times New Roman"/>
                <w:color w:val="000000" w:themeColor="text1"/>
              </w:rPr>
              <w:t>Margen de victoria</w:t>
            </w:r>
          </w:p>
        </w:tc>
        <w:tc>
          <w:tcPr>
            <w:tcW w:w="1701" w:type="dxa"/>
            <w:tcBorders>
              <w:left w:val="single" w:sz="12" w:space="0" w:color="7BA0CD" w:themeColor="accent1" w:themeTint="BF"/>
            </w:tcBorders>
            <w:noWrap/>
            <w:vAlign w:val="bottom"/>
          </w:tcPr>
          <w:p w14:paraId="5D436002" w14:textId="77777777" w:rsidR="002916B5" w:rsidRPr="00003507" w:rsidRDefault="002916B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03507">
              <w:rPr>
                <w:rFonts w:ascii="Calibri" w:hAnsi="Calibri"/>
                <w:color w:val="000000"/>
              </w:rPr>
              <w:t>-0.00238809</w:t>
            </w:r>
          </w:p>
        </w:tc>
        <w:tc>
          <w:tcPr>
            <w:tcW w:w="1701" w:type="dxa"/>
            <w:noWrap/>
            <w:vAlign w:val="bottom"/>
          </w:tcPr>
          <w:p w14:paraId="7CC70C55" w14:textId="77777777" w:rsidR="002916B5" w:rsidRPr="00003507" w:rsidRDefault="002916B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03507">
              <w:rPr>
                <w:rFonts w:ascii="Calibri" w:hAnsi="Calibri"/>
                <w:color w:val="000000"/>
              </w:rPr>
              <w:t>0.00079917</w:t>
            </w:r>
          </w:p>
        </w:tc>
        <w:tc>
          <w:tcPr>
            <w:tcW w:w="1701" w:type="dxa"/>
            <w:noWrap/>
            <w:vAlign w:val="bottom"/>
          </w:tcPr>
          <w:p w14:paraId="7B311063" w14:textId="77777777" w:rsidR="002916B5" w:rsidRPr="00003507" w:rsidRDefault="002916B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03507">
              <w:rPr>
                <w:rFonts w:ascii="Calibri" w:hAnsi="Calibri"/>
                <w:color w:val="000000"/>
              </w:rPr>
              <w:t>0.00607027</w:t>
            </w:r>
          </w:p>
        </w:tc>
        <w:tc>
          <w:tcPr>
            <w:tcW w:w="1701" w:type="dxa"/>
            <w:noWrap/>
            <w:vAlign w:val="bottom"/>
          </w:tcPr>
          <w:p w14:paraId="244E9B61" w14:textId="77777777" w:rsidR="002916B5" w:rsidRPr="00003507" w:rsidRDefault="002916B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03507">
              <w:rPr>
                <w:rFonts w:ascii="Calibri" w:hAnsi="Calibri"/>
                <w:color w:val="000000"/>
              </w:rPr>
              <w:t>0.00166853</w:t>
            </w:r>
          </w:p>
        </w:tc>
      </w:tr>
      <w:tr w:rsidR="002916B5" w:rsidRPr="00F547EA" w14:paraId="61B03DE6" w14:textId="77777777" w:rsidTr="00CA3A2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31BF1340" w14:textId="77777777" w:rsidR="002916B5" w:rsidRPr="00F547EA" w:rsidRDefault="002916B5" w:rsidP="00CA3A28">
            <w:pPr>
              <w:jc w:val="center"/>
              <w:rPr>
                <w:rFonts w:ascii="Times New Roman" w:eastAsia="Times New Roman" w:hAnsi="Times New Roman" w:cs="Times New Roman"/>
                <w:b w:val="0"/>
                <w:bCs w:val="0"/>
                <w:color w:val="000000" w:themeColor="text1"/>
              </w:rPr>
            </w:pPr>
          </w:p>
        </w:tc>
        <w:tc>
          <w:tcPr>
            <w:tcW w:w="1701" w:type="dxa"/>
            <w:tcBorders>
              <w:left w:val="single" w:sz="12" w:space="0" w:color="7BA0CD" w:themeColor="accent1" w:themeTint="BF"/>
            </w:tcBorders>
            <w:noWrap/>
            <w:vAlign w:val="bottom"/>
          </w:tcPr>
          <w:p w14:paraId="0A525F49" w14:textId="77777777" w:rsidR="002916B5" w:rsidRPr="00003507" w:rsidRDefault="002916B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sidRPr="00003507">
              <w:rPr>
                <w:rFonts w:ascii="Calibri" w:hAnsi="Calibri"/>
                <w:color w:val="000000"/>
              </w:rPr>
              <w:t>0.00113962</w:t>
            </w:r>
          </w:p>
        </w:tc>
        <w:tc>
          <w:tcPr>
            <w:tcW w:w="1701" w:type="dxa"/>
            <w:noWrap/>
            <w:vAlign w:val="bottom"/>
          </w:tcPr>
          <w:p w14:paraId="151E2F9D" w14:textId="77777777" w:rsidR="002916B5" w:rsidRPr="00003507" w:rsidRDefault="002916B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sidRPr="00003507">
              <w:rPr>
                <w:rFonts w:ascii="Calibri" w:hAnsi="Calibri"/>
                <w:color w:val="000000"/>
              </w:rPr>
              <w:t>0.00332026</w:t>
            </w:r>
          </w:p>
        </w:tc>
        <w:tc>
          <w:tcPr>
            <w:tcW w:w="1701" w:type="dxa"/>
            <w:noWrap/>
            <w:vAlign w:val="bottom"/>
          </w:tcPr>
          <w:p w14:paraId="42156770" w14:textId="77777777" w:rsidR="002916B5" w:rsidRPr="00003507" w:rsidRDefault="002916B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sidRPr="00003507">
              <w:rPr>
                <w:rFonts w:ascii="Calibri" w:hAnsi="Calibri"/>
                <w:color w:val="000000"/>
              </w:rPr>
              <w:t>0.00583692</w:t>
            </w:r>
          </w:p>
        </w:tc>
        <w:tc>
          <w:tcPr>
            <w:tcW w:w="1701" w:type="dxa"/>
            <w:noWrap/>
            <w:vAlign w:val="bottom"/>
          </w:tcPr>
          <w:p w14:paraId="4A2DFF84" w14:textId="77777777" w:rsidR="002916B5" w:rsidRPr="00003507" w:rsidRDefault="002916B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sidRPr="00003507">
              <w:rPr>
                <w:rFonts w:ascii="Calibri" w:hAnsi="Calibri"/>
                <w:color w:val="000000"/>
              </w:rPr>
              <w:t>0.00076414</w:t>
            </w:r>
          </w:p>
        </w:tc>
      </w:tr>
      <w:tr w:rsidR="002916B5" w:rsidRPr="00F547EA" w14:paraId="33F381CE" w14:textId="77777777" w:rsidTr="00CA3A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41437D51" w14:textId="77777777" w:rsidR="002916B5" w:rsidRPr="00F547EA" w:rsidRDefault="002916B5" w:rsidP="00CA3A28">
            <w:pPr>
              <w:jc w:val="center"/>
              <w:rPr>
                <w:rFonts w:ascii="Times New Roman" w:eastAsia="Times New Roman" w:hAnsi="Times New Roman" w:cs="Times New Roman"/>
                <w:b w:val="0"/>
                <w:bCs w:val="0"/>
                <w:color w:val="000000" w:themeColor="text1"/>
              </w:rPr>
            </w:pPr>
          </w:p>
        </w:tc>
        <w:tc>
          <w:tcPr>
            <w:tcW w:w="1701" w:type="dxa"/>
            <w:tcBorders>
              <w:left w:val="single" w:sz="12" w:space="0" w:color="7BA0CD" w:themeColor="accent1" w:themeTint="BF"/>
            </w:tcBorders>
            <w:noWrap/>
            <w:vAlign w:val="bottom"/>
          </w:tcPr>
          <w:p w14:paraId="552B6152" w14:textId="77777777" w:rsidR="002916B5" w:rsidRPr="00336523" w:rsidRDefault="002916B5">
            <w:pPr>
              <w:jc w:val="right"/>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336523">
              <w:rPr>
                <w:rFonts w:ascii="Calibri" w:hAnsi="Calibri"/>
                <w:b/>
                <w:color w:val="000000"/>
              </w:rPr>
              <w:t>0.0361</w:t>
            </w:r>
          </w:p>
        </w:tc>
        <w:tc>
          <w:tcPr>
            <w:tcW w:w="1701" w:type="dxa"/>
            <w:noWrap/>
            <w:vAlign w:val="bottom"/>
          </w:tcPr>
          <w:p w14:paraId="7C4158E8" w14:textId="77777777" w:rsidR="002916B5" w:rsidRPr="00003507" w:rsidRDefault="002916B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03507">
              <w:rPr>
                <w:rFonts w:ascii="Calibri" w:hAnsi="Calibri"/>
                <w:color w:val="000000"/>
              </w:rPr>
              <w:t>0.8098</w:t>
            </w:r>
          </w:p>
        </w:tc>
        <w:tc>
          <w:tcPr>
            <w:tcW w:w="1701" w:type="dxa"/>
            <w:noWrap/>
            <w:vAlign w:val="bottom"/>
          </w:tcPr>
          <w:p w14:paraId="71FCBF7A" w14:textId="77777777" w:rsidR="002916B5" w:rsidRPr="00003507" w:rsidRDefault="002916B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03507">
              <w:rPr>
                <w:rFonts w:ascii="Calibri" w:hAnsi="Calibri"/>
                <w:color w:val="000000"/>
              </w:rPr>
              <w:t>0.2984</w:t>
            </w:r>
          </w:p>
        </w:tc>
        <w:tc>
          <w:tcPr>
            <w:tcW w:w="1701" w:type="dxa"/>
            <w:noWrap/>
            <w:vAlign w:val="bottom"/>
          </w:tcPr>
          <w:p w14:paraId="084AADA0" w14:textId="77777777" w:rsidR="002916B5" w:rsidRPr="00336523" w:rsidRDefault="002916B5">
            <w:pPr>
              <w:jc w:val="right"/>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336523">
              <w:rPr>
                <w:rFonts w:ascii="Calibri" w:hAnsi="Calibri"/>
                <w:b/>
                <w:color w:val="000000"/>
              </w:rPr>
              <w:t>0.029</w:t>
            </w:r>
          </w:p>
        </w:tc>
      </w:tr>
      <w:tr w:rsidR="002916B5" w:rsidRPr="00F547EA" w14:paraId="7CCD2357" w14:textId="77777777" w:rsidTr="00CA3A2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7" w:type="dxa"/>
            <w:vMerge w:val="restart"/>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1FC79BE5" w14:textId="77777777" w:rsidR="002916B5" w:rsidRPr="00F547EA" w:rsidRDefault="002916B5" w:rsidP="00CA3A28">
            <w:pPr>
              <w:jc w:val="center"/>
              <w:rPr>
                <w:rFonts w:ascii="Times New Roman" w:eastAsia="Times New Roman" w:hAnsi="Times New Roman" w:cs="Times New Roman"/>
                <w:b w:val="0"/>
                <w:bCs w:val="0"/>
                <w:color w:val="000000" w:themeColor="text1"/>
              </w:rPr>
            </w:pPr>
            <w:r w:rsidRPr="00F547EA">
              <w:rPr>
                <w:rFonts w:ascii="Times New Roman" w:eastAsia="Times New Roman" w:hAnsi="Times New Roman" w:cs="Times New Roman"/>
                <w:color w:val="000000" w:themeColor="text1"/>
              </w:rPr>
              <w:t>Mismo partido en el poder</w:t>
            </w:r>
          </w:p>
        </w:tc>
        <w:tc>
          <w:tcPr>
            <w:tcW w:w="1701" w:type="dxa"/>
            <w:tcBorders>
              <w:left w:val="single" w:sz="12" w:space="0" w:color="7BA0CD" w:themeColor="accent1" w:themeTint="BF"/>
            </w:tcBorders>
            <w:noWrap/>
            <w:vAlign w:val="bottom"/>
          </w:tcPr>
          <w:p w14:paraId="47B474C9" w14:textId="77777777" w:rsidR="002916B5" w:rsidRPr="00003507" w:rsidRDefault="002916B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sidRPr="00003507">
              <w:rPr>
                <w:rFonts w:ascii="Calibri" w:hAnsi="Calibri"/>
                <w:color w:val="000000"/>
              </w:rPr>
              <w:t>-0.03063426</w:t>
            </w:r>
          </w:p>
        </w:tc>
        <w:tc>
          <w:tcPr>
            <w:tcW w:w="1701" w:type="dxa"/>
            <w:noWrap/>
            <w:vAlign w:val="bottom"/>
          </w:tcPr>
          <w:p w14:paraId="70F11FA1" w14:textId="77777777" w:rsidR="002916B5" w:rsidRPr="00003507" w:rsidRDefault="002916B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sidRPr="00003507">
              <w:rPr>
                <w:rFonts w:ascii="Calibri" w:hAnsi="Calibri"/>
                <w:color w:val="000000"/>
              </w:rPr>
              <w:t>-0.05183044</w:t>
            </w:r>
          </w:p>
        </w:tc>
        <w:tc>
          <w:tcPr>
            <w:tcW w:w="1701" w:type="dxa"/>
            <w:noWrap/>
            <w:vAlign w:val="bottom"/>
          </w:tcPr>
          <w:p w14:paraId="6D5750CE" w14:textId="77777777" w:rsidR="002916B5" w:rsidRPr="00003507" w:rsidRDefault="002916B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sidRPr="00003507">
              <w:rPr>
                <w:rFonts w:ascii="Calibri" w:hAnsi="Calibri"/>
                <w:color w:val="000000"/>
              </w:rPr>
              <w:t>0.11976516</w:t>
            </w:r>
          </w:p>
        </w:tc>
        <w:tc>
          <w:tcPr>
            <w:tcW w:w="1701" w:type="dxa"/>
            <w:noWrap/>
            <w:vAlign w:val="bottom"/>
          </w:tcPr>
          <w:p w14:paraId="49C3EFA3" w14:textId="77777777" w:rsidR="002916B5" w:rsidRPr="00003507" w:rsidRDefault="002916B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sidRPr="00003507">
              <w:rPr>
                <w:rFonts w:ascii="Calibri" w:hAnsi="Calibri"/>
                <w:color w:val="000000"/>
              </w:rPr>
              <w:t>-0.00401039</w:t>
            </w:r>
          </w:p>
        </w:tc>
      </w:tr>
      <w:tr w:rsidR="002916B5" w:rsidRPr="00F547EA" w14:paraId="5D9AB580" w14:textId="77777777" w:rsidTr="00CA3A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64D1CCB8" w14:textId="77777777" w:rsidR="002916B5" w:rsidRPr="00F547EA" w:rsidRDefault="002916B5" w:rsidP="00CA3A28">
            <w:pPr>
              <w:jc w:val="center"/>
              <w:rPr>
                <w:rFonts w:ascii="Times New Roman" w:eastAsia="Times New Roman" w:hAnsi="Times New Roman" w:cs="Times New Roman"/>
                <w:b w:val="0"/>
                <w:bCs w:val="0"/>
                <w:color w:val="000000" w:themeColor="text1"/>
              </w:rPr>
            </w:pPr>
          </w:p>
        </w:tc>
        <w:tc>
          <w:tcPr>
            <w:tcW w:w="1701" w:type="dxa"/>
            <w:tcBorders>
              <w:left w:val="single" w:sz="12" w:space="0" w:color="7BA0CD" w:themeColor="accent1" w:themeTint="BF"/>
            </w:tcBorders>
            <w:noWrap/>
            <w:vAlign w:val="bottom"/>
          </w:tcPr>
          <w:p w14:paraId="5FA7A275" w14:textId="77777777" w:rsidR="002916B5" w:rsidRPr="00003507" w:rsidRDefault="002916B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03507">
              <w:rPr>
                <w:rFonts w:ascii="Calibri" w:hAnsi="Calibri"/>
                <w:color w:val="000000"/>
              </w:rPr>
              <w:t>0.04289331</w:t>
            </w:r>
          </w:p>
        </w:tc>
        <w:tc>
          <w:tcPr>
            <w:tcW w:w="1701" w:type="dxa"/>
            <w:noWrap/>
            <w:vAlign w:val="bottom"/>
          </w:tcPr>
          <w:p w14:paraId="3D1046C2" w14:textId="77777777" w:rsidR="002916B5" w:rsidRPr="00003507" w:rsidRDefault="002916B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03507">
              <w:rPr>
                <w:rFonts w:ascii="Calibri" w:hAnsi="Calibri"/>
                <w:color w:val="000000"/>
              </w:rPr>
              <w:t>0.08148223</w:t>
            </w:r>
          </w:p>
        </w:tc>
        <w:tc>
          <w:tcPr>
            <w:tcW w:w="1701" w:type="dxa"/>
            <w:noWrap/>
            <w:vAlign w:val="bottom"/>
          </w:tcPr>
          <w:p w14:paraId="34775BAA" w14:textId="77777777" w:rsidR="002916B5" w:rsidRPr="00003507" w:rsidRDefault="002916B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03507">
              <w:rPr>
                <w:rFonts w:ascii="Calibri" w:hAnsi="Calibri"/>
                <w:color w:val="000000"/>
              </w:rPr>
              <w:t>0.11533456</w:t>
            </w:r>
          </w:p>
        </w:tc>
        <w:tc>
          <w:tcPr>
            <w:tcW w:w="1701" w:type="dxa"/>
            <w:noWrap/>
            <w:vAlign w:val="bottom"/>
          </w:tcPr>
          <w:p w14:paraId="620464C5" w14:textId="77777777" w:rsidR="002916B5" w:rsidRPr="00003507" w:rsidRDefault="002916B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03507">
              <w:rPr>
                <w:rFonts w:ascii="Calibri" w:hAnsi="Calibri"/>
                <w:color w:val="000000"/>
              </w:rPr>
              <w:t>0.03096772</w:t>
            </w:r>
          </w:p>
        </w:tc>
      </w:tr>
      <w:tr w:rsidR="002916B5" w:rsidRPr="00F547EA" w14:paraId="0D0011BB" w14:textId="77777777" w:rsidTr="00CA3A2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1331EAD6" w14:textId="77777777" w:rsidR="002916B5" w:rsidRPr="00F547EA" w:rsidRDefault="002916B5" w:rsidP="00CA3A28">
            <w:pPr>
              <w:jc w:val="center"/>
              <w:rPr>
                <w:rFonts w:ascii="Times New Roman" w:eastAsia="Times New Roman" w:hAnsi="Times New Roman" w:cs="Times New Roman"/>
                <w:b w:val="0"/>
                <w:bCs w:val="0"/>
                <w:color w:val="000000" w:themeColor="text1"/>
              </w:rPr>
            </w:pPr>
          </w:p>
        </w:tc>
        <w:tc>
          <w:tcPr>
            <w:tcW w:w="1701" w:type="dxa"/>
            <w:tcBorders>
              <w:left w:val="single" w:sz="12" w:space="0" w:color="7BA0CD" w:themeColor="accent1" w:themeTint="BF"/>
            </w:tcBorders>
            <w:noWrap/>
            <w:vAlign w:val="bottom"/>
          </w:tcPr>
          <w:p w14:paraId="7D0AC677" w14:textId="77777777" w:rsidR="002916B5" w:rsidRPr="00003507" w:rsidRDefault="002916B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sidRPr="00003507">
              <w:rPr>
                <w:rFonts w:ascii="Calibri" w:hAnsi="Calibri"/>
                <w:color w:val="000000"/>
              </w:rPr>
              <w:t>0.4751</w:t>
            </w:r>
          </w:p>
        </w:tc>
        <w:tc>
          <w:tcPr>
            <w:tcW w:w="1701" w:type="dxa"/>
            <w:noWrap/>
            <w:vAlign w:val="bottom"/>
          </w:tcPr>
          <w:p w14:paraId="216CC250" w14:textId="77777777" w:rsidR="002916B5" w:rsidRPr="00003507" w:rsidRDefault="002916B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sidRPr="00003507">
              <w:rPr>
                <w:rFonts w:ascii="Calibri" w:hAnsi="Calibri"/>
                <w:color w:val="000000"/>
              </w:rPr>
              <w:t>0.5247</w:t>
            </w:r>
          </w:p>
        </w:tc>
        <w:tc>
          <w:tcPr>
            <w:tcW w:w="1701" w:type="dxa"/>
            <w:noWrap/>
            <w:vAlign w:val="bottom"/>
          </w:tcPr>
          <w:p w14:paraId="64672CEF" w14:textId="77777777" w:rsidR="002916B5" w:rsidRPr="00003507" w:rsidRDefault="002916B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sidRPr="00003507">
              <w:rPr>
                <w:rFonts w:ascii="Calibri" w:hAnsi="Calibri"/>
                <w:color w:val="000000"/>
              </w:rPr>
              <w:t>0.2991</w:t>
            </w:r>
          </w:p>
        </w:tc>
        <w:tc>
          <w:tcPr>
            <w:tcW w:w="1701" w:type="dxa"/>
            <w:noWrap/>
            <w:vAlign w:val="bottom"/>
          </w:tcPr>
          <w:p w14:paraId="6533BDAA" w14:textId="77777777" w:rsidR="002916B5" w:rsidRPr="00003507" w:rsidRDefault="002916B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sidRPr="00003507">
              <w:rPr>
                <w:rFonts w:ascii="Calibri" w:hAnsi="Calibri"/>
                <w:color w:val="000000"/>
              </w:rPr>
              <w:t>0.897</w:t>
            </w:r>
          </w:p>
        </w:tc>
      </w:tr>
      <w:tr w:rsidR="002916B5" w:rsidRPr="00F547EA" w14:paraId="06F48287" w14:textId="77777777" w:rsidTr="00CA3A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7" w:type="dxa"/>
            <w:vMerge w:val="restart"/>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56B4E6C8" w14:textId="77777777" w:rsidR="002916B5" w:rsidRPr="00F547EA" w:rsidRDefault="002916B5" w:rsidP="00CA3A28">
            <w:pPr>
              <w:jc w:val="center"/>
              <w:rPr>
                <w:rFonts w:ascii="Times New Roman" w:eastAsia="Times New Roman" w:hAnsi="Times New Roman" w:cs="Times New Roman"/>
                <w:b w:val="0"/>
                <w:bCs w:val="0"/>
                <w:color w:val="000000" w:themeColor="text1"/>
              </w:rPr>
            </w:pPr>
            <w:r w:rsidRPr="00F547EA">
              <w:rPr>
                <w:rFonts w:ascii="Times New Roman" w:eastAsia="Times New Roman" w:hAnsi="Times New Roman" w:cs="Times New Roman"/>
                <w:color w:val="000000" w:themeColor="text1"/>
              </w:rPr>
              <w:t>IDH</w:t>
            </w:r>
          </w:p>
        </w:tc>
        <w:tc>
          <w:tcPr>
            <w:tcW w:w="1701" w:type="dxa"/>
            <w:tcBorders>
              <w:left w:val="single" w:sz="12" w:space="0" w:color="7BA0CD" w:themeColor="accent1" w:themeTint="BF"/>
            </w:tcBorders>
            <w:noWrap/>
            <w:vAlign w:val="bottom"/>
          </w:tcPr>
          <w:p w14:paraId="75067B2B" w14:textId="77777777" w:rsidR="002916B5" w:rsidRPr="00003507" w:rsidRDefault="002916B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03507">
              <w:rPr>
                <w:rFonts w:ascii="Calibri" w:hAnsi="Calibri"/>
                <w:color w:val="000000"/>
              </w:rPr>
              <w:t>0.93480027</w:t>
            </w:r>
          </w:p>
        </w:tc>
        <w:tc>
          <w:tcPr>
            <w:tcW w:w="1701" w:type="dxa"/>
            <w:noWrap/>
            <w:vAlign w:val="bottom"/>
          </w:tcPr>
          <w:p w14:paraId="14B00BC6" w14:textId="77777777" w:rsidR="002916B5" w:rsidRPr="00003507" w:rsidRDefault="002916B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03507">
              <w:rPr>
                <w:rFonts w:ascii="Calibri" w:hAnsi="Calibri"/>
                <w:color w:val="000000"/>
              </w:rPr>
              <w:t>0.93992966</w:t>
            </w:r>
          </w:p>
        </w:tc>
        <w:tc>
          <w:tcPr>
            <w:tcW w:w="1701" w:type="dxa"/>
            <w:noWrap/>
            <w:vAlign w:val="bottom"/>
          </w:tcPr>
          <w:p w14:paraId="40C054D1" w14:textId="77777777" w:rsidR="002916B5" w:rsidRPr="00003507" w:rsidRDefault="002916B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03507">
              <w:rPr>
                <w:rFonts w:ascii="Calibri" w:hAnsi="Calibri"/>
                <w:color w:val="000000"/>
              </w:rPr>
              <w:t>1.3411803</w:t>
            </w:r>
          </w:p>
        </w:tc>
        <w:tc>
          <w:tcPr>
            <w:tcW w:w="1701" w:type="dxa"/>
            <w:noWrap/>
            <w:vAlign w:val="bottom"/>
          </w:tcPr>
          <w:p w14:paraId="2D829E02" w14:textId="77777777" w:rsidR="002916B5" w:rsidRPr="00003507" w:rsidRDefault="002916B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03507">
              <w:rPr>
                <w:rFonts w:ascii="Calibri" w:hAnsi="Calibri"/>
                <w:color w:val="000000"/>
              </w:rPr>
              <w:t>0.58976904</w:t>
            </w:r>
          </w:p>
        </w:tc>
      </w:tr>
      <w:tr w:rsidR="002916B5" w:rsidRPr="00F547EA" w14:paraId="35B50DA7" w14:textId="77777777" w:rsidTr="00CA3A2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6D4039AD" w14:textId="77777777" w:rsidR="002916B5" w:rsidRPr="00F547EA" w:rsidRDefault="002916B5" w:rsidP="00CA3A28">
            <w:pPr>
              <w:jc w:val="center"/>
              <w:rPr>
                <w:rFonts w:ascii="Times New Roman" w:eastAsia="Times New Roman" w:hAnsi="Times New Roman" w:cs="Times New Roman"/>
                <w:b w:val="0"/>
                <w:bCs w:val="0"/>
                <w:color w:val="000000" w:themeColor="text1"/>
              </w:rPr>
            </w:pPr>
          </w:p>
        </w:tc>
        <w:tc>
          <w:tcPr>
            <w:tcW w:w="1701" w:type="dxa"/>
            <w:tcBorders>
              <w:left w:val="single" w:sz="12" w:space="0" w:color="7BA0CD" w:themeColor="accent1" w:themeTint="BF"/>
            </w:tcBorders>
            <w:noWrap/>
            <w:vAlign w:val="bottom"/>
          </w:tcPr>
          <w:p w14:paraId="53F18A5F" w14:textId="77777777" w:rsidR="002916B5" w:rsidRPr="00003507" w:rsidRDefault="002916B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sidRPr="00003507">
              <w:rPr>
                <w:rFonts w:ascii="Calibri" w:hAnsi="Calibri"/>
                <w:color w:val="000000"/>
              </w:rPr>
              <w:t>0.36593148</w:t>
            </w:r>
          </w:p>
        </w:tc>
        <w:tc>
          <w:tcPr>
            <w:tcW w:w="1701" w:type="dxa"/>
            <w:noWrap/>
            <w:vAlign w:val="bottom"/>
          </w:tcPr>
          <w:p w14:paraId="74564755" w14:textId="77777777" w:rsidR="002916B5" w:rsidRPr="00003507" w:rsidRDefault="002916B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sidRPr="00003507">
              <w:rPr>
                <w:rFonts w:ascii="Calibri" w:hAnsi="Calibri"/>
                <w:color w:val="000000"/>
              </w:rPr>
              <w:t>0.8812196</w:t>
            </w:r>
          </w:p>
        </w:tc>
        <w:tc>
          <w:tcPr>
            <w:tcW w:w="1701" w:type="dxa"/>
            <w:noWrap/>
            <w:vAlign w:val="bottom"/>
          </w:tcPr>
          <w:p w14:paraId="2CFB8C81" w14:textId="77777777" w:rsidR="002916B5" w:rsidRPr="00003507" w:rsidRDefault="002916B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sidRPr="00003507">
              <w:rPr>
                <w:rFonts w:ascii="Calibri" w:hAnsi="Calibri"/>
                <w:color w:val="000000"/>
              </w:rPr>
              <w:t>1.0834548</w:t>
            </w:r>
          </w:p>
        </w:tc>
        <w:tc>
          <w:tcPr>
            <w:tcW w:w="1701" w:type="dxa"/>
            <w:noWrap/>
            <w:vAlign w:val="bottom"/>
          </w:tcPr>
          <w:p w14:paraId="4949F7D2" w14:textId="77777777" w:rsidR="002916B5" w:rsidRPr="00003507" w:rsidRDefault="002916B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sidRPr="00003507">
              <w:rPr>
                <w:rFonts w:ascii="Calibri" w:hAnsi="Calibri"/>
                <w:color w:val="000000"/>
              </w:rPr>
              <w:t>0.25656959</w:t>
            </w:r>
          </w:p>
        </w:tc>
      </w:tr>
      <w:tr w:rsidR="002916B5" w:rsidRPr="00F547EA" w14:paraId="00E2618E" w14:textId="77777777" w:rsidTr="00CA3A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7DD99BC0" w14:textId="77777777" w:rsidR="002916B5" w:rsidRPr="00F547EA" w:rsidRDefault="002916B5" w:rsidP="00CA3A28">
            <w:pPr>
              <w:jc w:val="center"/>
              <w:rPr>
                <w:rFonts w:ascii="Times New Roman" w:eastAsia="Times New Roman" w:hAnsi="Times New Roman" w:cs="Times New Roman"/>
                <w:b w:val="0"/>
                <w:bCs w:val="0"/>
                <w:color w:val="000000" w:themeColor="text1"/>
              </w:rPr>
            </w:pPr>
          </w:p>
        </w:tc>
        <w:tc>
          <w:tcPr>
            <w:tcW w:w="1701" w:type="dxa"/>
            <w:tcBorders>
              <w:left w:val="single" w:sz="12" w:space="0" w:color="7BA0CD" w:themeColor="accent1" w:themeTint="BF"/>
            </w:tcBorders>
            <w:noWrap/>
            <w:vAlign w:val="bottom"/>
          </w:tcPr>
          <w:p w14:paraId="20391E05" w14:textId="77777777" w:rsidR="002916B5" w:rsidRPr="00336523" w:rsidRDefault="002916B5">
            <w:pPr>
              <w:jc w:val="right"/>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336523">
              <w:rPr>
                <w:rFonts w:ascii="Calibri" w:hAnsi="Calibri"/>
                <w:b/>
                <w:color w:val="000000"/>
              </w:rPr>
              <w:t>0.0106</w:t>
            </w:r>
          </w:p>
        </w:tc>
        <w:tc>
          <w:tcPr>
            <w:tcW w:w="1701" w:type="dxa"/>
            <w:noWrap/>
            <w:vAlign w:val="bottom"/>
          </w:tcPr>
          <w:p w14:paraId="4A4176AA" w14:textId="77777777" w:rsidR="002916B5" w:rsidRPr="00003507" w:rsidRDefault="002916B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03507">
              <w:rPr>
                <w:rFonts w:ascii="Calibri" w:hAnsi="Calibri"/>
                <w:color w:val="000000"/>
              </w:rPr>
              <w:t>0.2861</w:t>
            </w:r>
          </w:p>
        </w:tc>
        <w:tc>
          <w:tcPr>
            <w:tcW w:w="1701" w:type="dxa"/>
            <w:noWrap/>
            <w:vAlign w:val="bottom"/>
          </w:tcPr>
          <w:p w14:paraId="4C723139" w14:textId="77777777" w:rsidR="002916B5" w:rsidRPr="00003507" w:rsidRDefault="002916B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03507">
              <w:rPr>
                <w:rFonts w:ascii="Calibri" w:hAnsi="Calibri"/>
                <w:color w:val="000000"/>
              </w:rPr>
              <w:t>0.2158</w:t>
            </w:r>
          </w:p>
        </w:tc>
        <w:tc>
          <w:tcPr>
            <w:tcW w:w="1701" w:type="dxa"/>
            <w:noWrap/>
            <w:vAlign w:val="bottom"/>
          </w:tcPr>
          <w:p w14:paraId="53D72CE6" w14:textId="77777777" w:rsidR="002916B5" w:rsidRPr="00336523" w:rsidRDefault="002916B5">
            <w:pPr>
              <w:jc w:val="right"/>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336523">
              <w:rPr>
                <w:rFonts w:ascii="Calibri" w:hAnsi="Calibri"/>
                <w:b/>
                <w:color w:val="000000"/>
              </w:rPr>
              <w:t>0.0215</w:t>
            </w:r>
          </w:p>
        </w:tc>
      </w:tr>
      <w:tr w:rsidR="002916B5" w:rsidRPr="00F547EA" w14:paraId="6157A7D1" w14:textId="77777777" w:rsidTr="00CA3A2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7" w:type="dxa"/>
            <w:vMerge w:val="restart"/>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07C52A94" w14:textId="77777777" w:rsidR="002916B5" w:rsidRPr="00F547EA" w:rsidRDefault="002916B5" w:rsidP="00CA3A28">
            <w:pPr>
              <w:jc w:val="center"/>
              <w:rPr>
                <w:rFonts w:ascii="Times New Roman" w:eastAsia="Times New Roman" w:hAnsi="Times New Roman" w:cs="Times New Roman"/>
                <w:b w:val="0"/>
                <w:bCs w:val="0"/>
                <w:color w:val="000000" w:themeColor="text1"/>
              </w:rPr>
            </w:pPr>
            <w:r w:rsidRPr="00F547EA">
              <w:rPr>
                <w:rFonts w:ascii="Times New Roman" w:eastAsia="Times New Roman" w:hAnsi="Times New Roman" w:cs="Times New Roman"/>
                <w:color w:val="000000" w:themeColor="text1"/>
              </w:rPr>
              <w:t>Cambio en IDH</w:t>
            </w:r>
          </w:p>
        </w:tc>
        <w:tc>
          <w:tcPr>
            <w:tcW w:w="1701" w:type="dxa"/>
            <w:tcBorders>
              <w:left w:val="single" w:sz="12" w:space="0" w:color="7BA0CD" w:themeColor="accent1" w:themeTint="BF"/>
            </w:tcBorders>
            <w:noWrap/>
            <w:vAlign w:val="bottom"/>
          </w:tcPr>
          <w:p w14:paraId="31FF26C4" w14:textId="77777777" w:rsidR="002916B5" w:rsidRPr="00003507" w:rsidRDefault="002916B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sidRPr="00003507">
              <w:rPr>
                <w:rFonts w:ascii="Calibri" w:hAnsi="Calibri"/>
                <w:color w:val="000000"/>
              </w:rPr>
              <w:t>-0.01405054</w:t>
            </w:r>
          </w:p>
        </w:tc>
        <w:tc>
          <w:tcPr>
            <w:tcW w:w="1701" w:type="dxa"/>
            <w:noWrap/>
            <w:vAlign w:val="bottom"/>
          </w:tcPr>
          <w:p w14:paraId="247EF89F" w14:textId="77777777" w:rsidR="002916B5" w:rsidRPr="00003507" w:rsidRDefault="002916B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sidRPr="00003507">
              <w:rPr>
                <w:rFonts w:ascii="Calibri" w:hAnsi="Calibri"/>
                <w:color w:val="000000"/>
              </w:rPr>
              <w:t>0.00198777</w:t>
            </w:r>
          </w:p>
        </w:tc>
        <w:tc>
          <w:tcPr>
            <w:tcW w:w="1701" w:type="dxa"/>
            <w:noWrap/>
            <w:vAlign w:val="bottom"/>
          </w:tcPr>
          <w:p w14:paraId="3614AB90" w14:textId="77777777" w:rsidR="002916B5" w:rsidRPr="00003507" w:rsidRDefault="002916B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sidRPr="00003507">
              <w:rPr>
                <w:rFonts w:ascii="Calibri" w:hAnsi="Calibri"/>
                <w:color w:val="000000"/>
              </w:rPr>
              <w:t>-0.0094407</w:t>
            </w:r>
          </w:p>
        </w:tc>
        <w:tc>
          <w:tcPr>
            <w:tcW w:w="1701" w:type="dxa"/>
            <w:noWrap/>
            <w:vAlign w:val="bottom"/>
          </w:tcPr>
          <w:p w14:paraId="5206938F" w14:textId="77777777" w:rsidR="002916B5" w:rsidRPr="00003507" w:rsidRDefault="002916B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sidRPr="00003507">
              <w:rPr>
                <w:rFonts w:ascii="Calibri" w:hAnsi="Calibri"/>
                <w:color w:val="000000"/>
              </w:rPr>
              <w:t>0.00171309</w:t>
            </w:r>
          </w:p>
        </w:tc>
      </w:tr>
      <w:tr w:rsidR="002916B5" w:rsidRPr="00F547EA" w14:paraId="7BCF6B9B" w14:textId="77777777" w:rsidTr="00CA3A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7ACDF914" w14:textId="77777777" w:rsidR="002916B5" w:rsidRPr="00F547EA" w:rsidRDefault="002916B5" w:rsidP="00CA3A28">
            <w:pPr>
              <w:jc w:val="center"/>
              <w:rPr>
                <w:rFonts w:ascii="Times New Roman" w:eastAsia="Times New Roman" w:hAnsi="Times New Roman" w:cs="Times New Roman"/>
                <w:b w:val="0"/>
                <w:bCs w:val="0"/>
                <w:color w:val="000000" w:themeColor="text1"/>
              </w:rPr>
            </w:pPr>
          </w:p>
        </w:tc>
        <w:tc>
          <w:tcPr>
            <w:tcW w:w="1701" w:type="dxa"/>
            <w:tcBorders>
              <w:left w:val="single" w:sz="12" w:space="0" w:color="7BA0CD" w:themeColor="accent1" w:themeTint="BF"/>
            </w:tcBorders>
            <w:noWrap/>
            <w:vAlign w:val="bottom"/>
          </w:tcPr>
          <w:p w14:paraId="4AD973A5" w14:textId="77777777" w:rsidR="002916B5" w:rsidRPr="00003507" w:rsidRDefault="002916B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03507">
              <w:rPr>
                <w:rFonts w:ascii="Calibri" w:hAnsi="Calibri"/>
                <w:color w:val="000000"/>
              </w:rPr>
              <w:t>0.00534315</w:t>
            </w:r>
          </w:p>
        </w:tc>
        <w:tc>
          <w:tcPr>
            <w:tcW w:w="1701" w:type="dxa"/>
            <w:noWrap/>
            <w:vAlign w:val="bottom"/>
          </w:tcPr>
          <w:p w14:paraId="133652B1" w14:textId="77777777" w:rsidR="002916B5" w:rsidRPr="00003507" w:rsidRDefault="002916B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03507">
              <w:rPr>
                <w:rFonts w:ascii="Calibri" w:hAnsi="Calibri"/>
                <w:color w:val="000000"/>
              </w:rPr>
              <w:t>0.01306294</w:t>
            </w:r>
          </w:p>
        </w:tc>
        <w:tc>
          <w:tcPr>
            <w:tcW w:w="1701" w:type="dxa"/>
            <w:noWrap/>
            <w:vAlign w:val="bottom"/>
          </w:tcPr>
          <w:p w14:paraId="260F0A4C" w14:textId="77777777" w:rsidR="002916B5" w:rsidRPr="00003507" w:rsidRDefault="002916B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03507">
              <w:rPr>
                <w:rFonts w:ascii="Calibri" w:hAnsi="Calibri"/>
                <w:color w:val="000000"/>
              </w:rPr>
              <w:t>0.01472759</w:t>
            </w:r>
          </w:p>
        </w:tc>
        <w:tc>
          <w:tcPr>
            <w:tcW w:w="1701" w:type="dxa"/>
            <w:noWrap/>
            <w:vAlign w:val="bottom"/>
          </w:tcPr>
          <w:p w14:paraId="2A0ACFB7" w14:textId="77777777" w:rsidR="002916B5" w:rsidRPr="00003507" w:rsidRDefault="002916B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03507">
              <w:rPr>
                <w:rFonts w:ascii="Calibri" w:hAnsi="Calibri"/>
                <w:color w:val="000000"/>
              </w:rPr>
              <w:t>0.00364502</w:t>
            </w:r>
          </w:p>
        </w:tc>
      </w:tr>
      <w:tr w:rsidR="002916B5" w:rsidRPr="00F547EA" w14:paraId="438074A7" w14:textId="77777777" w:rsidTr="00CA3A2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5F600820" w14:textId="77777777" w:rsidR="002916B5" w:rsidRPr="00F547EA" w:rsidRDefault="002916B5" w:rsidP="00CA3A28">
            <w:pPr>
              <w:jc w:val="center"/>
              <w:rPr>
                <w:rFonts w:ascii="Times New Roman" w:eastAsia="Times New Roman" w:hAnsi="Times New Roman" w:cs="Times New Roman"/>
                <w:b w:val="0"/>
                <w:bCs w:val="0"/>
                <w:color w:val="000000" w:themeColor="text1"/>
              </w:rPr>
            </w:pPr>
          </w:p>
        </w:tc>
        <w:tc>
          <w:tcPr>
            <w:tcW w:w="1701" w:type="dxa"/>
            <w:tcBorders>
              <w:left w:val="single" w:sz="12" w:space="0" w:color="7BA0CD" w:themeColor="accent1" w:themeTint="BF"/>
            </w:tcBorders>
            <w:noWrap/>
            <w:vAlign w:val="bottom"/>
          </w:tcPr>
          <w:p w14:paraId="0224A658" w14:textId="77777777" w:rsidR="002916B5" w:rsidRPr="00336523" w:rsidRDefault="002916B5">
            <w:pPr>
              <w:jc w:val="right"/>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336523">
              <w:rPr>
                <w:rFonts w:ascii="Calibri" w:hAnsi="Calibri"/>
                <w:b/>
                <w:color w:val="000000"/>
              </w:rPr>
              <w:t>0.0085</w:t>
            </w:r>
          </w:p>
        </w:tc>
        <w:tc>
          <w:tcPr>
            <w:tcW w:w="1701" w:type="dxa"/>
            <w:noWrap/>
            <w:vAlign w:val="bottom"/>
          </w:tcPr>
          <w:p w14:paraId="530E34F7" w14:textId="77777777" w:rsidR="002916B5" w:rsidRPr="00003507" w:rsidRDefault="002916B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sidRPr="00003507">
              <w:rPr>
                <w:rFonts w:ascii="Calibri" w:hAnsi="Calibri"/>
                <w:color w:val="000000"/>
              </w:rPr>
              <w:t>0.8791</w:t>
            </w:r>
          </w:p>
        </w:tc>
        <w:tc>
          <w:tcPr>
            <w:tcW w:w="1701" w:type="dxa"/>
            <w:noWrap/>
            <w:vAlign w:val="bottom"/>
          </w:tcPr>
          <w:p w14:paraId="6312CE02" w14:textId="77777777" w:rsidR="002916B5" w:rsidRPr="00003507" w:rsidRDefault="002916B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sidRPr="00003507">
              <w:rPr>
                <w:rFonts w:ascii="Calibri" w:hAnsi="Calibri"/>
                <w:color w:val="000000"/>
              </w:rPr>
              <w:t>0.5215</w:t>
            </w:r>
          </w:p>
        </w:tc>
        <w:tc>
          <w:tcPr>
            <w:tcW w:w="1701" w:type="dxa"/>
            <w:noWrap/>
            <w:vAlign w:val="bottom"/>
          </w:tcPr>
          <w:p w14:paraId="6376113E" w14:textId="77777777" w:rsidR="002916B5" w:rsidRPr="00003507" w:rsidRDefault="002916B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sidRPr="00003507">
              <w:rPr>
                <w:rFonts w:ascii="Calibri" w:hAnsi="Calibri"/>
                <w:color w:val="000000"/>
              </w:rPr>
              <w:t>0.6384</w:t>
            </w:r>
          </w:p>
        </w:tc>
      </w:tr>
      <w:tr w:rsidR="002916B5" w:rsidRPr="00F547EA" w14:paraId="483B7CF8" w14:textId="77777777" w:rsidTr="00CA3A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7" w:type="dxa"/>
            <w:vMerge w:val="restart"/>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3208118C" w14:textId="77777777" w:rsidR="002916B5" w:rsidRPr="00F547EA" w:rsidRDefault="002916B5" w:rsidP="00CA3A28">
            <w:pPr>
              <w:jc w:val="center"/>
              <w:rPr>
                <w:rFonts w:ascii="Times New Roman" w:eastAsia="Times New Roman" w:hAnsi="Times New Roman" w:cs="Times New Roman"/>
                <w:b w:val="0"/>
                <w:bCs w:val="0"/>
                <w:color w:val="000000" w:themeColor="text1"/>
              </w:rPr>
            </w:pPr>
            <w:r w:rsidRPr="00F547EA">
              <w:rPr>
                <w:rFonts w:ascii="Times New Roman" w:eastAsia="Times New Roman" w:hAnsi="Times New Roman" w:cs="Times New Roman"/>
                <w:color w:val="000000" w:themeColor="text1"/>
              </w:rPr>
              <w:t>Año</w:t>
            </w:r>
          </w:p>
        </w:tc>
        <w:tc>
          <w:tcPr>
            <w:tcW w:w="1701" w:type="dxa"/>
            <w:tcBorders>
              <w:left w:val="single" w:sz="12" w:space="0" w:color="7BA0CD" w:themeColor="accent1" w:themeTint="BF"/>
            </w:tcBorders>
            <w:noWrap/>
            <w:vAlign w:val="bottom"/>
          </w:tcPr>
          <w:p w14:paraId="7A95EA64" w14:textId="77777777" w:rsidR="002916B5" w:rsidRPr="00003507" w:rsidRDefault="002916B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03507">
              <w:rPr>
                <w:rFonts w:ascii="Calibri" w:hAnsi="Calibri"/>
                <w:color w:val="000000"/>
              </w:rPr>
              <w:t>0.03567369</w:t>
            </w:r>
          </w:p>
        </w:tc>
        <w:tc>
          <w:tcPr>
            <w:tcW w:w="1701" w:type="dxa"/>
            <w:noWrap/>
            <w:vAlign w:val="bottom"/>
          </w:tcPr>
          <w:p w14:paraId="644E09EB" w14:textId="77777777" w:rsidR="002916B5" w:rsidRPr="00003507" w:rsidRDefault="002916B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03507">
              <w:rPr>
                <w:rFonts w:ascii="Calibri" w:hAnsi="Calibri"/>
                <w:color w:val="000000"/>
              </w:rPr>
              <w:t>0.01711101</w:t>
            </w:r>
          </w:p>
        </w:tc>
        <w:tc>
          <w:tcPr>
            <w:tcW w:w="1701" w:type="dxa"/>
            <w:noWrap/>
            <w:vAlign w:val="bottom"/>
          </w:tcPr>
          <w:p w14:paraId="20DF657F" w14:textId="77777777" w:rsidR="002916B5" w:rsidRPr="00003507" w:rsidRDefault="002916B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03507">
              <w:rPr>
                <w:rFonts w:ascii="Calibri" w:hAnsi="Calibri"/>
                <w:color w:val="000000"/>
              </w:rPr>
              <w:t>0.0411879</w:t>
            </w:r>
          </w:p>
        </w:tc>
        <w:tc>
          <w:tcPr>
            <w:tcW w:w="1701" w:type="dxa"/>
            <w:noWrap/>
            <w:vAlign w:val="bottom"/>
          </w:tcPr>
          <w:p w14:paraId="35458CE8" w14:textId="77777777" w:rsidR="002916B5" w:rsidRPr="00003507" w:rsidRDefault="002916B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03507">
              <w:rPr>
                <w:rFonts w:ascii="Calibri" w:hAnsi="Calibri"/>
                <w:color w:val="000000"/>
              </w:rPr>
              <w:t>0.02192799</w:t>
            </w:r>
          </w:p>
        </w:tc>
      </w:tr>
      <w:tr w:rsidR="002916B5" w:rsidRPr="00F547EA" w14:paraId="780AAB24" w14:textId="77777777" w:rsidTr="00CA3A2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2D360405" w14:textId="77777777" w:rsidR="002916B5" w:rsidRPr="00F547EA" w:rsidRDefault="002916B5" w:rsidP="00CA3A28">
            <w:pPr>
              <w:jc w:val="center"/>
              <w:rPr>
                <w:rFonts w:ascii="Times New Roman" w:eastAsia="Times New Roman" w:hAnsi="Times New Roman" w:cs="Times New Roman"/>
                <w:b w:val="0"/>
                <w:bCs w:val="0"/>
                <w:color w:val="000000" w:themeColor="text1"/>
              </w:rPr>
            </w:pPr>
          </w:p>
        </w:tc>
        <w:tc>
          <w:tcPr>
            <w:tcW w:w="1701" w:type="dxa"/>
            <w:tcBorders>
              <w:left w:val="single" w:sz="12" w:space="0" w:color="7BA0CD" w:themeColor="accent1" w:themeTint="BF"/>
            </w:tcBorders>
            <w:noWrap/>
            <w:vAlign w:val="bottom"/>
          </w:tcPr>
          <w:p w14:paraId="0C450A10" w14:textId="77777777" w:rsidR="002916B5" w:rsidRPr="00003507" w:rsidRDefault="002916B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sidRPr="00003507">
              <w:rPr>
                <w:rFonts w:ascii="Calibri" w:hAnsi="Calibri"/>
                <w:color w:val="000000"/>
              </w:rPr>
              <w:t>0.00593878</w:t>
            </w:r>
          </w:p>
        </w:tc>
        <w:tc>
          <w:tcPr>
            <w:tcW w:w="1701" w:type="dxa"/>
            <w:noWrap/>
            <w:vAlign w:val="bottom"/>
          </w:tcPr>
          <w:p w14:paraId="4F9FBDE9" w14:textId="77777777" w:rsidR="002916B5" w:rsidRPr="00003507" w:rsidRDefault="002916B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sidRPr="00003507">
              <w:rPr>
                <w:rFonts w:ascii="Calibri" w:hAnsi="Calibri"/>
                <w:color w:val="000000"/>
              </w:rPr>
              <w:t>0.04323308</w:t>
            </w:r>
          </w:p>
        </w:tc>
        <w:tc>
          <w:tcPr>
            <w:tcW w:w="1701" w:type="dxa"/>
            <w:noWrap/>
            <w:vAlign w:val="bottom"/>
          </w:tcPr>
          <w:p w14:paraId="3E457307" w14:textId="77777777" w:rsidR="002916B5" w:rsidRPr="00003507" w:rsidRDefault="002916B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sidRPr="00003507">
              <w:rPr>
                <w:rFonts w:ascii="Calibri" w:hAnsi="Calibri"/>
                <w:color w:val="000000"/>
              </w:rPr>
              <w:t>0.01983353</w:t>
            </w:r>
          </w:p>
        </w:tc>
        <w:tc>
          <w:tcPr>
            <w:tcW w:w="1701" w:type="dxa"/>
            <w:noWrap/>
            <w:vAlign w:val="bottom"/>
          </w:tcPr>
          <w:p w14:paraId="095AB627" w14:textId="77777777" w:rsidR="002916B5" w:rsidRPr="00003507" w:rsidRDefault="002916B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sidRPr="00003507">
              <w:rPr>
                <w:rFonts w:ascii="Calibri" w:hAnsi="Calibri"/>
                <w:color w:val="000000"/>
              </w:rPr>
              <w:t>0.00551041</w:t>
            </w:r>
          </w:p>
        </w:tc>
      </w:tr>
      <w:tr w:rsidR="002916B5" w:rsidRPr="00F547EA" w14:paraId="584D5B2F" w14:textId="77777777" w:rsidTr="00CA3A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4C546E07" w14:textId="77777777" w:rsidR="002916B5" w:rsidRPr="00F547EA" w:rsidRDefault="002916B5" w:rsidP="00CA3A28">
            <w:pPr>
              <w:jc w:val="center"/>
              <w:rPr>
                <w:rFonts w:ascii="Times New Roman" w:eastAsia="Times New Roman" w:hAnsi="Times New Roman" w:cs="Times New Roman"/>
                <w:b w:val="0"/>
                <w:bCs w:val="0"/>
                <w:color w:val="000000" w:themeColor="text1"/>
              </w:rPr>
            </w:pPr>
          </w:p>
        </w:tc>
        <w:tc>
          <w:tcPr>
            <w:tcW w:w="1701" w:type="dxa"/>
            <w:tcBorders>
              <w:left w:val="single" w:sz="12" w:space="0" w:color="7BA0CD" w:themeColor="accent1" w:themeTint="BF"/>
            </w:tcBorders>
            <w:noWrap/>
            <w:vAlign w:val="bottom"/>
          </w:tcPr>
          <w:p w14:paraId="5E0DD663" w14:textId="77777777" w:rsidR="002916B5" w:rsidRPr="00336523" w:rsidRDefault="002916B5">
            <w:pPr>
              <w:jc w:val="right"/>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336523">
              <w:rPr>
                <w:rFonts w:ascii="Calibri" w:hAnsi="Calibri"/>
                <w:b/>
                <w:color w:val="000000"/>
              </w:rPr>
              <w:t>0</w:t>
            </w:r>
          </w:p>
        </w:tc>
        <w:tc>
          <w:tcPr>
            <w:tcW w:w="1701" w:type="dxa"/>
            <w:noWrap/>
            <w:vAlign w:val="bottom"/>
          </w:tcPr>
          <w:p w14:paraId="53E6779E" w14:textId="77777777" w:rsidR="002916B5" w:rsidRPr="00003507" w:rsidRDefault="002916B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03507">
              <w:rPr>
                <w:rFonts w:ascii="Calibri" w:hAnsi="Calibri"/>
                <w:color w:val="000000"/>
              </w:rPr>
              <w:t>0.6923</w:t>
            </w:r>
          </w:p>
        </w:tc>
        <w:tc>
          <w:tcPr>
            <w:tcW w:w="1701" w:type="dxa"/>
            <w:noWrap/>
            <w:vAlign w:val="bottom"/>
          </w:tcPr>
          <w:p w14:paraId="4B87D891" w14:textId="77777777" w:rsidR="002916B5" w:rsidRPr="00336523" w:rsidRDefault="002916B5">
            <w:pPr>
              <w:jc w:val="right"/>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336523">
              <w:rPr>
                <w:rFonts w:ascii="Calibri" w:hAnsi="Calibri"/>
                <w:b/>
                <w:color w:val="000000"/>
              </w:rPr>
              <w:t>0.0378</w:t>
            </w:r>
          </w:p>
        </w:tc>
        <w:tc>
          <w:tcPr>
            <w:tcW w:w="1701" w:type="dxa"/>
            <w:noWrap/>
            <w:vAlign w:val="bottom"/>
          </w:tcPr>
          <w:p w14:paraId="358C094B" w14:textId="77777777" w:rsidR="002916B5" w:rsidRPr="00336523" w:rsidRDefault="002916B5">
            <w:pPr>
              <w:jc w:val="right"/>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336523">
              <w:rPr>
                <w:rFonts w:ascii="Calibri" w:hAnsi="Calibri"/>
                <w:b/>
                <w:color w:val="000000"/>
              </w:rPr>
              <w:t>0.0001</w:t>
            </w:r>
          </w:p>
        </w:tc>
      </w:tr>
      <w:tr w:rsidR="002916B5" w:rsidRPr="00F547EA" w14:paraId="40A7E48A" w14:textId="77777777" w:rsidTr="00CA3A2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7" w:type="dxa"/>
            <w:vMerge w:val="restart"/>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2AB00B38" w14:textId="77777777" w:rsidR="002916B5" w:rsidRPr="00F547EA" w:rsidRDefault="002916B5" w:rsidP="00CA3A28">
            <w:pPr>
              <w:jc w:val="center"/>
              <w:rPr>
                <w:rFonts w:ascii="Times New Roman" w:eastAsia="Times New Roman" w:hAnsi="Times New Roman" w:cs="Times New Roman"/>
                <w:b w:val="0"/>
                <w:bCs w:val="0"/>
                <w:color w:val="000000" w:themeColor="text1"/>
              </w:rPr>
            </w:pPr>
            <w:r w:rsidRPr="00F547EA">
              <w:rPr>
                <w:rFonts w:ascii="Times New Roman" w:eastAsia="Times New Roman" w:hAnsi="Times New Roman" w:cs="Times New Roman"/>
                <w:color w:val="000000" w:themeColor="text1"/>
              </w:rPr>
              <w:t>Población</w:t>
            </w:r>
          </w:p>
        </w:tc>
        <w:tc>
          <w:tcPr>
            <w:tcW w:w="1701" w:type="dxa"/>
            <w:tcBorders>
              <w:left w:val="single" w:sz="12" w:space="0" w:color="7BA0CD" w:themeColor="accent1" w:themeTint="BF"/>
            </w:tcBorders>
            <w:noWrap/>
            <w:vAlign w:val="bottom"/>
          </w:tcPr>
          <w:p w14:paraId="3EAB2176" w14:textId="77777777" w:rsidR="002916B5" w:rsidRPr="00003507" w:rsidRDefault="002B2803" w:rsidP="002916B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sidRPr="00003507">
              <w:rPr>
                <w:rFonts w:ascii="Calibri" w:hAnsi="Calibri"/>
                <w:color w:val="000000"/>
              </w:rPr>
              <w:t>-0.00000000027</w:t>
            </w:r>
          </w:p>
        </w:tc>
        <w:tc>
          <w:tcPr>
            <w:tcW w:w="1701" w:type="dxa"/>
            <w:noWrap/>
            <w:vAlign w:val="bottom"/>
          </w:tcPr>
          <w:p w14:paraId="462F7599" w14:textId="77777777" w:rsidR="002916B5" w:rsidRPr="00003507" w:rsidRDefault="002B2803" w:rsidP="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sidRPr="00003507">
              <w:rPr>
                <w:rFonts w:ascii="Calibri" w:hAnsi="Calibri"/>
                <w:color w:val="000000"/>
              </w:rPr>
              <w:t>0.00000</w:t>
            </w:r>
            <w:r w:rsidR="002916B5" w:rsidRPr="00003507">
              <w:rPr>
                <w:rFonts w:ascii="Calibri" w:hAnsi="Calibri"/>
                <w:color w:val="000000"/>
              </w:rPr>
              <w:t>688</w:t>
            </w:r>
          </w:p>
        </w:tc>
        <w:tc>
          <w:tcPr>
            <w:tcW w:w="1701" w:type="dxa"/>
            <w:noWrap/>
            <w:vAlign w:val="bottom"/>
          </w:tcPr>
          <w:p w14:paraId="25BF3E3C" w14:textId="77777777" w:rsidR="002916B5" w:rsidRPr="00003507" w:rsidRDefault="002916B5" w:rsidP="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sidRPr="00003507">
              <w:rPr>
                <w:rFonts w:ascii="Calibri" w:hAnsi="Calibri"/>
                <w:color w:val="000000"/>
              </w:rPr>
              <w:t>-</w:t>
            </w:r>
            <w:r w:rsidR="002B2803" w:rsidRPr="00003507">
              <w:rPr>
                <w:rFonts w:ascii="Calibri" w:hAnsi="Calibri"/>
                <w:color w:val="000000"/>
              </w:rPr>
              <w:t>0.00000000</w:t>
            </w:r>
            <w:r w:rsidRPr="00003507">
              <w:rPr>
                <w:rFonts w:ascii="Calibri" w:hAnsi="Calibri"/>
                <w:color w:val="000000"/>
              </w:rPr>
              <w:t>407</w:t>
            </w:r>
          </w:p>
        </w:tc>
        <w:tc>
          <w:tcPr>
            <w:tcW w:w="1701" w:type="dxa"/>
            <w:noWrap/>
            <w:vAlign w:val="bottom"/>
          </w:tcPr>
          <w:p w14:paraId="34C33A7F" w14:textId="77777777" w:rsidR="002916B5" w:rsidRPr="00003507" w:rsidRDefault="002916B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sidRPr="00003507">
              <w:rPr>
                <w:rFonts w:ascii="Calibri" w:hAnsi="Calibri"/>
                <w:color w:val="000000"/>
              </w:rPr>
              <w:t>0.00002695</w:t>
            </w:r>
          </w:p>
        </w:tc>
      </w:tr>
      <w:tr w:rsidR="002916B5" w:rsidRPr="00F547EA" w14:paraId="60A73BB6" w14:textId="77777777" w:rsidTr="00CA3A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03F76A23" w14:textId="77777777" w:rsidR="002916B5" w:rsidRPr="00F547EA" w:rsidRDefault="002916B5" w:rsidP="00CA3A28">
            <w:pPr>
              <w:jc w:val="center"/>
              <w:rPr>
                <w:rFonts w:ascii="Times New Roman" w:eastAsia="Times New Roman" w:hAnsi="Times New Roman" w:cs="Times New Roman"/>
                <w:b w:val="0"/>
                <w:bCs w:val="0"/>
                <w:color w:val="000000" w:themeColor="text1"/>
              </w:rPr>
            </w:pPr>
          </w:p>
        </w:tc>
        <w:tc>
          <w:tcPr>
            <w:tcW w:w="1701" w:type="dxa"/>
            <w:tcBorders>
              <w:left w:val="single" w:sz="12" w:space="0" w:color="7BA0CD" w:themeColor="accent1" w:themeTint="BF"/>
            </w:tcBorders>
            <w:noWrap/>
            <w:vAlign w:val="bottom"/>
          </w:tcPr>
          <w:p w14:paraId="45AF78B0" w14:textId="77777777" w:rsidR="002916B5" w:rsidRPr="00003507" w:rsidRDefault="002916B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03507">
              <w:rPr>
                <w:rFonts w:ascii="Calibri" w:hAnsi="Calibri"/>
                <w:color w:val="000000"/>
              </w:rPr>
              <w:t>1.13E-08</w:t>
            </w:r>
          </w:p>
        </w:tc>
        <w:tc>
          <w:tcPr>
            <w:tcW w:w="1701" w:type="dxa"/>
            <w:noWrap/>
            <w:vAlign w:val="bottom"/>
          </w:tcPr>
          <w:p w14:paraId="77B5C5B6" w14:textId="77777777" w:rsidR="002916B5" w:rsidRPr="00003507" w:rsidRDefault="002916B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03507">
              <w:rPr>
                <w:rFonts w:ascii="Calibri" w:hAnsi="Calibri"/>
                <w:color w:val="000000"/>
              </w:rPr>
              <w:t>6.61E-07</w:t>
            </w:r>
          </w:p>
        </w:tc>
        <w:tc>
          <w:tcPr>
            <w:tcW w:w="1701" w:type="dxa"/>
            <w:noWrap/>
            <w:vAlign w:val="bottom"/>
          </w:tcPr>
          <w:p w14:paraId="136EC5CA" w14:textId="77777777" w:rsidR="002916B5" w:rsidRPr="00003507" w:rsidRDefault="002916B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03507">
              <w:rPr>
                <w:rFonts w:ascii="Calibri" w:hAnsi="Calibri"/>
                <w:color w:val="000000"/>
              </w:rPr>
              <w:t>9.55E-09</w:t>
            </w:r>
          </w:p>
        </w:tc>
        <w:tc>
          <w:tcPr>
            <w:tcW w:w="1701" w:type="dxa"/>
            <w:noWrap/>
            <w:vAlign w:val="bottom"/>
          </w:tcPr>
          <w:p w14:paraId="1BA694CD" w14:textId="77777777" w:rsidR="002916B5" w:rsidRPr="00003507" w:rsidRDefault="002916B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03507">
              <w:rPr>
                <w:rFonts w:ascii="Calibri" w:hAnsi="Calibri"/>
                <w:color w:val="000000"/>
              </w:rPr>
              <w:t>9.17E-07</w:t>
            </w:r>
          </w:p>
        </w:tc>
      </w:tr>
      <w:tr w:rsidR="002916B5" w:rsidRPr="00F547EA" w14:paraId="7C14FF39" w14:textId="77777777" w:rsidTr="00CA3A2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0AAA9AA6" w14:textId="77777777" w:rsidR="002916B5" w:rsidRPr="00F547EA" w:rsidRDefault="002916B5" w:rsidP="00CA3A28">
            <w:pPr>
              <w:jc w:val="center"/>
              <w:rPr>
                <w:rFonts w:ascii="Times New Roman" w:eastAsia="Times New Roman" w:hAnsi="Times New Roman" w:cs="Times New Roman"/>
                <w:b w:val="0"/>
                <w:bCs w:val="0"/>
                <w:color w:val="000000" w:themeColor="text1"/>
              </w:rPr>
            </w:pPr>
          </w:p>
        </w:tc>
        <w:tc>
          <w:tcPr>
            <w:tcW w:w="1701" w:type="dxa"/>
            <w:tcBorders>
              <w:left w:val="single" w:sz="12" w:space="0" w:color="7BA0CD" w:themeColor="accent1" w:themeTint="BF"/>
            </w:tcBorders>
            <w:noWrap/>
            <w:vAlign w:val="bottom"/>
          </w:tcPr>
          <w:p w14:paraId="4DFB8A80" w14:textId="77777777" w:rsidR="002916B5" w:rsidRPr="00003507" w:rsidRDefault="002916B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sidRPr="00003507">
              <w:rPr>
                <w:rFonts w:ascii="Calibri" w:hAnsi="Calibri"/>
                <w:color w:val="000000"/>
              </w:rPr>
              <w:t>0.9809</w:t>
            </w:r>
          </w:p>
        </w:tc>
        <w:tc>
          <w:tcPr>
            <w:tcW w:w="1701" w:type="dxa"/>
            <w:noWrap/>
            <w:vAlign w:val="bottom"/>
          </w:tcPr>
          <w:p w14:paraId="45FD332E" w14:textId="77777777" w:rsidR="002916B5" w:rsidRPr="00336523" w:rsidRDefault="002916B5">
            <w:pPr>
              <w:jc w:val="right"/>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336523">
              <w:rPr>
                <w:rFonts w:ascii="Calibri" w:hAnsi="Calibri"/>
                <w:b/>
                <w:color w:val="000000"/>
              </w:rPr>
              <w:t>0</w:t>
            </w:r>
          </w:p>
        </w:tc>
        <w:tc>
          <w:tcPr>
            <w:tcW w:w="1701" w:type="dxa"/>
            <w:noWrap/>
            <w:vAlign w:val="bottom"/>
          </w:tcPr>
          <w:p w14:paraId="1DA14E05" w14:textId="77777777" w:rsidR="002916B5" w:rsidRPr="00003507" w:rsidRDefault="002916B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sidRPr="00003507">
              <w:rPr>
                <w:rFonts w:ascii="Calibri" w:hAnsi="Calibri"/>
                <w:color w:val="000000"/>
              </w:rPr>
              <w:t>0.6702</w:t>
            </w:r>
          </w:p>
        </w:tc>
        <w:tc>
          <w:tcPr>
            <w:tcW w:w="1701" w:type="dxa"/>
            <w:noWrap/>
            <w:vAlign w:val="bottom"/>
          </w:tcPr>
          <w:p w14:paraId="503AD548" w14:textId="77777777" w:rsidR="002916B5" w:rsidRPr="00336523" w:rsidRDefault="002916B5">
            <w:pPr>
              <w:jc w:val="right"/>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336523">
              <w:rPr>
                <w:rFonts w:ascii="Calibri" w:hAnsi="Calibri"/>
                <w:b/>
                <w:color w:val="000000"/>
              </w:rPr>
              <w:t>0</w:t>
            </w:r>
          </w:p>
        </w:tc>
      </w:tr>
      <w:tr w:rsidR="002916B5" w:rsidRPr="00F547EA" w14:paraId="2BCDC0A0" w14:textId="77777777" w:rsidTr="00CA3A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7" w:type="dxa"/>
            <w:vMerge w:val="restart"/>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4C902644" w14:textId="77777777" w:rsidR="002916B5" w:rsidRPr="00F547EA" w:rsidRDefault="002916B5" w:rsidP="00607429">
            <w:pPr>
              <w:jc w:val="center"/>
              <w:rPr>
                <w:rFonts w:ascii="Times New Roman" w:eastAsia="Times New Roman" w:hAnsi="Times New Roman" w:cs="Times New Roman"/>
                <w:b w:val="0"/>
                <w:bCs w:val="0"/>
                <w:color w:val="000000" w:themeColor="text1"/>
              </w:rPr>
            </w:pPr>
            <w:r w:rsidRPr="00F547EA">
              <w:rPr>
                <w:rFonts w:ascii="Times New Roman" w:eastAsia="Times New Roman" w:hAnsi="Times New Roman" w:cs="Times New Roman"/>
                <w:color w:val="000000" w:themeColor="text1"/>
              </w:rPr>
              <w:t xml:space="preserve">Año previo a elección </w:t>
            </w:r>
            <w:r>
              <w:rPr>
                <w:rFonts w:ascii="Times New Roman" w:eastAsia="Times New Roman" w:hAnsi="Times New Roman" w:cs="Times New Roman"/>
                <w:color w:val="000000" w:themeColor="text1"/>
              </w:rPr>
              <w:t>de gobernador</w:t>
            </w:r>
          </w:p>
        </w:tc>
        <w:tc>
          <w:tcPr>
            <w:tcW w:w="1701" w:type="dxa"/>
            <w:tcBorders>
              <w:left w:val="single" w:sz="12" w:space="0" w:color="7BA0CD" w:themeColor="accent1" w:themeTint="BF"/>
            </w:tcBorders>
            <w:noWrap/>
            <w:vAlign w:val="bottom"/>
          </w:tcPr>
          <w:p w14:paraId="5118E295" w14:textId="77777777" w:rsidR="002916B5" w:rsidRPr="00003507" w:rsidRDefault="002916B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03507">
              <w:rPr>
                <w:rFonts w:ascii="Calibri" w:hAnsi="Calibri"/>
                <w:color w:val="000000"/>
              </w:rPr>
              <w:t>0.09080676</w:t>
            </w:r>
          </w:p>
        </w:tc>
        <w:tc>
          <w:tcPr>
            <w:tcW w:w="1701" w:type="dxa"/>
            <w:noWrap/>
            <w:vAlign w:val="bottom"/>
          </w:tcPr>
          <w:p w14:paraId="42B94CD7" w14:textId="77777777" w:rsidR="002916B5" w:rsidRPr="00003507" w:rsidRDefault="002916B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03507">
              <w:rPr>
                <w:rFonts w:ascii="Calibri" w:hAnsi="Calibri"/>
                <w:color w:val="000000"/>
              </w:rPr>
              <w:t>0.71789443</w:t>
            </w:r>
          </w:p>
        </w:tc>
        <w:tc>
          <w:tcPr>
            <w:tcW w:w="1701" w:type="dxa"/>
            <w:noWrap/>
            <w:vAlign w:val="bottom"/>
          </w:tcPr>
          <w:p w14:paraId="59C59E5C" w14:textId="77777777" w:rsidR="002916B5" w:rsidRPr="00003507" w:rsidRDefault="002916B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03507">
              <w:rPr>
                <w:rFonts w:ascii="Calibri" w:hAnsi="Calibri"/>
                <w:color w:val="000000"/>
              </w:rPr>
              <w:t>0.24306197</w:t>
            </w:r>
          </w:p>
        </w:tc>
        <w:tc>
          <w:tcPr>
            <w:tcW w:w="1701" w:type="dxa"/>
            <w:noWrap/>
            <w:vAlign w:val="bottom"/>
          </w:tcPr>
          <w:p w14:paraId="0D59097D" w14:textId="77777777" w:rsidR="002916B5" w:rsidRPr="00003507" w:rsidRDefault="002916B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03507">
              <w:rPr>
                <w:rFonts w:ascii="Calibri" w:hAnsi="Calibri"/>
                <w:color w:val="000000"/>
              </w:rPr>
              <w:t>-0.05620682</w:t>
            </w:r>
          </w:p>
        </w:tc>
      </w:tr>
      <w:tr w:rsidR="002916B5" w:rsidRPr="00F547EA" w14:paraId="06585754" w14:textId="77777777" w:rsidTr="00CA3A2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0F638728" w14:textId="77777777" w:rsidR="002916B5" w:rsidRPr="00F547EA" w:rsidRDefault="002916B5" w:rsidP="00CA3A28">
            <w:pPr>
              <w:jc w:val="center"/>
              <w:rPr>
                <w:rFonts w:ascii="Times New Roman" w:eastAsia="Times New Roman" w:hAnsi="Times New Roman" w:cs="Times New Roman"/>
                <w:b w:val="0"/>
                <w:bCs w:val="0"/>
                <w:color w:val="000000" w:themeColor="text1"/>
              </w:rPr>
            </w:pPr>
          </w:p>
        </w:tc>
        <w:tc>
          <w:tcPr>
            <w:tcW w:w="1701" w:type="dxa"/>
            <w:tcBorders>
              <w:left w:val="single" w:sz="12" w:space="0" w:color="7BA0CD" w:themeColor="accent1" w:themeTint="BF"/>
            </w:tcBorders>
            <w:noWrap/>
            <w:vAlign w:val="bottom"/>
          </w:tcPr>
          <w:p w14:paraId="7844B284" w14:textId="77777777" w:rsidR="002916B5" w:rsidRPr="00003507" w:rsidRDefault="002916B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sidRPr="00003507">
              <w:rPr>
                <w:rFonts w:ascii="Calibri" w:hAnsi="Calibri"/>
                <w:color w:val="000000"/>
              </w:rPr>
              <w:t>0.02697675</w:t>
            </w:r>
          </w:p>
        </w:tc>
        <w:tc>
          <w:tcPr>
            <w:tcW w:w="1701" w:type="dxa"/>
            <w:noWrap/>
            <w:vAlign w:val="bottom"/>
          </w:tcPr>
          <w:p w14:paraId="7E815980" w14:textId="77777777" w:rsidR="002916B5" w:rsidRPr="00003507" w:rsidRDefault="002916B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sidRPr="00003507">
              <w:rPr>
                <w:rFonts w:ascii="Calibri" w:hAnsi="Calibri"/>
                <w:color w:val="000000"/>
              </w:rPr>
              <w:t>0.15285155</w:t>
            </w:r>
          </w:p>
        </w:tc>
        <w:tc>
          <w:tcPr>
            <w:tcW w:w="1701" w:type="dxa"/>
            <w:noWrap/>
            <w:vAlign w:val="bottom"/>
          </w:tcPr>
          <w:p w14:paraId="435384E7" w14:textId="77777777" w:rsidR="002916B5" w:rsidRPr="00003507" w:rsidRDefault="002916B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sidRPr="00003507">
              <w:rPr>
                <w:rFonts w:ascii="Calibri" w:hAnsi="Calibri"/>
                <w:color w:val="000000"/>
              </w:rPr>
              <w:t>0.08513147</w:t>
            </w:r>
          </w:p>
        </w:tc>
        <w:tc>
          <w:tcPr>
            <w:tcW w:w="1701" w:type="dxa"/>
            <w:noWrap/>
            <w:vAlign w:val="bottom"/>
          </w:tcPr>
          <w:p w14:paraId="761E6011" w14:textId="77777777" w:rsidR="002916B5" w:rsidRPr="00003507" w:rsidRDefault="002916B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sidRPr="00003507">
              <w:rPr>
                <w:rFonts w:ascii="Calibri" w:hAnsi="Calibri"/>
                <w:color w:val="000000"/>
              </w:rPr>
              <w:t>0.02555071</w:t>
            </w:r>
          </w:p>
        </w:tc>
      </w:tr>
      <w:tr w:rsidR="002916B5" w:rsidRPr="00F547EA" w14:paraId="33EF0834" w14:textId="77777777" w:rsidTr="00CA3A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061ADB68" w14:textId="77777777" w:rsidR="002916B5" w:rsidRPr="00F547EA" w:rsidRDefault="002916B5" w:rsidP="00CA3A28">
            <w:pPr>
              <w:jc w:val="center"/>
              <w:rPr>
                <w:rFonts w:ascii="Times New Roman" w:eastAsia="Times New Roman" w:hAnsi="Times New Roman" w:cs="Times New Roman"/>
                <w:b w:val="0"/>
                <w:bCs w:val="0"/>
                <w:color w:val="000000" w:themeColor="text1"/>
              </w:rPr>
            </w:pPr>
          </w:p>
        </w:tc>
        <w:tc>
          <w:tcPr>
            <w:tcW w:w="1701" w:type="dxa"/>
            <w:tcBorders>
              <w:left w:val="single" w:sz="12" w:space="0" w:color="7BA0CD" w:themeColor="accent1" w:themeTint="BF"/>
            </w:tcBorders>
            <w:noWrap/>
            <w:vAlign w:val="bottom"/>
          </w:tcPr>
          <w:p w14:paraId="4F5FC680" w14:textId="77777777" w:rsidR="002916B5" w:rsidRPr="00336523" w:rsidRDefault="002916B5">
            <w:pPr>
              <w:jc w:val="right"/>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336523">
              <w:rPr>
                <w:rFonts w:ascii="Calibri" w:hAnsi="Calibri"/>
                <w:b/>
                <w:color w:val="000000"/>
              </w:rPr>
              <w:t>0.0008</w:t>
            </w:r>
          </w:p>
        </w:tc>
        <w:tc>
          <w:tcPr>
            <w:tcW w:w="1701" w:type="dxa"/>
            <w:noWrap/>
            <w:vAlign w:val="bottom"/>
          </w:tcPr>
          <w:p w14:paraId="284EEC4D" w14:textId="77777777" w:rsidR="002916B5" w:rsidRPr="00336523" w:rsidRDefault="002916B5">
            <w:pPr>
              <w:jc w:val="right"/>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336523">
              <w:rPr>
                <w:rFonts w:ascii="Calibri" w:hAnsi="Calibri"/>
                <w:b/>
                <w:color w:val="000000"/>
              </w:rPr>
              <w:t>0</w:t>
            </w:r>
          </w:p>
        </w:tc>
        <w:tc>
          <w:tcPr>
            <w:tcW w:w="1701" w:type="dxa"/>
            <w:noWrap/>
            <w:vAlign w:val="bottom"/>
          </w:tcPr>
          <w:p w14:paraId="76CC0A9B" w14:textId="77777777" w:rsidR="002916B5" w:rsidRPr="00336523" w:rsidRDefault="002916B5">
            <w:pPr>
              <w:jc w:val="right"/>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336523">
              <w:rPr>
                <w:rFonts w:ascii="Calibri" w:hAnsi="Calibri"/>
                <w:b/>
                <w:color w:val="000000"/>
              </w:rPr>
              <w:t>0.0043</w:t>
            </w:r>
          </w:p>
        </w:tc>
        <w:tc>
          <w:tcPr>
            <w:tcW w:w="1701" w:type="dxa"/>
            <w:noWrap/>
            <w:vAlign w:val="bottom"/>
          </w:tcPr>
          <w:p w14:paraId="0CBFC4D6" w14:textId="77777777" w:rsidR="002916B5" w:rsidRPr="00336523" w:rsidRDefault="002916B5">
            <w:pPr>
              <w:jc w:val="right"/>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336523">
              <w:rPr>
                <w:rFonts w:ascii="Calibri" w:hAnsi="Calibri"/>
                <w:b/>
                <w:color w:val="000000"/>
              </w:rPr>
              <w:t>0.0278</w:t>
            </w:r>
          </w:p>
        </w:tc>
      </w:tr>
      <w:tr w:rsidR="002916B5" w:rsidRPr="00F547EA" w14:paraId="2E414DCF" w14:textId="77777777" w:rsidTr="00CA3A2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7" w:type="dxa"/>
            <w:vMerge w:val="restart"/>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741A9126" w14:textId="77777777" w:rsidR="002916B5" w:rsidRPr="00F547EA" w:rsidRDefault="002916B5" w:rsidP="00CA3A28">
            <w:pPr>
              <w:jc w:val="center"/>
              <w:rPr>
                <w:rFonts w:ascii="Times New Roman" w:eastAsia="Times New Roman" w:hAnsi="Times New Roman" w:cs="Times New Roman"/>
                <w:b w:val="0"/>
                <w:bCs w:val="0"/>
                <w:color w:val="000000" w:themeColor="text1"/>
              </w:rPr>
            </w:pPr>
            <w:r w:rsidRPr="00F547EA">
              <w:rPr>
                <w:rFonts w:ascii="Times New Roman" w:eastAsia="Times New Roman" w:hAnsi="Times New Roman" w:cs="Times New Roman"/>
                <w:color w:val="000000" w:themeColor="text1"/>
              </w:rPr>
              <w:t>Año electoral para gobernador</w:t>
            </w:r>
          </w:p>
        </w:tc>
        <w:tc>
          <w:tcPr>
            <w:tcW w:w="1701" w:type="dxa"/>
            <w:tcBorders>
              <w:left w:val="single" w:sz="12" w:space="0" w:color="7BA0CD" w:themeColor="accent1" w:themeTint="BF"/>
            </w:tcBorders>
            <w:noWrap/>
            <w:vAlign w:val="bottom"/>
          </w:tcPr>
          <w:p w14:paraId="3A3F4BFA" w14:textId="77777777" w:rsidR="002916B5" w:rsidRPr="00003507" w:rsidRDefault="002916B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sidRPr="00003507">
              <w:rPr>
                <w:rFonts w:ascii="Calibri" w:hAnsi="Calibri"/>
                <w:color w:val="000000"/>
              </w:rPr>
              <w:t>-0.05642071</w:t>
            </w:r>
          </w:p>
        </w:tc>
        <w:tc>
          <w:tcPr>
            <w:tcW w:w="1701" w:type="dxa"/>
            <w:noWrap/>
            <w:vAlign w:val="bottom"/>
          </w:tcPr>
          <w:p w14:paraId="29528253" w14:textId="77777777" w:rsidR="002916B5" w:rsidRPr="00003507" w:rsidRDefault="002916B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sidRPr="00003507">
              <w:rPr>
                <w:rFonts w:ascii="Calibri" w:hAnsi="Calibri"/>
                <w:color w:val="000000"/>
              </w:rPr>
              <w:t>-0.09921658</w:t>
            </w:r>
          </w:p>
        </w:tc>
        <w:tc>
          <w:tcPr>
            <w:tcW w:w="1701" w:type="dxa"/>
            <w:noWrap/>
            <w:vAlign w:val="bottom"/>
          </w:tcPr>
          <w:p w14:paraId="5D5E6F16" w14:textId="77777777" w:rsidR="002916B5" w:rsidRPr="00003507" w:rsidRDefault="002916B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sidRPr="00003507">
              <w:rPr>
                <w:rFonts w:ascii="Calibri" w:hAnsi="Calibri"/>
                <w:color w:val="000000"/>
              </w:rPr>
              <w:t>0.13608461</w:t>
            </w:r>
          </w:p>
        </w:tc>
        <w:tc>
          <w:tcPr>
            <w:tcW w:w="1701" w:type="dxa"/>
            <w:noWrap/>
            <w:vAlign w:val="bottom"/>
          </w:tcPr>
          <w:p w14:paraId="0AD87D08" w14:textId="77777777" w:rsidR="002916B5" w:rsidRPr="00003507" w:rsidRDefault="002916B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sidRPr="00003507">
              <w:rPr>
                <w:rFonts w:ascii="Calibri" w:hAnsi="Calibri"/>
                <w:color w:val="000000"/>
              </w:rPr>
              <w:t>-0.05500314</w:t>
            </w:r>
          </w:p>
        </w:tc>
      </w:tr>
      <w:tr w:rsidR="002916B5" w:rsidRPr="00F547EA" w14:paraId="6C300F9C" w14:textId="77777777" w:rsidTr="00CA3A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1A52D6FE" w14:textId="77777777" w:rsidR="002916B5" w:rsidRPr="00F547EA" w:rsidRDefault="002916B5" w:rsidP="00CA3A28">
            <w:pPr>
              <w:jc w:val="center"/>
              <w:rPr>
                <w:rFonts w:ascii="Times New Roman" w:eastAsia="Times New Roman" w:hAnsi="Times New Roman" w:cs="Times New Roman"/>
                <w:b w:val="0"/>
                <w:bCs w:val="0"/>
                <w:color w:val="000000" w:themeColor="text1"/>
              </w:rPr>
            </w:pPr>
          </w:p>
        </w:tc>
        <w:tc>
          <w:tcPr>
            <w:tcW w:w="1701" w:type="dxa"/>
            <w:tcBorders>
              <w:left w:val="single" w:sz="12" w:space="0" w:color="7BA0CD" w:themeColor="accent1" w:themeTint="BF"/>
            </w:tcBorders>
            <w:noWrap/>
            <w:vAlign w:val="bottom"/>
          </w:tcPr>
          <w:p w14:paraId="770E8B1D" w14:textId="77777777" w:rsidR="002916B5" w:rsidRPr="00003507" w:rsidRDefault="002916B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03507">
              <w:rPr>
                <w:rFonts w:ascii="Calibri" w:hAnsi="Calibri"/>
                <w:color w:val="000000"/>
              </w:rPr>
              <w:t>0.02776114</w:t>
            </w:r>
          </w:p>
        </w:tc>
        <w:tc>
          <w:tcPr>
            <w:tcW w:w="1701" w:type="dxa"/>
            <w:noWrap/>
            <w:vAlign w:val="bottom"/>
          </w:tcPr>
          <w:p w14:paraId="03FBC443" w14:textId="77777777" w:rsidR="002916B5" w:rsidRPr="00003507" w:rsidRDefault="002916B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03507">
              <w:rPr>
                <w:rFonts w:ascii="Calibri" w:hAnsi="Calibri"/>
                <w:color w:val="000000"/>
              </w:rPr>
              <w:t>0.18595208</w:t>
            </w:r>
          </w:p>
        </w:tc>
        <w:tc>
          <w:tcPr>
            <w:tcW w:w="1701" w:type="dxa"/>
            <w:noWrap/>
            <w:vAlign w:val="bottom"/>
          </w:tcPr>
          <w:p w14:paraId="6CA4E107" w14:textId="77777777" w:rsidR="002916B5" w:rsidRPr="00003507" w:rsidRDefault="002916B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03507">
              <w:rPr>
                <w:rFonts w:ascii="Calibri" w:hAnsi="Calibri"/>
                <w:color w:val="000000"/>
              </w:rPr>
              <w:t>0.09176944</w:t>
            </w:r>
          </w:p>
        </w:tc>
        <w:tc>
          <w:tcPr>
            <w:tcW w:w="1701" w:type="dxa"/>
            <w:noWrap/>
            <w:vAlign w:val="bottom"/>
          </w:tcPr>
          <w:p w14:paraId="0C59CD92" w14:textId="77777777" w:rsidR="002916B5" w:rsidRPr="00003507" w:rsidRDefault="002916B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03507">
              <w:rPr>
                <w:rFonts w:ascii="Calibri" w:hAnsi="Calibri"/>
                <w:color w:val="000000"/>
              </w:rPr>
              <w:t>0.02555071</w:t>
            </w:r>
          </w:p>
        </w:tc>
      </w:tr>
      <w:tr w:rsidR="002916B5" w:rsidRPr="00F547EA" w14:paraId="5D2720FB" w14:textId="77777777" w:rsidTr="00CA3A2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0AD3CF02" w14:textId="77777777" w:rsidR="002916B5" w:rsidRPr="00F547EA" w:rsidRDefault="002916B5" w:rsidP="00CA3A28">
            <w:pPr>
              <w:jc w:val="center"/>
              <w:rPr>
                <w:rFonts w:ascii="Times New Roman" w:eastAsia="Times New Roman" w:hAnsi="Times New Roman" w:cs="Times New Roman"/>
                <w:b w:val="0"/>
                <w:bCs w:val="0"/>
                <w:color w:val="000000" w:themeColor="text1"/>
              </w:rPr>
            </w:pPr>
          </w:p>
        </w:tc>
        <w:tc>
          <w:tcPr>
            <w:tcW w:w="1701" w:type="dxa"/>
            <w:tcBorders>
              <w:left w:val="single" w:sz="12" w:space="0" w:color="7BA0CD" w:themeColor="accent1" w:themeTint="BF"/>
            </w:tcBorders>
            <w:noWrap/>
            <w:vAlign w:val="bottom"/>
          </w:tcPr>
          <w:p w14:paraId="7AB9329A" w14:textId="77777777" w:rsidR="002916B5" w:rsidRPr="00336523" w:rsidRDefault="002916B5">
            <w:pPr>
              <w:jc w:val="right"/>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336523">
              <w:rPr>
                <w:rFonts w:ascii="Calibri" w:hAnsi="Calibri"/>
                <w:b/>
                <w:color w:val="000000"/>
              </w:rPr>
              <w:t>0.0421</w:t>
            </w:r>
          </w:p>
        </w:tc>
        <w:tc>
          <w:tcPr>
            <w:tcW w:w="1701" w:type="dxa"/>
            <w:noWrap/>
            <w:vAlign w:val="bottom"/>
          </w:tcPr>
          <w:p w14:paraId="2DD72499" w14:textId="77777777" w:rsidR="002916B5" w:rsidRPr="00003507" w:rsidRDefault="002916B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sidRPr="00003507">
              <w:rPr>
                <w:rFonts w:ascii="Calibri" w:hAnsi="Calibri"/>
                <w:color w:val="000000"/>
              </w:rPr>
              <w:t>0.5936</w:t>
            </w:r>
          </w:p>
        </w:tc>
        <w:tc>
          <w:tcPr>
            <w:tcW w:w="1701" w:type="dxa"/>
            <w:noWrap/>
            <w:vAlign w:val="bottom"/>
          </w:tcPr>
          <w:p w14:paraId="31A3D5BA" w14:textId="77777777" w:rsidR="002916B5" w:rsidRPr="00003507" w:rsidRDefault="002916B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sidRPr="00003507">
              <w:rPr>
                <w:rFonts w:ascii="Calibri" w:hAnsi="Calibri"/>
                <w:color w:val="000000"/>
              </w:rPr>
              <w:t>0.1381</w:t>
            </w:r>
          </w:p>
        </w:tc>
        <w:tc>
          <w:tcPr>
            <w:tcW w:w="1701" w:type="dxa"/>
            <w:noWrap/>
            <w:vAlign w:val="bottom"/>
          </w:tcPr>
          <w:p w14:paraId="754B19BB" w14:textId="77777777" w:rsidR="002916B5" w:rsidRPr="00336523" w:rsidRDefault="002916B5">
            <w:pPr>
              <w:jc w:val="right"/>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336523">
              <w:rPr>
                <w:rFonts w:ascii="Calibri" w:hAnsi="Calibri"/>
                <w:b/>
                <w:color w:val="000000"/>
              </w:rPr>
              <w:t>0.0313</w:t>
            </w:r>
          </w:p>
        </w:tc>
      </w:tr>
      <w:tr w:rsidR="002916B5" w:rsidRPr="00F547EA" w14:paraId="5098ED9E" w14:textId="77777777" w:rsidTr="00CA3A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7" w:type="dxa"/>
            <w:vMerge w:val="restart"/>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41291560" w14:textId="77777777" w:rsidR="002916B5" w:rsidRPr="00F547EA" w:rsidRDefault="002916B5" w:rsidP="00CA3A28">
            <w:pPr>
              <w:jc w:val="center"/>
              <w:rPr>
                <w:rFonts w:ascii="Times New Roman" w:eastAsia="Times New Roman" w:hAnsi="Times New Roman" w:cs="Times New Roman"/>
                <w:b w:val="0"/>
                <w:bCs w:val="0"/>
                <w:color w:val="000000" w:themeColor="text1"/>
              </w:rPr>
            </w:pPr>
            <w:r w:rsidRPr="00F547EA">
              <w:rPr>
                <w:rFonts w:ascii="Times New Roman" w:eastAsia="Times New Roman" w:hAnsi="Times New Roman" w:cs="Times New Roman"/>
                <w:color w:val="000000" w:themeColor="text1"/>
              </w:rPr>
              <w:t>Constante</w:t>
            </w:r>
          </w:p>
        </w:tc>
        <w:tc>
          <w:tcPr>
            <w:tcW w:w="1701" w:type="dxa"/>
            <w:tcBorders>
              <w:left w:val="single" w:sz="12" w:space="0" w:color="7BA0CD" w:themeColor="accent1" w:themeTint="BF"/>
            </w:tcBorders>
            <w:noWrap/>
            <w:vAlign w:val="bottom"/>
          </w:tcPr>
          <w:p w14:paraId="6025D5B2" w14:textId="77777777" w:rsidR="002916B5" w:rsidRPr="00003507" w:rsidRDefault="002916B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03507">
              <w:rPr>
                <w:rFonts w:ascii="Calibri" w:hAnsi="Calibri"/>
                <w:color w:val="000000"/>
              </w:rPr>
              <w:t>-71.940013</w:t>
            </w:r>
          </w:p>
        </w:tc>
        <w:tc>
          <w:tcPr>
            <w:tcW w:w="1701" w:type="dxa"/>
            <w:noWrap/>
            <w:vAlign w:val="bottom"/>
          </w:tcPr>
          <w:p w14:paraId="2683F4FE" w14:textId="77777777" w:rsidR="002916B5" w:rsidRPr="00003507" w:rsidRDefault="002916B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03507">
              <w:rPr>
                <w:rFonts w:ascii="Calibri" w:hAnsi="Calibri"/>
                <w:color w:val="000000"/>
              </w:rPr>
              <w:t>-34.899425</w:t>
            </w:r>
          </w:p>
        </w:tc>
        <w:tc>
          <w:tcPr>
            <w:tcW w:w="1701" w:type="dxa"/>
            <w:noWrap/>
            <w:vAlign w:val="bottom"/>
          </w:tcPr>
          <w:p w14:paraId="2F5A7A42" w14:textId="77777777" w:rsidR="002916B5" w:rsidRPr="00003507" w:rsidRDefault="002916B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03507">
              <w:rPr>
                <w:rFonts w:ascii="Calibri" w:hAnsi="Calibri"/>
                <w:color w:val="000000"/>
              </w:rPr>
              <w:t>-83.422938</w:t>
            </w:r>
          </w:p>
        </w:tc>
        <w:tc>
          <w:tcPr>
            <w:tcW w:w="1701" w:type="dxa"/>
            <w:noWrap/>
            <w:vAlign w:val="bottom"/>
          </w:tcPr>
          <w:p w14:paraId="3D11027B" w14:textId="77777777" w:rsidR="002916B5" w:rsidRPr="00003507" w:rsidRDefault="002916B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03507">
              <w:rPr>
                <w:rFonts w:ascii="Calibri" w:hAnsi="Calibri"/>
                <w:color w:val="000000"/>
              </w:rPr>
              <w:t>-44.580951</w:t>
            </w:r>
          </w:p>
        </w:tc>
      </w:tr>
      <w:tr w:rsidR="002916B5" w:rsidRPr="00F547EA" w14:paraId="50D1BC3D" w14:textId="77777777" w:rsidTr="00CA3A2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tcPr>
          <w:p w14:paraId="15E0A470" w14:textId="77777777" w:rsidR="002916B5" w:rsidRPr="00F547EA" w:rsidRDefault="002916B5" w:rsidP="00CA3A28">
            <w:pPr>
              <w:rPr>
                <w:rFonts w:ascii="Times New Roman" w:eastAsia="Times New Roman" w:hAnsi="Times New Roman" w:cs="Times New Roman"/>
                <w:b w:val="0"/>
                <w:bCs w:val="0"/>
              </w:rPr>
            </w:pPr>
          </w:p>
        </w:tc>
        <w:tc>
          <w:tcPr>
            <w:tcW w:w="1701" w:type="dxa"/>
            <w:tcBorders>
              <w:left w:val="single" w:sz="12" w:space="0" w:color="7BA0CD" w:themeColor="accent1" w:themeTint="BF"/>
            </w:tcBorders>
            <w:noWrap/>
            <w:vAlign w:val="bottom"/>
          </w:tcPr>
          <w:p w14:paraId="66110E96" w14:textId="77777777" w:rsidR="002916B5" w:rsidRPr="00003507" w:rsidRDefault="002916B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sidRPr="00003507">
              <w:rPr>
                <w:rFonts w:ascii="Calibri" w:hAnsi="Calibri"/>
                <w:color w:val="000000"/>
              </w:rPr>
              <w:t>11.936355</w:t>
            </w:r>
          </w:p>
        </w:tc>
        <w:tc>
          <w:tcPr>
            <w:tcW w:w="1701" w:type="dxa"/>
            <w:noWrap/>
            <w:vAlign w:val="bottom"/>
          </w:tcPr>
          <w:p w14:paraId="37698FA5" w14:textId="77777777" w:rsidR="002916B5" w:rsidRPr="00003507" w:rsidRDefault="002916B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sidRPr="00003507">
              <w:rPr>
                <w:rFonts w:ascii="Calibri" w:hAnsi="Calibri"/>
                <w:color w:val="000000"/>
              </w:rPr>
              <w:t>86.834481</w:t>
            </w:r>
          </w:p>
        </w:tc>
        <w:tc>
          <w:tcPr>
            <w:tcW w:w="1701" w:type="dxa"/>
            <w:noWrap/>
            <w:vAlign w:val="bottom"/>
          </w:tcPr>
          <w:p w14:paraId="67B89025" w14:textId="77777777" w:rsidR="002916B5" w:rsidRPr="00003507" w:rsidRDefault="002916B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sidRPr="00003507">
              <w:rPr>
                <w:rFonts w:ascii="Calibri" w:hAnsi="Calibri"/>
                <w:color w:val="000000"/>
              </w:rPr>
              <w:t>39.853883</w:t>
            </w:r>
          </w:p>
        </w:tc>
        <w:tc>
          <w:tcPr>
            <w:tcW w:w="1701" w:type="dxa"/>
            <w:noWrap/>
            <w:vAlign w:val="bottom"/>
          </w:tcPr>
          <w:p w14:paraId="2E7EC82A" w14:textId="77777777" w:rsidR="002916B5" w:rsidRPr="00003507" w:rsidRDefault="002916B5">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sidRPr="00003507">
              <w:rPr>
                <w:rFonts w:ascii="Calibri" w:hAnsi="Calibri"/>
                <w:color w:val="000000"/>
              </w:rPr>
              <w:t>11.07516</w:t>
            </w:r>
          </w:p>
        </w:tc>
      </w:tr>
      <w:tr w:rsidR="002916B5" w:rsidRPr="00F547EA" w14:paraId="53B47CEF" w14:textId="77777777" w:rsidTr="00CA3A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tcPr>
          <w:p w14:paraId="192F46DB" w14:textId="77777777" w:rsidR="002916B5" w:rsidRPr="00F547EA" w:rsidRDefault="002916B5" w:rsidP="00CA3A28">
            <w:pPr>
              <w:rPr>
                <w:rFonts w:ascii="Times New Roman" w:eastAsia="Times New Roman" w:hAnsi="Times New Roman" w:cs="Times New Roman"/>
                <w:b w:val="0"/>
                <w:bCs w:val="0"/>
              </w:rPr>
            </w:pPr>
          </w:p>
        </w:tc>
        <w:tc>
          <w:tcPr>
            <w:tcW w:w="1701" w:type="dxa"/>
            <w:tcBorders>
              <w:left w:val="single" w:sz="12" w:space="0" w:color="7BA0CD" w:themeColor="accent1" w:themeTint="BF"/>
              <w:bottom w:val="single" w:sz="8" w:space="0" w:color="7F7F7F" w:themeColor="text1" w:themeTint="80"/>
            </w:tcBorders>
            <w:noWrap/>
            <w:vAlign w:val="bottom"/>
          </w:tcPr>
          <w:p w14:paraId="45BDF91A" w14:textId="77777777" w:rsidR="002916B5" w:rsidRPr="00003507" w:rsidRDefault="002916B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03507">
              <w:rPr>
                <w:rFonts w:ascii="Calibri" w:hAnsi="Calibri"/>
                <w:color w:val="000000"/>
              </w:rPr>
              <w:t>0</w:t>
            </w:r>
          </w:p>
        </w:tc>
        <w:tc>
          <w:tcPr>
            <w:tcW w:w="1701" w:type="dxa"/>
            <w:tcBorders>
              <w:bottom w:val="single" w:sz="8" w:space="0" w:color="7F7F7F" w:themeColor="text1" w:themeTint="80"/>
            </w:tcBorders>
            <w:noWrap/>
            <w:vAlign w:val="bottom"/>
          </w:tcPr>
          <w:p w14:paraId="240A4778" w14:textId="77777777" w:rsidR="002916B5" w:rsidRPr="00003507" w:rsidRDefault="002916B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03507">
              <w:rPr>
                <w:rFonts w:ascii="Calibri" w:hAnsi="Calibri"/>
                <w:color w:val="000000"/>
              </w:rPr>
              <w:t>0.6878</w:t>
            </w:r>
          </w:p>
        </w:tc>
        <w:tc>
          <w:tcPr>
            <w:tcW w:w="1701" w:type="dxa"/>
            <w:tcBorders>
              <w:bottom w:val="single" w:sz="8" w:space="0" w:color="7F7F7F" w:themeColor="text1" w:themeTint="80"/>
            </w:tcBorders>
            <w:noWrap/>
            <w:vAlign w:val="bottom"/>
          </w:tcPr>
          <w:p w14:paraId="39648516" w14:textId="77777777" w:rsidR="002916B5" w:rsidRPr="00003507" w:rsidRDefault="002916B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03507">
              <w:rPr>
                <w:rFonts w:ascii="Calibri" w:hAnsi="Calibri"/>
                <w:color w:val="000000"/>
              </w:rPr>
              <w:t>0.0363</w:t>
            </w:r>
          </w:p>
        </w:tc>
        <w:tc>
          <w:tcPr>
            <w:tcW w:w="1701" w:type="dxa"/>
            <w:tcBorders>
              <w:bottom w:val="single" w:sz="8" w:space="0" w:color="7F7F7F" w:themeColor="text1" w:themeTint="80"/>
            </w:tcBorders>
            <w:noWrap/>
            <w:vAlign w:val="bottom"/>
          </w:tcPr>
          <w:p w14:paraId="60526333" w14:textId="77777777" w:rsidR="002916B5" w:rsidRPr="00003507" w:rsidRDefault="002916B5">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03507">
              <w:rPr>
                <w:rFonts w:ascii="Calibri" w:hAnsi="Calibri"/>
                <w:color w:val="000000"/>
              </w:rPr>
              <w:t>0.0001</w:t>
            </w:r>
          </w:p>
        </w:tc>
      </w:tr>
      <w:tr w:rsidR="00CA3A28" w:rsidRPr="00F547EA" w14:paraId="68D4AE06" w14:textId="77777777" w:rsidTr="009C054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7" w:type="dxa"/>
            <w:tcBorders>
              <w:top w:val="single" w:sz="12" w:space="0" w:color="7BA0CD" w:themeColor="accent1" w:themeTint="BF"/>
              <w:left w:val="single" w:sz="8" w:space="0" w:color="7F7F7F" w:themeColor="text1" w:themeTint="80"/>
              <w:bottom w:val="single" w:sz="8" w:space="0" w:color="7F7F7F" w:themeColor="text1" w:themeTint="80"/>
              <w:right w:val="single" w:sz="8" w:space="0" w:color="7F7F7F" w:themeColor="text1" w:themeTint="80"/>
            </w:tcBorders>
            <w:shd w:val="clear" w:color="auto" w:fill="BFBFBF" w:themeFill="background1" w:themeFillShade="BF"/>
            <w:noWrap/>
          </w:tcPr>
          <w:p w14:paraId="4E29BBC2" w14:textId="77777777" w:rsidR="00CA3A28" w:rsidRPr="00F547EA" w:rsidRDefault="00CA3A28" w:rsidP="00CA3A28">
            <w:pPr>
              <w:rPr>
                <w:rFonts w:ascii="Times New Roman" w:eastAsia="Times New Roman" w:hAnsi="Times New Roman" w:cs="Times New Roman"/>
                <w:b w:val="0"/>
                <w:bCs w:val="0"/>
              </w:rPr>
            </w:pPr>
            <w:r w:rsidRPr="00F547EA">
              <w:rPr>
                <w:rFonts w:ascii="Times New Roman" w:eastAsia="Times New Roman" w:hAnsi="Times New Roman" w:cs="Times New Roman"/>
              </w:rPr>
              <w:t>Rho</w:t>
            </w:r>
          </w:p>
        </w:tc>
        <w:tc>
          <w:tcPr>
            <w:tcW w:w="1701"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BFBFBF" w:themeFill="background1" w:themeFillShade="BF"/>
            <w:noWrap/>
          </w:tcPr>
          <w:p w14:paraId="3214E0A3" w14:textId="77777777" w:rsidR="00CA3A28" w:rsidRPr="00003507" w:rsidRDefault="00CA3A28" w:rsidP="00CA3A28">
            <w:pPr>
              <w:jc w:val="righ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rPr>
            </w:pPr>
            <w:r w:rsidRPr="00003507">
              <w:rPr>
                <w:rFonts w:ascii="Times New Roman" w:eastAsia="Times New Roman" w:hAnsi="Times New Roman" w:cs="Times New Roman"/>
              </w:rPr>
              <w:t>0.</w:t>
            </w:r>
            <w:r w:rsidR="009C054C" w:rsidRPr="00003507">
              <w:t xml:space="preserve"> </w:t>
            </w:r>
            <w:r w:rsidR="002B2803" w:rsidRPr="00003507">
              <w:rPr>
                <w:rFonts w:ascii="Times New Roman" w:eastAsia="Times New Roman" w:hAnsi="Times New Roman" w:cs="Times New Roman"/>
              </w:rPr>
              <w:t>34385303</w:t>
            </w:r>
          </w:p>
        </w:tc>
        <w:tc>
          <w:tcPr>
            <w:tcW w:w="1701"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BFBFBF" w:themeFill="background1" w:themeFillShade="BF"/>
            <w:noWrap/>
          </w:tcPr>
          <w:p w14:paraId="65FA9AEA" w14:textId="77777777" w:rsidR="00CA3A28" w:rsidRPr="00003507" w:rsidRDefault="00CA3A28" w:rsidP="00CA3A28">
            <w:pPr>
              <w:jc w:val="righ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rPr>
            </w:pPr>
            <w:r w:rsidRPr="00003507">
              <w:rPr>
                <w:rFonts w:ascii="Times New Roman" w:eastAsia="Times New Roman" w:hAnsi="Times New Roman" w:cs="Times New Roman"/>
              </w:rPr>
              <w:t>0</w:t>
            </w:r>
          </w:p>
        </w:tc>
        <w:tc>
          <w:tcPr>
            <w:tcW w:w="1701"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BFBFBF" w:themeFill="background1" w:themeFillShade="BF"/>
            <w:noWrap/>
          </w:tcPr>
          <w:p w14:paraId="5A15EAB5" w14:textId="77777777" w:rsidR="00CA3A28" w:rsidRPr="00003507" w:rsidRDefault="00CA3A28" w:rsidP="00CA3A28">
            <w:pPr>
              <w:jc w:val="righ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rPr>
            </w:pPr>
            <w:r w:rsidRPr="00003507">
              <w:rPr>
                <w:rFonts w:ascii="Times New Roman" w:eastAsia="Times New Roman" w:hAnsi="Times New Roman" w:cs="Times New Roman"/>
              </w:rPr>
              <w:t>0.</w:t>
            </w:r>
            <w:r w:rsidR="009C054C" w:rsidRPr="00003507">
              <w:t xml:space="preserve"> </w:t>
            </w:r>
            <w:r w:rsidR="002B2803" w:rsidRPr="00003507">
              <w:rPr>
                <w:rFonts w:ascii="Times New Roman" w:eastAsia="Times New Roman" w:hAnsi="Times New Roman" w:cs="Times New Roman"/>
              </w:rPr>
              <w:t>24530765</w:t>
            </w:r>
          </w:p>
        </w:tc>
        <w:tc>
          <w:tcPr>
            <w:tcW w:w="1701"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BFBFBF" w:themeFill="background1" w:themeFillShade="BF"/>
            <w:noWrap/>
          </w:tcPr>
          <w:p w14:paraId="15DA0A95" w14:textId="77777777" w:rsidR="00CA3A28" w:rsidRPr="00003507" w:rsidRDefault="00CA3A28" w:rsidP="00CA3A28">
            <w:pPr>
              <w:jc w:val="righ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rPr>
            </w:pPr>
            <w:r w:rsidRPr="00003507">
              <w:rPr>
                <w:rFonts w:ascii="Times New Roman" w:eastAsia="Times New Roman" w:hAnsi="Times New Roman" w:cs="Times New Roman"/>
              </w:rPr>
              <w:t>0.</w:t>
            </w:r>
            <w:r w:rsidRPr="00003507">
              <w:t xml:space="preserve"> </w:t>
            </w:r>
            <w:r w:rsidR="002B2803" w:rsidRPr="00003507">
              <w:rPr>
                <w:rFonts w:ascii="Times New Roman" w:eastAsia="Times New Roman" w:hAnsi="Times New Roman" w:cs="Times New Roman"/>
              </w:rPr>
              <w:t>167085</w:t>
            </w:r>
          </w:p>
        </w:tc>
      </w:tr>
      <w:tr w:rsidR="00CA3A28" w:rsidRPr="00F547EA" w14:paraId="31B4D17F" w14:textId="77777777" w:rsidTr="00CA3A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7"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BFBFBF" w:themeFill="background1" w:themeFillShade="BF"/>
            <w:noWrap/>
          </w:tcPr>
          <w:p w14:paraId="4225095A" w14:textId="77777777" w:rsidR="00CA3A28" w:rsidRPr="00F547EA" w:rsidRDefault="00CA3A28" w:rsidP="00CA3A28">
            <w:pPr>
              <w:rPr>
                <w:rFonts w:ascii="Times New Roman" w:eastAsia="Times New Roman" w:hAnsi="Times New Roman" w:cs="Times New Roman"/>
                <w:b w:val="0"/>
                <w:bCs w:val="0"/>
              </w:rPr>
            </w:pPr>
            <w:r w:rsidRPr="00F547EA">
              <w:rPr>
                <w:rFonts w:ascii="Times New Roman" w:eastAsia="Times New Roman" w:hAnsi="Times New Roman" w:cs="Times New Roman"/>
              </w:rPr>
              <w:t>Observaciones</w:t>
            </w:r>
          </w:p>
        </w:tc>
        <w:tc>
          <w:tcPr>
            <w:tcW w:w="1701"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BFBFBF" w:themeFill="background1" w:themeFillShade="BF"/>
            <w:noWrap/>
          </w:tcPr>
          <w:p w14:paraId="21E48E20" w14:textId="77777777" w:rsidR="00CA3A28" w:rsidRPr="00003507" w:rsidRDefault="009C054C" w:rsidP="00CA3A2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03507">
              <w:rPr>
                <w:rFonts w:ascii="Times New Roman" w:eastAsia="Times New Roman" w:hAnsi="Times New Roman" w:cs="Times New Roman"/>
              </w:rPr>
              <w:t>4517</w:t>
            </w:r>
          </w:p>
        </w:tc>
        <w:tc>
          <w:tcPr>
            <w:tcW w:w="1701"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BFBFBF" w:themeFill="background1" w:themeFillShade="BF"/>
            <w:noWrap/>
          </w:tcPr>
          <w:p w14:paraId="582D1F97" w14:textId="77777777" w:rsidR="00CA3A28" w:rsidRPr="00003507" w:rsidRDefault="00CA3A28" w:rsidP="00CA3A2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03507">
              <w:rPr>
                <w:rFonts w:ascii="Times New Roman" w:eastAsia="Times New Roman" w:hAnsi="Times New Roman" w:cs="Times New Roman"/>
              </w:rPr>
              <w:t>690</w:t>
            </w:r>
          </w:p>
        </w:tc>
        <w:tc>
          <w:tcPr>
            <w:tcW w:w="1701"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BFBFBF" w:themeFill="background1" w:themeFillShade="BF"/>
            <w:noWrap/>
          </w:tcPr>
          <w:p w14:paraId="5621C603" w14:textId="77777777" w:rsidR="00CA3A28" w:rsidRPr="00003507" w:rsidRDefault="00CA3A28" w:rsidP="00CA3A2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03507">
              <w:rPr>
                <w:rFonts w:ascii="Times New Roman" w:eastAsia="Times New Roman" w:hAnsi="Times New Roman" w:cs="Times New Roman"/>
              </w:rPr>
              <w:t>455</w:t>
            </w:r>
          </w:p>
        </w:tc>
        <w:tc>
          <w:tcPr>
            <w:tcW w:w="1701"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BFBFBF" w:themeFill="background1" w:themeFillShade="BF"/>
            <w:noWrap/>
          </w:tcPr>
          <w:p w14:paraId="68B638FB" w14:textId="77777777" w:rsidR="00CA3A28" w:rsidRPr="00003507" w:rsidRDefault="009C054C" w:rsidP="00CA3A2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03507">
              <w:rPr>
                <w:rFonts w:ascii="Times New Roman" w:eastAsia="Times New Roman" w:hAnsi="Times New Roman" w:cs="Times New Roman"/>
              </w:rPr>
              <w:t>3372</w:t>
            </w:r>
          </w:p>
        </w:tc>
      </w:tr>
      <w:tr w:rsidR="00CA3A28" w:rsidRPr="00F547EA" w14:paraId="41B1F336" w14:textId="77777777" w:rsidTr="00CA3A28">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77"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BFBFBF" w:themeFill="background1" w:themeFillShade="BF"/>
            <w:noWrap/>
          </w:tcPr>
          <w:p w14:paraId="00D5C697" w14:textId="77777777" w:rsidR="00CA3A28" w:rsidRPr="00F547EA" w:rsidRDefault="00CA3A28" w:rsidP="00CA3A28">
            <w:pPr>
              <w:rPr>
                <w:rFonts w:ascii="Times New Roman" w:eastAsia="Times New Roman" w:hAnsi="Times New Roman" w:cs="Times New Roman"/>
                <w:b w:val="0"/>
                <w:bCs w:val="0"/>
              </w:rPr>
            </w:pPr>
            <w:r w:rsidRPr="00F547EA">
              <w:rPr>
                <w:rFonts w:ascii="Times New Roman" w:eastAsia="Times New Roman" w:hAnsi="Times New Roman" w:cs="Times New Roman"/>
              </w:rPr>
              <w:t> </w:t>
            </w:r>
          </w:p>
        </w:tc>
        <w:tc>
          <w:tcPr>
            <w:tcW w:w="1701"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BFBFBF" w:themeFill="background1" w:themeFillShade="BF"/>
            <w:noWrap/>
          </w:tcPr>
          <w:p w14:paraId="24302CFB" w14:textId="77777777" w:rsidR="00CA3A28" w:rsidRPr="00F547EA" w:rsidRDefault="00CA3A28" w:rsidP="00CA3A28">
            <w:pPr>
              <w:jc w:val="righ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rPr>
            </w:pPr>
          </w:p>
        </w:tc>
        <w:tc>
          <w:tcPr>
            <w:tcW w:w="1701"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BFBFBF" w:themeFill="background1" w:themeFillShade="BF"/>
            <w:noWrap/>
          </w:tcPr>
          <w:p w14:paraId="673A4D68" w14:textId="77777777" w:rsidR="00CA3A28" w:rsidRPr="00F547EA" w:rsidRDefault="00CA3A28" w:rsidP="00CA3A28">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rPr>
            </w:pPr>
            <w:r w:rsidRPr="00F547EA">
              <w:rPr>
                <w:rFonts w:ascii="Times New Roman" w:eastAsia="Times New Roman" w:hAnsi="Times New Roman" w:cs="Times New Roman"/>
              </w:rPr>
              <w:t> </w:t>
            </w:r>
          </w:p>
        </w:tc>
        <w:tc>
          <w:tcPr>
            <w:tcW w:w="1701"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BFBFBF" w:themeFill="background1" w:themeFillShade="BF"/>
            <w:noWrap/>
          </w:tcPr>
          <w:p w14:paraId="42B88B46" w14:textId="77777777" w:rsidR="00CA3A28" w:rsidRPr="00F547EA" w:rsidRDefault="00CA3A28" w:rsidP="00CA3A28">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rPr>
            </w:pPr>
            <w:r w:rsidRPr="00F547EA">
              <w:rPr>
                <w:rFonts w:ascii="Times New Roman" w:eastAsia="Times New Roman" w:hAnsi="Times New Roman" w:cs="Times New Roman"/>
              </w:rPr>
              <w:t> </w:t>
            </w:r>
          </w:p>
        </w:tc>
        <w:tc>
          <w:tcPr>
            <w:tcW w:w="1701"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BFBFBF" w:themeFill="background1" w:themeFillShade="BF"/>
            <w:noWrap/>
          </w:tcPr>
          <w:p w14:paraId="3CC3E195" w14:textId="77777777" w:rsidR="00CA3A28" w:rsidRPr="00F547EA" w:rsidRDefault="00CA3A28" w:rsidP="00CA3A28">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bCs/>
              </w:rPr>
            </w:pPr>
            <w:r w:rsidRPr="00F547EA">
              <w:rPr>
                <w:rFonts w:ascii="Times New Roman" w:eastAsia="Times New Roman" w:hAnsi="Times New Roman" w:cs="Times New Roman"/>
                <w:b/>
                <w:bCs/>
              </w:rPr>
              <w:t>filas: b/de/p</w:t>
            </w:r>
          </w:p>
        </w:tc>
      </w:tr>
    </w:tbl>
    <w:p w14:paraId="62CC2F8A" w14:textId="77777777" w:rsidR="00607429" w:rsidRPr="00607429" w:rsidRDefault="00607429" w:rsidP="00607429">
      <w:pPr>
        <w:spacing w:after="0" w:line="480" w:lineRule="auto"/>
        <w:ind w:firstLine="708"/>
        <w:jc w:val="both"/>
        <w:rPr>
          <w:rFonts w:ascii="Times New Roman" w:hAnsi="Times New Roman" w:cs="Times New Roman"/>
          <w:sz w:val="20"/>
          <w:szCs w:val="20"/>
        </w:rPr>
      </w:pPr>
    </w:p>
    <w:p w14:paraId="4E48A191" w14:textId="77777777" w:rsidR="00EB5200" w:rsidRDefault="009163D6" w:rsidP="009163D6">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En la tabla 5 es posible encontrar de forma bastante clara las variables que resultaron significativas en cada uno de los modelos, así como las predicciones planteadas por la teoría. De acuerdo con la teoría de los votantes duros y, en términos de las variables analizadas en ambos modelos, deberíamos esperar que el amplio margen de victoria y el que se haya votado por el candidato que resultó gobernador sean los principales predictores para la asignación de recursos y proyectos. Sin embargo, al revisar los resultad</w:t>
      </w:r>
      <w:r w:rsidR="005F6834">
        <w:rPr>
          <w:rFonts w:ascii="Times New Roman" w:hAnsi="Times New Roman" w:cs="Times New Roman"/>
          <w:sz w:val="24"/>
          <w:szCs w:val="24"/>
        </w:rPr>
        <w:t xml:space="preserve">os de ambos modelos, </w:t>
      </w:r>
      <w:r>
        <w:rPr>
          <w:rFonts w:ascii="Times New Roman" w:hAnsi="Times New Roman" w:cs="Times New Roman"/>
          <w:sz w:val="24"/>
          <w:szCs w:val="24"/>
        </w:rPr>
        <w:t>ninguna de dichas variables resultó significativa</w:t>
      </w:r>
      <w:r w:rsidR="00224D44">
        <w:rPr>
          <w:rFonts w:ascii="Times New Roman" w:hAnsi="Times New Roman" w:cs="Times New Roman"/>
          <w:sz w:val="24"/>
          <w:szCs w:val="24"/>
        </w:rPr>
        <w:t xml:space="preserve"> y con impacto positivo, como plantea la teoría</w:t>
      </w:r>
      <w:r>
        <w:rPr>
          <w:rFonts w:ascii="Times New Roman" w:hAnsi="Times New Roman" w:cs="Times New Roman"/>
          <w:sz w:val="24"/>
          <w:szCs w:val="24"/>
        </w:rPr>
        <w:t xml:space="preserve">. </w:t>
      </w:r>
      <w:r w:rsidR="00EB5200">
        <w:rPr>
          <w:rFonts w:ascii="Times New Roman" w:hAnsi="Times New Roman" w:cs="Times New Roman"/>
          <w:sz w:val="24"/>
          <w:szCs w:val="24"/>
        </w:rPr>
        <w:t>De las variables políticas, s</w:t>
      </w:r>
      <w:r w:rsidR="005639CB">
        <w:rPr>
          <w:rFonts w:ascii="Times New Roman" w:hAnsi="Times New Roman" w:cs="Times New Roman"/>
          <w:sz w:val="24"/>
          <w:szCs w:val="24"/>
        </w:rPr>
        <w:t>olamente la variable de margen de victoria resulta significativa para explicar el número de proyectos</w:t>
      </w:r>
      <w:r w:rsidR="00EB5200">
        <w:rPr>
          <w:rFonts w:ascii="Times New Roman" w:hAnsi="Times New Roman" w:cs="Times New Roman"/>
          <w:sz w:val="24"/>
          <w:szCs w:val="24"/>
        </w:rPr>
        <w:t>, pero con el signo contrario a la predicción teórica</w:t>
      </w:r>
      <w:r w:rsidR="005639CB">
        <w:rPr>
          <w:rFonts w:ascii="Times New Roman" w:hAnsi="Times New Roman" w:cs="Times New Roman"/>
          <w:sz w:val="24"/>
          <w:szCs w:val="24"/>
        </w:rPr>
        <w:t xml:space="preserve">. </w:t>
      </w:r>
    </w:p>
    <w:p w14:paraId="536B08BF" w14:textId="4448231D" w:rsidR="009163D6" w:rsidRDefault="00A90B9B" w:rsidP="00462510">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Otras dos variables </w:t>
      </w:r>
      <w:r w:rsidR="00EB5200">
        <w:rPr>
          <w:rFonts w:ascii="Times New Roman" w:hAnsi="Times New Roman" w:cs="Times New Roman"/>
          <w:sz w:val="24"/>
          <w:szCs w:val="24"/>
        </w:rPr>
        <w:t>importantes para la teoría d</w:t>
      </w:r>
      <w:r w:rsidR="00462510">
        <w:rPr>
          <w:rFonts w:ascii="Times New Roman" w:hAnsi="Times New Roman" w:cs="Times New Roman"/>
          <w:sz w:val="24"/>
          <w:szCs w:val="24"/>
        </w:rPr>
        <w:t>e los votantes duros resultan</w:t>
      </w:r>
      <w:r w:rsidR="00EB5200">
        <w:rPr>
          <w:rFonts w:ascii="Times New Roman" w:hAnsi="Times New Roman" w:cs="Times New Roman"/>
          <w:sz w:val="24"/>
          <w:szCs w:val="24"/>
        </w:rPr>
        <w:t xml:space="preserve"> significativas en el modelo de número de proyectos: </w:t>
      </w:r>
      <w:r w:rsidR="00462510">
        <w:rPr>
          <w:rFonts w:ascii="Times New Roman" w:hAnsi="Times New Roman" w:cs="Times New Roman"/>
          <w:sz w:val="24"/>
          <w:szCs w:val="24"/>
        </w:rPr>
        <w:t>año previo a elección municipal y año previo a elección de gobernador</w:t>
      </w:r>
      <w:r w:rsidR="00EB5200">
        <w:rPr>
          <w:rFonts w:ascii="Times New Roman" w:hAnsi="Times New Roman" w:cs="Times New Roman"/>
          <w:sz w:val="24"/>
          <w:szCs w:val="24"/>
        </w:rPr>
        <w:t>.</w:t>
      </w:r>
      <w:r>
        <w:rPr>
          <w:rFonts w:ascii="Times New Roman" w:hAnsi="Times New Roman" w:cs="Times New Roman"/>
          <w:sz w:val="24"/>
          <w:szCs w:val="24"/>
        </w:rPr>
        <w:t xml:space="preserve"> L</w:t>
      </w:r>
      <w:r w:rsidR="00EB5200">
        <w:rPr>
          <w:rFonts w:ascii="Times New Roman" w:hAnsi="Times New Roman" w:cs="Times New Roman"/>
          <w:sz w:val="24"/>
          <w:szCs w:val="24"/>
        </w:rPr>
        <w:t>a variable de año previo a elección municipal sale negativa en el modelo en que se excluye de la muestra a los municipios de usos y costumbres</w:t>
      </w:r>
      <w:r w:rsidR="00462510">
        <w:rPr>
          <w:rFonts w:ascii="Times New Roman" w:hAnsi="Times New Roman" w:cs="Times New Roman"/>
          <w:sz w:val="24"/>
          <w:szCs w:val="24"/>
        </w:rPr>
        <w:t xml:space="preserve">. </w:t>
      </w:r>
      <w:r w:rsidR="00F414C7">
        <w:rPr>
          <w:rFonts w:ascii="Times New Roman" w:hAnsi="Times New Roman" w:cs="Times New Roman"/>
          <w:sz w:val="24"/>
          <w:szCs w:val="24"/>
        </w:rPr>
        <w:t>Esto es compatible con la teoría</w:t>
      </w:r>
      <w:r w:rsidR="00336523">
        <w:rPr>
          <w:rFonts w:ascii="Times New Roman" w:hAnsi="Times New Roman" w:cs="Times New Roman"/>
          <w:sz w:val="24"/>
          <w:szCs w:val="24"/>
        </w:rPr>
        <w:t>,</w:t>
      </w:r>
      <w:r w:rsidR="00F414C7">
        <w:rPr>
          <w:rFonts w:ascii="Times New Roman" w:hAnsi="Times New Roman" w:cs="Times New Roman"/>
          <w:sz w:val="24"/>
          <w:szCs w:val="24"/>
        </w:rPr>
        <w:t xml:space="preserve"> debido a que los recursos y proyectos se utilizan para premiar a los votantes leales luego de una elección municipal, sin embargo, al ser escasos, no quedan recursos para financiar las campañas municipales durante los años previos a las elecciones locales. Por su parte, la variable de año previo a elección de gobernador aparece con signo contrario al de la predicción, lo cual significa </w:t>
      </w:r>
      <w:r w:rsidR="006A08C3">
        <w:rPr>
          <w:rFonts w:ascii="Times New Roman" w:hAnsi="Times New Roman" w:cs="Times New Roman"/>
          <w:sz w:val="24"/>
          <w:szCs w:val="24"/>
        </w:rPr>
        <w:t xml:space="preserve">que los gobernadores siempre privilegiarán asegurar una buena imagen y la sucesión. Esto es compatible con la idea de Díaz </w:t>
      </w:r>
      <w:proofErr w:type="spellStart"/>
      <w:r w:rsidR="006A08C3">
        <w:rPr>
          <w:rFonts w:ascii="Times New Roman" w:hAnsi="Times New Roman" w:cs="Times New Roman"/>
          <w:sz w:val="24"/>
          <w:szCs w:val="24"/>
        </w:rPr>
        <w:t>Cayeros</w:t>
      </w:r>
      <w:proofErr w:type="spellEnd"/>
      <w:r w:rsidR="006A08C3">
        <w:rPr>
          <w:rFonts w:ascii="Times New Roman" w:hAnsi="Times New Roman" w:cs="Times New Roman"/>
          <w:sz w:val="24"/>
          <w:szCs w:val="24"/>
        </w:rPr>
        <w:t xml:space="preserve">, </w:t>
      </w:r>
      <w:proofErr w:type="spellStart"/>
      <w:r w:rsidR="006A08C3">
        <w:rPr>
          <w:rFonts w:ascii="Times New Roman" w:hAnsi="Times New Roman" w:cs="Times New Roman"/>
          <w:sz w:val="24"/>
          <w:szCs w:val="24"/>
        </w:rPr>
        <w:t>Estevez</w:t>
      </w:r>
      <w:proofErr w:type="spellEnd"/>
      <w:r w:rsidR="006A08C3">
        <w:rPr>
          <w:rFonts w:ascii="Times New Roman" w:hAnsi="Times New Roman" w:cs="Times New Roman"/>
          <w:sz w:val="24"/>
          <w:szCs w:val="24"/>
        </w:rPr>
        <w:t xml:space="preserve"> y </w:t>
      </w:r>
      <w:proofErr w:type="spellStart"/>
      <w:r w:rsidR="006A08C3">
        <w:rPr>
          <w:rFonts w:ascii="Times New Roman" w:hAnsi="Times New Roman" w:cs="Times New Roman"/>
          <w:sz w:val="24"/>
          <w:szCs w:val="24"/>
        </w:rPr>
        <w:t>Magaloni</w:t>
      </w:r>
      <w:proofErr w:type="spellEnd"/>
      <w:r w:rsidR="006A08C3">
        <w:rPr>
          <w:rFonts w:ascii="Times New Roman" w:hAnsi="Times New Roman" w:cs="Times New Roman"/>
          <w:sz w:val="24"/>
          <w:szCs w:val="24"/>
        </w:rPr>
        <w:t xml:space="preserve"> en que existe una lógica conjunta de corto y largo plazos para entender las asignaciones de proyectos.</w:t>
      </w:r>
      <w:r w:rsidR="00F414C7">
        <w:rPr>
          <w:rFonts w:ascii="Times New Roman" w:hAnsi="Times New Roman" w:cs="Times New Roman"/>
          <w:sz w:val="24"/>
          <w:szCs w:val="24"/>
        </w:rPr>
        <w:t xml:space="preserve"> </w:t>
      </w:r>
      <w:r w:rsidR="006A08C3">
        <w:rPr>
          <w:rFonts w:ascii="Times New Roman" w:hAnsi="Times New Roman" w:cs="Times New Roman"/>
          <w:sz w:val="24"/>
          <w:szCs w:val="24"/>
        </w:rPr>
        <w:t>Por último</w:t>
      </w:r>
      <w:r w:rsidR="009163D6">
        <w:rPr>
          <w:rFonts w:ascii="Times New Roman" w:hAnsi="Times New Roman" w:cs="Times New Roman"/>
          <w:sz w:val="24"/>
          <w:szCs w:val="24"/>
        </w:rPr>
        <w:t xml:space="preserve">, únicamente una de las variables de ambos modelos </w:t>
      </w:r>
      <w:r w:rsidR="006A08C3">
        <w:rPr>
          <w:rFonts w:ascii="Times New Roman" w:hAnsi="Times New Roman" w:cs="Times New Roman"/>
          <w:sz w:val="24"/>
          <w:szCs w:val="24"/>
        </w:rPr>
        <w:t xml:space="preserve">(número de proyectos y monto per </w:t>
      </w:r>
      <w:r w:rsidR="006A08C3">
        <w:rPr>
          <w:rFonts w:ascii="Times New Roman" w:hAnsi="Times New Roman" w:cs="Times New Roman"/>
          <w:sz w:val="24"/>
          <w:szCs w:val="24"/>
        </w:rPr>
        <w:lastRenderedPageBreak/>
        <w:t xml:space="preserve">cápita) </w:t>
      </w:r>
      <w:r w:rsidR="009163D6">
        <w:rPr>
          <w:rFonts w:ascii="Times New Roman" w:hAnsi="Times New Roman" w:cs="Times New Roman"/>
          <w:sz w:val="24"/>
          <w:szCs w:val="24"/>
        </w:rPr>
        <w:t xml:space="preserve">sigue alguna de las predicciones derivadas de la teoría de los votantes duros: el </w:t>
      </w:r>
      <w:r w:rsidR="001E15F0">
        <w:rPr>
          <w:rFonts w:ascii="Times New Roman" w:hAnsi="Times New Roman" w:cs="Times New Roman"/>
          <w:sz w:val="24"/>
          <w:szCs w:val="24"/>
        </w:rPr>
        <w:t>año</w:t>
      </w:r>
      <w:r w:rsidR="009163D6">
        <w:rPr>
          <w:rFonts w:ascii="Times New Roman" w:hAnsi="Times New Roman" w:cs="Times New Roman"/>
          <w:sz w:val="24"/>
          <w:szCs w:val="24"/>
        </w:rPr>
        <w:t xml:space="preserve">. Sin embargo, </w:t>
      </w:r>
      <w:r w:rsidR="001E15F0">
        <w:rPr>
          <w:rFonts w:ascii="Times New Roman" w:hAnsi="Times New Roman" w:cs="Times New Roman"/>
          <w:sz w:val="24"/>
          <w:szCs w:val="24"/>
        </w:rPr>
        <w:t>lo único que esto significa es que al aumentarse los recursos asignados a estas entidades federativas con el paso de los cinco años de estudio, los estados también aumentaron los proyectos financiados, así como el monto destinado a cada uno de ellos.</w:t>
      </w:r>
      <w:r w:rsidR="00BB2C55">
        <w:rPr>
          <w:rFonts w:ascii="Times New Roman" w:hAnsi="Times New Roman" w:cs="Times New Roman"/>
          <w:sz w:val="24"/>
          <w:szCs w:val="24"/>
        </w:rPr>
        <w:t xml:space="preserve"> </w:t>
      </w:r>
      <w:r w:rsidR="002775A5">
        <w:rPr>
          <w:rFonts w:ascii="Times New Roman" w:hAnsi="Times New Roman" w:cs="Times New Roman"/>
          <w:sz w:val="24"/>
          <w:szCs w:val="24"/>
        </w:rPr>
        <w:t xml:space="preserve"> Luego entonces, en realidad la teoría de los votantes duros no tiene gran poder predictivo, por lo que hay que explorar otras posibilidades.</w:t>
      </w:r>
    </w:p>
    <w:p w14:paraId="4C3B75C1" w14:textId="77777777" w:rsidR="003E070D" w:rsidRDefault="009163D6" w:rsidP="009163D6">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Ahora bien, en relación con la teoría de los votantes indecisos encontramos que hay más variables significativas en </w:t>
      </w:r>
      <w:r w:rsidR="001E15F0">
        <w:rPr>
          <w:rFonts w:ascii="Times New Roman" w:hAnsi="Times New Roman" w:cs="Times New Roman"/>
          <w:sz w:val="24"/>
          <w:szCs w:val="24"/>
        </w:rPr>
        <w:t>el segundo modelo</w:t>
      </w:r>
      <w:r w:rsidR="003807C5">
        <w:rPr>
          <w:rFonts w:ascii="Times New Roman" w:hAnsi="Times New Roman" w:cs="Times New Roman"/>
          <w:sz w:val="24"/>
          <w:szCs w:val="24"/>
        </w:rPr>
        <w:t xml:space="preserve">. </w:t>
      </w:r>
      <w:r w:rsidR="00D806A1">
        <w:rPr>
          <w:rFonts w:ascii="Times New Roman" w:hAnsi="Times New Roman" w:cs="Times New Roman"/>
          <w:sz w:val="24"/>
          <w:szCs w:val="24"/>
        </w:rPr>
        <w:t>Para empezar, la variable de margen de victoria resulta significativa y con signo negativo, lo que quiere decir que se asigna un mayor número de proyectos en aquellos municipios en que las elecciones resultaron más cerradas.</w:t>
      </w:r>
      <w:r w:rsidR="00CD40B7">
        <w:rPr>
          <w:rFonts w:ascii="Times New Roman" w:hAnsi="Times New Roman" w:cs="Times New Roman"/>
          <w:sz w:val="24"/>
          <w:szCs w:val="24"/>
        </w:rPr>
        <w:t xml:space="preserve"> Esto es uno de los principales predictores de la teoría;</w:t>
      </w:r>
      <w:r>
        <w:rPr>
          <w:rFonts w:ascii="Times New Roman" w:hAnsi="Times New Roman" w:cs="Times New Roman"/>
          <w:sz w:val="24"/>
          <w:szCs w:val="24"/>
        </w:rPr>
        <w:t xml:space="preserve"> sin embargo, </w:t>
      </w:r>
      <w:r w:rsidR="00CD40B7">
        <w:rPr>
          <w:rFonts w:ascii="Times New Roman" w:hAnsi="Times New Roman" w:cs="Times New Roman"/>
          <w:sz w:val="24"/>
          <w:szCs w:val="24"/>
        </w:rPr>
        <w:t>tal resultado debería complementarse con la asignación favorable a los municipios en que gana la oposición, cosa que no sucede. A pesar de ello, hay que recordar que en este modelo</w:t>
      </w:r>
      <w:r w:rsidR="003E070D">
        <w:rPr>
          <w:rFonts w:ascii="Times New Roman" w:hAnsi="Times New Roman" w:cs="Times New Roman"/>
          <w:sz w:val="24"/>
          <w:szCs w:val="24"/>
        </w:rPr>
        <w:t xml:space="preserve"> no se está midiendo la yuxtaposición de partidos, por lo que no podemos descartar dicha hipótesis. </w:t>
      </w:r>
      <w:r w:rsidR="00F158F0">
        <w:rPr>
          <w:rFonts w:ascii="Times New Roman" w:hAnsi="Times New Roman" w:cs="Times New Roman"/>
          <w:sz w:val="24"/>
          <w:szCs w:val="24"/>
        </w:rPr>
        <w:t xml:space="preserve">Sin embargo, sí podemos observar las demás predicciones de la teoría para corroborar qué tanto se cumple la teoría de los votantes indecisos. Por ejemplo, la variable de año sí sigue la predicción, pero como ya se comentó anteriormente, dicha variable aplica </w:t>
      </w:r>
      <w:r w:rsidR="00B02675">
        <w:rPr>
          <w:rFonts w:ascii="Times New Roman" w:hAnsi="Times New Roman" w:cs="Times New Roman"/>
          <w:sz w:val="24"/>
          <w:szCs w:val="24"/>
        </w:rPr>
        <w:t xml:space="preserve">de forma homogénea </w:t>
      </w:r>
      <w:r w:rsidR="00F158F0">
        <w:rPr>
          <w:rFonts w:ascii="Times New Roman" w:hAnsi="Times New Roman" w:cs="Times New Roman"/>
          <w:sz w:val="24"/>
          <w:szCs w:val="24"/>
        </w:rPr>
        <w:t xml:space="preserve">para </w:t>
      </w:r>
      <w:r w:rsidR="00B02675">
        <w:rPr>
          <w:rFonts w:ascii="Times New Roman" w:hAnsi="Times New Roman" w:cs="Times New Roman"/>
          <w:sz w:val="24"/>
          <w:szCs w:val="24"/>
        </w:rPr>
        <w:t xml:space="preserve">todas las teorías de distribución de recursos, sin necesidad de que intervengan factores políticos. </w:t>
      </w:r>
    </w:p>
    <w:p w14:paraId="20215C4F" w14:textId="312BB522" w:rsidR="009163D6" w:rsidRDefault="003E2E49" w:rsidP="009163D6">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Bajo la teoría de los votantes indecisos, la lógica detrás de que aumente el número de proyectos destinado a los municipios beneficiados se refiere a que los gobernadores buscarán beneficiar a sus opositores o a los indecisos únicamente cuando se acerquen las elecciones para tratar de ganar su voto.</w:t>
      </w:r>
      <w:r w:rsidR="00E1082D">
        <w:rPr>
          <w:rFonts w:ascii="Times New Roman" w:hAnsi="Times New Roman" w:cs="Times New Roman"/>
          <w:sz w:val="24"/>
          <w:szCs w:val="24"/>
        </w:rPr>
        <w:t xml:space="preserve"> Por lo tanto</w:t>
      </w:r>
      <w:r w:rsidR="00DA00D2">
        <w:rPr>
          <w:rFonts w:ascii="Times New Roman" w:hAnsi="Times New Roman" w:cs="Times New Roman"/>
          <w:sz w:val="24"/>
          <w:szCs w:val="24"/>
        </w:rPr>
        <w:t>, c</w:t>
      </w:r>
      <w:r w:rsidR="00E1082D">
        <w:rPr>
          <w:rFonts w:ascii="Times New Roman" w:hAnsi="Times New Roman" w:cs="Times New Roman"/>
          <w:sz w:val="24"/>
          <w:szCs w:val="24"/>
        </w:rPr>
        <w:t xml:space="preserve"> deberíamos </w:t>
      </w:r>
      <w:r w:rsidR="00A17687">
        <w:rPr>
          <w:rFonts w:ascii="Times New Roman" w:hAnsi="Times New Roman" w:cs="Times New Roman"/>
          <w:sz w:val="24"/>
          <w:szCs w:val="24"/>
        </w:rPr>
        <w:t xml:space="preserve">observar efectos </w:t>
      </w:r>
      <w:r w:rsidR="00A17687">
        <w:rPr>
          <w:rFonts w:ascii="Times New Roman" w:hAnsi="Times New Roman" w:cs="Times New Roman"/>
          <w:sz w:val="24"/>
          <w:szCs w:val="24"/>
        </w:rPr>
        <w:lastRenderedPageBreak/>
        <w:t xml:space="preserve">positivos en las variables de año previo. </w:t>
      </w:r>
      <w:r w:rsidR="00A06C6B">
        <w:rPr>
          <w:rFonts w:ascii="Times New Roman" w:hAnsi="Times New Roman" w:cs="Times New Roman"/>
          <w:sz w:val="24"/>
          <w:szCs w:val="24"/>
        </w:rPr>
        <w:t xml:space="preserve">Esto se cumple en este modelo </w:t>
      </w:r>
      <w:r w:rsidR="00A17687">
        <w:rPr>
          <w:rFonts w:ascii="Times New Roman" w:hAnsi="Times New Roman" w:cs="Times New Roman"/>
          <w:sz w:val="24"/>
          <w:szCs w:val="24"/>
        </w:rPr>
        <w:t>para el caso de año previo a elección de gobernador, p</w:t>
      </w:r>
      <w:r w:rsidR="00A06C6B">
        <w:rPr>
          <w:rFonts w:ascii="Times New Roman" w:hAnsi="Times New Roman" w:cs="Times New Roman"/>
          <w:sz w:val="24"/>
          <w:szCs w:val="24"/>
        </w:rPr>
        <w:t>or lo que sí encontramos elementos importantes de la teoría de los votantes indecisos. Más adelante veremos que p</w:t>
      </w:r>
      <w:r w:rsidR="00A17687">
        <w:rPr>
          <w:rFonts w:ascii="Times New Roman" w:hAnsi="Times New Roman" w:cs="Times New Roman"/>
          <w:sz w:val="24"/>
          <w:szCs w:val="24"/>
        </w:rPr>
        <w:t>ara el caso municipal</w:t>
      </w:r>
      <w:r w:rsidR="00A06C6B">
        <w:rPr>
          <w:rFonts w:ascii="Times New Roman" w:hAnsi="Times New Roman" w:cs="Times New Roman"/>
          <w:sz w:val="24"/>
          <w:szCs w:val="24"/>
        </w:rPr>
        <w:t xml:space="preserve"> no ocurre así, pero esto únicamente sucede al extraer de la muestra los municipios de usos y costumbres.</w:t>
      </w:r>
      <w:r>
        <w:rPr>
          <w:rFonts w:ascii="Times New Roman" w:hAnsi="Times New Roman" w:cs="Times New Roman"/>
          <w:sz w:val="24"/>
          <w:szCs w:val="24"/>
        </w:rPr>
        <w:t xml:space="preserve"> </w:t>
      </w:r>
      <w:r w:rsidR="002C2F01">
        <w:rPr>
          <w:rFonts w:ascii="Times New Roman" w:hAnsi="Times New Roman" w:cs="Times New Roman"/>
          <w:sz w:val="24"/>
          <w:szCs w:val="24"/>
        </w:rPr>
        <w:t xml:space="preserve">Si tomamos en conjunto los resultados, lo que podemos notar es que los gobernadores sí </w:t>
      </w:r>
      <w:r w:rsidR="00A06C6B">
        <w:rPr>
          <w:rFonts w:ascii="Times New Roman" w:hAnsi="Times New Roman" w:cs="Times New Roman"/>
          <w:sz w:val="24"/>
          <w:szCs w:val="24"/>
        </w:rPr>
        <w:t>se enfocan</w:t>
      </w:r>
      <w:r w:rsidR="002C2F01">
        <w:rPr>
          <w:rFonts w:ascii="Times New Roman" w:hAnsi="Times New Roman" w:cs="Times New Roman"/>
          <w:sz w:val="24"/>
          <w:szCs w:val="24"/>
        </w:rPr>
        <w:t xml:space="preserve"> en los municipios con elecciones cerradas para atraer votos, sin importar el partido que haya ganado o que se acerque una elección municipal</w:t>
      </w:r>
      <w:r w:rsidR="00DD5451">
        <w:rPr>
          <w:rFonts w:ascii="Times New Roman" w:hAnsi="Times New Roman" w:cs="Times New Roman"/>
          <w:sz w:val="24"/>
          <w:szCs w:val="24"/>
        </w:rPr>
        <w:t xml:space="preserve"> y especialmente</w:t>
      </w:r>
      <w:r w:rsidR="002C2F01">
        <w:rPr>
          <w:rFonts w:ascii="Times New Roman" w:hAnsi="Times New Roman" w:cs="Times New Roman"/>
          <w:sz w:val="24"/>
          <w:szCs w:val="24"/>
        </w:rPr>
        <w:t xml:space="preserve"> cuando se ac</w:t>
      </w:r>
      <w:r w:rsidR="00B75577">
        <w:rPr>
          <w:rFonts w:ascii="Times New Roman" w:hAnsi="Times New Roman" w:cs="Times New Roman"/>
          <w:sz w:val="24"/>
          <w:szCs w:val="24"/>
        </w:rPr>
        <w:t>erca una elección de gobernador</w:t>
      </w:r>
      <w:r w:rsidR="00DD5451">
        <w:rPr>
          <w:rFonts w:ascii="Times New Roman" w:hAnsi="Times New Roman" w:cs="Times New Roman"/>
          <w:sz w:val="24"/>
          <w:szCs w:val="24"/>
        </w:rPr>
        <w:t>.</w:t>
      </w:r>
    </w:p>
    <w:p w14:paraId="3ADF0B75" w14:textId="5F28B2D8" w:rsidR="00376AB1" w:rsidRDefault="00DD6266" w:rsidP="00376AB1">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Ahora, s</w:t>
      </w:r>
      <w:r w:rsidR="00F50189">
        <w:rPr>
          <w:rFonts w:ascii="Times New Roman" w:hAnsi="Times New Roman" w:cs="Times New Roman"/>
          <w:sz w:val="24"/>
          <w:szCs w:val="24"/>
        </w:rPr>
        <w:t>i</w:t>
      </w:r>
      <w:r w:rsidR="009163D6">
        <w:rPr>
          <w:rFonts w:ascii="Times New Roman" w:hAnsi="Times New Roman" w:cs="Times New Roman"/>
          <w:sz w:val="24"/>
          <w:szCs w:val="24"/>
        </w:rPr>
        <w:t xml:space="preserve"> observamos los resultados del modelo de monto per cápita y se contrastan con las predicciones de la teoría de poder de negociación, de nueva cuenta encontramos que solamente el año electoral resulta una variable significativa. </w:t>
      </w:r>
      <w:r w:rsidR="00F50189">
        <w:rPr>
          <w:rFonts w:ascii="Times New Roman" w:hAnsi="Times New Roman" w:cs="Times New Roman"/>
          <w:sz w:val="24"/>
          <w:szCs w:val="24"/>
        </w:rPr>
        <w:t xml:space="preserve">Para </w:t>
      </w:r>
      <w:r w:rsidR="009163D6">
        <w:rPr>
          <w:rFonts w:ascii="Times New Roman" w:hAnsi="Times New Roman" w:cs="Times New Roman"/>
          <w:sz w:val="24"/>
          <w:szCs w:val="24"/>
        </w:rPr>
        <w:t>el caso del modelo que tiene como variable dependiente el número de proyectos</w:t>
      </w:r>
      <w:r w:rsidR="00DD5451">
        <w:rPr>
          <w:rFonts w:ascii="Times New Roman" w:hAnsi="Times New Roman" w:cs="Times New Roman"/>
          <w:sz w:val="24"/>
          <w:szCs w:val="24"/>
        </w:rPr>
        <w:t>,</w:t>
      </w:r>
      <w:r w:rsidR="00704EC2">
        <w:rPr>
          <w:rFonts w:ascii="Times New Roman" w:hAnsi="Times New Roman" w:cs="Times New Roman"/>
          <w:sz w:val="24"/>
          <w:szCs w:val="24"/>
        </w:rPr>
        <w:t xml:space="preserve"> el panorama</w:t>
      </w:r>
      <w:r>
        <w:rPr>
          <w:rFonts w:ascii="Times New Roman" w:hAnsi="Times New Roman" w:cs="Times New Roman"/>
          <w:sz w:val="24"/>
          <w:szCs w:val="24"/>
        </w:rPr>
        <w:t xml:space="preserve"> </w:t>
      </w:r>
      <w:r w:rsidR="00F50189">
        <w:rPr>
          <w:rFonts w:ascii="Times New Roman" w:hAnsi="Times New Roman" w:cs="Times New Roman"/>
          <w:sz w:val="24"/>
          <w:szCs w:val="24"/>
        </w:rPr>
        <w:t xml:space="preserve">mejora </w:t>
      </w:r>
      <w:r w:rsidR="00376AB1">
        <w:rPr>
          <w:rFonts w:ascii="Times New Roman" w:hAnsi="Times New Roman" w:cs="Times New Roman"/>
          <w:sz w:val="24"/>
          <w:szCs w:val="24"/>
        </w:rPr>
        <w:t>ligeramente, pues encontramos tres</w:t>
      </w:r>
      <w:r w:rsidR="00F50189">
        <w:rPr>
          <w:rFonts w:ascii="Times New Roman" w:hAnsi="Times New Roman" w:cs="Times New Roman"/>
          <w:sz w:val="24"/>
          <w:szCs w:val="24"/>
        </w:rPr>
        <w:t xml:space="preserve"> </w:t>
      </w:r>
      <w:r w:rsidR="009163D6">
        <w:rPr>
          <w:rFonts w:ascii="Times New Roman" w:hAnsi="Times New Roman" w:cs="Times New Roman"/>
          <w:sz w:val="24"/>
          <w:szCs w:val="24"/>
        </w:rPr>
        <w:t>variables significativas.</w:t>
      </w:r>
      <w:r w:rsidR="00F0397C">
        <w:rPr>
          <w:rFonts w:ascii="Times New Roman" w:hAnsi="Times New Roman" w:cs="Times New Roman"/>
          <w:sz w:val="24"/>
          <w:szCs w:val="24"/>
        </w:rPr>
        <w:t xml:space="preserve"> </w:t>
      </w:r>
      <w:r>
        <w:rPr>
          <w:rFonts w:ascii="Times New Roman" w:hAnsi="Times New Roman" w:cs="Times New Roman"/>
          <w:sz w:val="24"/>
          <w:szCs w:val="24"/>
        </w:rPr>
        <w:t xml:space="preserve">Una de esas variables es la de año, por lo que no apoya de forma importante la teoría. Sin embargo, la segunda variable sí resulta muy relevante, pues se trata del IDH. Así, a pesar de que es un Fondo que supuestamente debería combatir la desigualdad y proveer desarrollo para las zonas más marginadas, observamos que las asignaciones se concentran en los municipios con mayor desarrollo. </w:t>
      </w:r>
      <w:r w:rsidR="00D82D16">
        <w:rPr>
          <w:rFonts w:ascii="Times New Roman" w:hAnsi="Times New Roman" w:cs="Times New Roman"/>
          <w:sz w:val="24"/>
          <w:szCs w:val="24"/>
        </w:rPr>
        <w:t>Esto es compatible con la teoría de poder de negociación, pues en ella se asignan mayores proyectos y recursos a los municipios más desarrollados, pues tienen una sociedad civil más organizada, así como recursos para presionar para obtener mayores beneficios.</w:t>
      </w:r>
      <w:r w:rsidR="00376AB1">
        <w:rPr>
          <w:rFonts w:ascii="Times New Roman" w:hAnsi="Times New Roman" w:cs="Times New Roman"/>
          <w:sz w:val="24"/>
          <w:szCs w:val="24"/>
        </w:rPr>
        <w:t xml:space="preserve"> La tercera variable es la de cambio en ID</w:t>
      </w:r>
      <w:r w:rsidR="002775A5">
        <w:rPr>
          <w:rFonts w:ascii="Times New Roman" w:hAnsi="Times New Roman" w:cs="Times New Roman"/>
          <w:sz w:val="24"/>
          <w:szCs w:val="24"/>
        </w:rPr>
        <w:t>H</w:t>
      </w:r>
      <w:r w:rsidR="00376AB1">
        <w:rPr>
          <w:rFonts w:ascii="Times New Roman" w:hAnsi="Times New Roman" w:cs="Times New Roman"/>
          <w:sz w:val="24"/>
          <w:szCs w:val="24"/>
        </w:rPr>
        <w:t xml:space="preserve">. Dicha variable presenta signo negativo, por lo que se destinan más proyectos a los municipios con IDH más estable y que ya tienen un poder </w:t>
      </w:r>
      <w:r w:rsidR="00376AB1">
        <w:rPr>
          <w:rFonts w:ascii="Times New Roman" w:hAnsi="Times New Roman" w:cs="Times New Roman"/>
          <w:sz w:val="24"/>
          <w:szCs w:val="24"/>
        </w:rPr>
        <w:lastRenderedPageBreak/>
        <w:t>de negociación consolidado, no así a los municipios que tienen un cambio abrupto</w:t>
      </w:r>
      <w:r w:rsidR="00A07375">
        <w:rPr>
          <w:rFonts w:ascii="Times New Roman" w:hAnsi="Times New Roman" w:cs="Times New Roman"/>
          <w:sz w:val="24"/>
          <w:szCs w:val="24"/>
        </w:rPr>
        <w:t>, aunque dicho cambio sea positivo.</w:t>
      </w:r>
    </w:p>
    <w:p w14:paraId="19C7494B" w14:textId="105735FE" w:rsidR="000964FF" w:rsidRDefault="000964FF" w:rsidP="009163D6">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En resumen, c</w:t>
      </w:r>
      <w:r w:rsidR="00D22BF7">
        <w:rPr>
          <w:rFonts w:ascii="Times New Roman" w:hAnsi="Times New Roman" w:cs="Times New Roman"/>
          <w:sz w:val="24"/>
          <w:szCs w:val="24"/>
        </w:rPr>
        <w:t xml:space="preserve">omo se observa en las tablas 5 y 6, </w:t>
      </w:r>
      <w:r w:rsidR="00D22BF7" w:rsidRPr="00B60F59">
        <w:rPr>
          <w:rFonts w:ascii="Times New Roman" w:hAnsi="Times New Roman" w:cs="Times New Roman"/>
          <w:sz w:val="24"/>
          <w:szCs w:val="24"/>
        </w:rPr>
        <w:t>el monto per cápita sólo se explica por el año, por lo que en realidad no encaja en ninguna de las teorías sometidas a prueba empírica</w:t>
      </w:r>
      <w:r w:rsidR="00D22BF7">
        <w:rPr>
          <w:rFonts w:ascii="Times New Roman" w:hAnsi="Times New Roman" w:cs="Times New Roman"/>
          <w:sz w:val="24"/>
          <w:szCs w:val="24"/>
        </w:rPr>
        <w:t xml:space="preserve">. Incluso su coeficiente de correlación </w:t>
      </w:r>
      <w:proofErr w:type="spellStart"/>
      <w:r w:rsidR="00D22BF7">
        <w:rPr>
          <w:rFonts w:ascii="Times New Roman" w:hAnsi="Times New Roman" w:cs="Times New Roman"/>
          <w:sz w:val="24"/>
          <w:szCs w:val="24"/>
        </w:rPr>
        <w:t>intraclase</w:t>
      </w:r>
      <w:proofErr w:type="spellEnd"/>
      <w:r w:rsidR="00D22BF7">
        <w:rPr>
          <w:rFonts w:ascii="Times New Roman" w:hAnsi="Times New Roman" w:cs="Times New Roman"/>
          <w:sz w:val="24"/>
          <w:szCs w:val="24"/>
        </w:rPr>
        <w:t xml:space="preserve"> es de 3%, lo cual quiere decir que incluir otro nivel de agregación, es decir la diferenciación entre municipios, nos explica 3% de la varianza t</w:t>
      </w:r>
      <w:r w:rsidR="00DD5451">
        <w:rPr>
          <w:rFonts w:ascii="Times New Roman" w:hAnsi="Times New Roman" w:cs="Times New Roman"/>
          <w:sz w:val="24"/>
          <w:szCs w:val="24"/>
        </w:rPr>
        <w:t xml:space="preserve">otal. Resulta intuitivo que </w:t>
      </w:r>
      <w:r w:rsidR="00D22BF7">
        <w:rPr>
          <w:rFonts w:ascii="Times New Roman" w:hAnsi="Times New Roman" w:cs="Times New Roman"/>
          <w:sz w:val="24"/>
          <w:szCs w:val="24"/>
        </w:rPr>
        <w:t xml:space="preserve">el año </w:t>
      </w:r>
      <w:r w:rsidR="00DD5451">
        <w:rPr>
          <w:rFonts w:ascii="Times New Roman" w:hAnsi="Times New Roman" w:cs="Times New Roman"/>
          <w:sz w:val="24"/>
          <w:szCs w:val="24"/>
        </w:rPr>
        <w:t xml:space="preserve">sea </w:t>
      </w:r>
      <w:r w:rsidR="00D22BF7">
        <w:rPr>
          <w:rFonts w:ascii="Times New Roman" w:hAnsi="Times New Roman" w:cs="Times New Roman"/>
          <w:sz w:val="24"/>
          <w:szCs w:val="24"/>
        </w:rPr>
        <w:t xml:space="preserve">una variable significativa, dado que, </w:t>
      </w:r>
      <w:r w:rsidR="00945CEC">
        <w:rPr>
          <w:rFonts w:ascii="Times New Roman" w:hAnsi="Times New Roman" w:cs="Times New Roman"/>
          <w:sz w:val="24"/>
          <w:szCs w:val="24"/>
        </w:rPr>
        <w:t>con el paso del tiempo</w:t>
      </w:r>
      <w:r w:rsidR="00D22BF7">
        <w:rPr>
          <w:rFonts w:ascii="Times New Roman" w:hAnsi="Times New Roman" w:cs="Times New Roman"/>
          <w:sz w:val="24"/>
          <w:szCs w:val="24"/>
        </w:rPr>
        <w:t>, se han incrementado los recursos que recibe cada uno de los estados estudiados. Sin embargo, lo que sí llama la atención es que los montos que se asignan a cada munic</w:t>
      </w:r>
      <w:r w:rsidR="00DD5451">
        <w:rPr>
          <w:rFonts w:ascii="Times New Roman" w:hAnsi="Times New Roman" w:cs="Times New Roman"/>
          <w:sz w:val="24"/>
          <w:szCs w:val="24"/>
        </w:rPr>
        <w:t xml:space="preserve">ipio por concepto del </w:t>
      </w:r>
      <w:proofErr w:type="spellStart"/>
      <w:r w:rsidR="00DD5451">
        <w:rPr>
          <w:rFonts w:ascii="Times New Roman" w:hAnsi="Times New Roman" w:cs="Times New Roman"/>
          <w:sz w:val="24"/>
          <w:szCs w:val="24"/>
        </w:rPr>
        <w:t>Fonregión</w:t>
      </w:r>
      <w:proofErr w:type="spellEnd"/>
      <w:r w:rsidR="00D22BF7">
        <w:rPr>
          <w:rFonts w:ascii="Times New Roman" w:hAnsi="Times New Roman" w:cs="Times New Roman"/>
          <w:sz w:val="24"/>
          <w:szCs w:val="24"/>
        </w:rPr>
        <w:t xml:space="preserve"> no siguen una lógica política de distribución de recursos o, al menos, no alguna de las que se han puesto a prueba en </w:t>
      </w:r>
      <w:r w:rsidR="00146E96">
        <w:rPr>
          <w:rFonts w:ascii="Times New Roman" w:hAnsi="Times New Roman" w:cs="Times New Roman"/>
          <w:sz w:val="24"/>
          <w:szCs w:val="24"/>
        </w:rPr>
        <w:t>esta tesina</w:t>
      </w:r>
      <w:r w:rsidR="00D22BF7">
        <w:rPr>
          <w:rFonts w:ascii="Times New Roman" w:hAnsi="Times New Roman" w:cs="Times New Roman"/>
          <w:sz w:val="24"/>
          <w:szCs w:val="24"/>
        </w:rPr>
        <w:t xml:space="preserve">. </w:t>
      </w:r>
    </w:p>
    <w:p w14:paraId="0D538828" w14:textId="7F73DC69" w:rsidR="00376AB1" w:rsidRDefault="00D22BF7" w:rsidP="00D22BF7">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No obstante lo anterior, de acuerdo con la tabla 7, el modelo que explica número de proyec</w:t>
      </w:r>
      <w:r w:rsidR="00DD5451">
        <w:rPr>
          <w:rFonts w:ascii="Times New Roman" w:hAnsi="Times New Roman" w:cs="Times New Roman"/>
          <w:sz w:val="24"/>
          <w:szCs w:val="24"/>
        </w:rPr>
        <w:t>tos sí presenta un mayor valor predictivo</w:t>
      </w:r>
      <w:r>
        <w:rPr>
          <w:rFonts w:ascii="Times New Roman" w:hAnsi="Times New Roman" w:cs="Times New Roman"/>
          <w:sz w:val="24"/>
          <w:szCs w:val="24"/>
        </w:rPr>
        <w:t xml:space="preserve"> al tener un coeficiente</w:t>
      </w:r>
      <w:r w:rsidR="00964967">
        <w:rPr>
          <w:rFonts w:ascii="Times New Roman" w:hAnsi="Times New Roman" w:cs="Times New Roman"/>
          <w:sz w:val="24"/>
          <w:szCs w:val="24"/>
        </w:rPr>
        <w:t xml:space="preserve"> de correlación </w:t>
      </w:r>
      <w:proofErr w:type="spellStart"/>
      <w:r w:rsidR="00964967">
        <w:rPr>
          <w:rFonts w:ascii="Times New Roman" w:hAnsi="Times New Roman" w:cs="Times New Roman"/>
          <w:sz w:val="24"/>
          <w:szCs w:val="24"/>
        </w:rPr>
        <w:t>intraclase</w:t>
      </w:r>
      <w:proofErr w:type="spellEnd"/>
      <w:r w:rsidR="00964967">
        <w:rPr>
          <w:rFonts w:ascii="Times New Roman" w:hAnsi="Times New Roman" w:cs="Times New Roman"/>
          <w:sz w:val="24"/>
          <w:szCs w:val="24"/>
        </w:rPr>
        <w:t xml:space="preserve"> de 34</w:t>
      </w:r>
      <w:r w:rsidR="00DD5451">
        <w:rPr>
          <w:rFonts w:ascii="Times New Roman" w:hAnsi="Times New Roman" w:cs="Times New Roman"/>
          <w:sz w:val="24"/>
          <w:szCs w:val="24"/>
        </w:rPr>
        <w:t>% y al contar con</w:t>
      </w:r>
      <w:r>
        <w:rPr>
          <w:rFonts w:ascii="Times New Roman" w:hAnsi="Times New Roman" w:cs="Times New Roman"/>
          <w:sz w:val="24"/>
          <w:szCs w:val="24"/>
        </w:rPr>
        <w:t xml:space="preserve"> </w:t>
      </w:r>
      <w:r w:rsidR="00964967">
        <w:rPr>
          <w:rFonts w:ascii="Times New Roman" w:hAnsi="Times New Roman" w:cs="Times New Roman"/>
          <w:sz w:val="24"/>
          <w:szCs w:val="24"/>
        </w:rPr>
        <w:t>s</w:t>
      </w:r>
      <w:r w:rsidR="00A902A0">
        <w:rPr>
          <w:rFonts w:ascii="Times New Roman" w:hAnsi="Times New Roman" w:cs="Times New Roman"/>
          <w:sz w:val="24"/>
          <w:szCs w:val="24"/>
        </w:rPr>
        <w:t>eis</w:t>
      </w:r>
      <w:r w:rsidR="00DD5451">
        <w:rPr>
          <w:rFonts w:ascii="Times New Roman" w:hAnsi="Times New Roman" w:cs="Times New Roman"/>
          <w:sz w:val="24"/>
          <w:szCs w:val="24"/>
        </w:rPr>
        <w:t xml:space="preserve"> de ocho</w:t>
      </w:r>
      <w:r>
        <w:rPr>
          <w:rFonts w:ascii="Times New Roman" w:hAnsi="Times New Roman" w:cs="Times New Roman"/>
          <w:sz w:val="24"/>
          <w:szCs w:val="24"/>
        </w:rPr>
        <w:t xml:space="preserve"> variables. </w:t>
      </w:r>
      <w:r w:rsidR="00964967">
        <w:rPr>
          <w:rFonts w:ascii="Times New Roman" w:hAnsi="Times New Roman" w:cs="Times New Roman"/>
          <w:sz w:val="24"/>
          <w:szCs w:val="24"/>
        </w:rPr>
        <w:t>Además de las variables ya mencionadas en la explicación de las teorías</w:t>
      </w:r>
      <w:r w:rsidR="00A902A0">
        <w:rPr>
          <w:rFonts w:ascii="Times New Roman" w:hAnsi="Times New Roman" w:cs="Times New Roman"/>
          <w:sz w:val="24"/>
          <w:szCs w:val="24"/>
        </w:rPr>
        <w:t xml:space="preserve"> (margen de victoria, IDH, cambio en IDH, año</w:t>
      </w:r>
      <w:r w:rsidR="00964967">
        <w:rPr>
          <w:rFonts w:ascii="Times New Roman" w:hAnsi="Times New Roman" w:cs="Times New Roman"/>
          <w:sz w:val="24"/>
          <w:szCs w:val="24"/>
        </w:rPr>
        <w:t xml:space="preserve">, </w:t>
      </w:r>
      <w:r w:rsidR="00A902A0">
        <w:rPr>
          <w:rFonts w:ascii="Times New Roman" w:hAnsi="Times New Roman" w:cs="Times New Roman"/>
          <w:sz w:val="24"/>
          <w:szCs w:val="24"/>
        </w:rPr>
        <w:t>año p</w:t>
      </w:r>
      <w:r w:rsidR="00954E7A">
        <w:rPr>
          <w:rFonts w:ascii="Times New Roman" w:hAnsi="Times New Roman" w:cs="Times New Roman"/>
          <w:sz w:val="24"/>
          <w:szCs w:val="24"/>
        </w:rPr>
        <w:t>revio a elección de gobernador</w:t>
      </w:r>
      <w:r w:rsidR="00A902A0">
        <w:rPr>
          <w:rFonts w:ascii="Times New Roman" w:hAnsi="Times New Roman" w:cs="Times New Roman"/>
          <w:sz w:val="24"/>
          <w:szCs w:val="24"/>
        </w:rPr>
        <w:t xml:space="preserve">) </w:t>
      </w:r>
      <w:r w:rsidR="00964967">
        <w:rPr>
          <w:rFonts w:ascii="Times New Roman" w:hAnsi="Times New Roman" w:cs="Times New Roman"/>
          <w:sz w:val="24"/>
          <w:szCs w:val="24"/>
        </w:rPr>
        <w:t>la variable de año electoral para gobernador también result</w:t>
      </w:r>
      <w:r w:rsidR="00376AB1">
        <w:rPr>
          <w:rFonts w:ascii="Times New Roman" w:hAnsi="Times New Roman" w:cs="Times New Roman"/>
          <w:sz w:val="24"/>
          <w:szCs w:val="24"/>
        </w:rPr>
        <w:t>ó</w:t>
      </w:r>
      <w:r w:rsidR="00964967">
        <w:rPr>
          <w:rFonts w:ascii="Times New Roman" w:hAnsi="Times New Roman" w:cs="Times New Roman"/>
          <w:sz w:val="24"/>
          <w:szCs w:val="24"/>
        </w:rPr>
        <w:t xml:space="preserve"> significativa. </w:t>
      </w:r>
      <w:r w:rsidR="00954E7A">
        <w:rPr>
          <w:rFonts w:ascii="Times New Roman" w:hAnsi="Times New Roman" w:cs="Times New Roman"/>
          <w:sz w:val="24"/>
          <w:szCs w:val="24"/>
        </w:rPr>
        <w:t>Posee un signo negativo, lo cual quiere decir que el número de proyectos disminuye durante el año de la elección, probablemente para compensar el fuerte gasto llevado a cabo durante el año anterior.</w:t>
      </w:r>
    </w:p>
    <w:p w14:paraId="589B2C10" w14:textId="4A162A9A" w:rsidR="008055C2" w:rsidRDefault="00A54001" w:rsidP="00D22BF7">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Con estos resultados </w:t>
      </w:r>
      <w:r w:rsidR="00C637FF">
        <w:rPr>
          <w:rFonts w:ascii="Times New Roman" w:hAnsi="Times New Roman" w:cs="Times New Roman"/>
          <w:sz w:val="24"/>
          <w:szCs w:val="24"/>
        </w:rPr>
        <w:t xml:space="preserve">es </w:t>
      </w:r>
      <w:r>
        <w:rPr>
          <w:rFonts w:ascii="Times New Roman" w:hAnsi="Times New Roman" w:cs="Times New Roman"/>
          <w:sz w:val="24"/>
          <w:szCs w:val="24"/>
        </w:rPr>
        <w:t>posible</w:t>
      </w:r>
      <w:r w:rsidRPr="00A54001">
        <w:rPr>
          <w:rFonts w:ascii="Times New Roman" w:hAnsi="Times New Roman" w:cs="Times New Roman"/>
          <w:sz w:val="24"/>
          <w:szCs w:val="24"/>
        </w:rPr>
        <w:t xml:space="preserve"> observar que los gobernadores privilegian el número de proyectos por sobre los</w:t>
      </w:r>
      <w:r w:rsidR="00EE7EDD">
        <w:rPr>
          <w:rFonts w:ascii="Times New Roman" w:hAnsi="Times New Roman" w:cs="Times New Roman"/>
          <w:sz w:val="24"/>
          <w:szCs w:val="24"/>
        </w:rPr>
        <w:t xml:space="preserve"> montos </w:t>
      </w:r>
      <w:r w:rsidRPr="00A54001">
        <w:rPr>
          <w:rFonts w:ascii="Times New Roman" w:hAnsi="Times New Roman" w:cs="Times New Roman"/>
          <w:sz w:val="24"/>
          <w:szCs w:val="24"/>
        </w:rPr>
        <w:t>de los proyectos para poder mitig</w:t>
      </w:r>
      <w:r w:rsidR="003057E4">
        <w:rPr>
          <w:rFonts w:ascii="Times New Roman" w:hAnsi="Times New Roman" w:cs="Times New Roman"/>
          <w:sz w:val="24"/>
          <w:szCs w:val="24"/>
        </w:rPr>
        <w:t>ar las</w:t>
      </w:r>
      <w:r w:rsidRPr="00A54001">
        <w:rPr>
          <w:rFonts w:ascii="Times New Roman" w:hAnsi="Times New Roman" w:cs="Times New Roman"/>
          <w:sz w:val="24"/>
          <w:szCs w:val="24"/>
        </w:rPr>
        <w:t xml:space="preserve"> presiones</w:t>
      </w:r>
      <w:r w:rsidR="003057E4">
        <w:rPr>
          <w:rFonts w:ascii="Times New Roman" w:hAnsi="Times New Roman" w:cs="Times New Roman"/>
          <w:sz w:val="24"/>
          <w:szCs w:val="24"/>
        </w:rPr>
        <w:t xml:space="preserve"> locales a las que son sometidos</w:t>
      </w:r>
      <w:r w:rsidRPr="00A54001">
        <w:rPr>
          <w:rFonts w:ascii="Times New Roman" w:hAnsi="Times New Roman" w:cs="Times New Roman"/>
          <w:sz w:val="24"/>
          <w:szCs w:val="24"/>
        </w:rPr>
        <w:t>.</w:t>
      </w:r>
      <w:r w:rsidR="00D348A5">
        <w:rPr>
          <w:rFonts w:ascii="Times New Roman" w:hAnsi="Times New Roman" w:cs="Times New Roman"/>
          <w:sz w:val="24"/>
          <w:szCs w:val="24"/>
        </w:rPr>
        <w:t xml:space="preserve"> </w:t>
      </w:r>
      <w:r w:rsidR="008055C2">
        <w:rPr>
          <w:rFonts w:ascii="Times New Roman" w:hAnsi="Times New Roman" w:cs="Times New Roman"/>
          <w:sz w:val="24"/>
          <w:szCs w:val="24"/>
        </w:rPr>
        <w:t xml:space="preserve">Esto probablemente quiere decir que se logra mayor presencia </w:t>
      </w:r>
      <w:r w:rsidR="008055C2">
        <w:rPr>
          <w:rFonts w:ascii="Times New Roman" w:hAnsi="Times New Roman" w:cs="Times New Roman"/>
          <w:sz w:val="24"/>
          <w:szCs w:val="24"/>
        </w:rPr>
        <w:lastRenderedPageBreak/>
        <w:t>entre el electorado (o por lo menos esa sería la percepción</w:t>
      </w:r>
      <w:r w:rsidR="00C637FF">
        <w:rPr>
          <w:rFonts w:ascii="Times New Roman" w:hAnsi="Times New Roman" w:cs="Times New Roman"/>
          <w:sz w:val="24"/>
          <w:szCs w:val="24"/>
        </w:rPr>
        <w:t xml:space="preserve"> de los gobernadores</w:t>
      </w:r>
      <w:r w:rsidR="008055C2">
        <w:rPr>
          <w:rFonts w:ascii="Times New Roman" w:hAnsi="Times New Roman" w:cs="Times New Roman"/>
          <w:sz w:val="24"/>
          <w:szCs w:val="24"/>
        </w:rPr>
        <w:t>) con un mayor número de proyectos, que por la cantidad de recursos asignada</w:t>
      </w:r>
      <w:r w:rsidR="00C637FF">
        <w:rPr>
          <w:rFonts w:ascii="Times New Roman" w:hAnsi="Times New Roman" w:cs="Times New Roman"/>
          <w:sz w:val="24"/>
          <w:szCs w:val="24"/>
        </w:rPr>
        <w:t xml:space="preserve"> a cada municipio</w:t>
      </w:r>
      <w:r w:rsidR="008055C2">
        <w:rPr>
          <w:rFonts w:ascii="Times New Roman" w:hAnsi="Times New Roman" w:cs="Times New Roman"/>
          <w:sz w:val="24"/>
          <w:szCs w:val="24"/>
        </w:rPr>
        <w:t>.</w:t>
      </w:r>
      <w:r w:rsidR="00DD5451">
        <w:rPr>
          <w:rFonts w:ascii="Times New Roman" w:hAnsi="Times New Roman" w:cs="Times New Roman"/>
          <w:sz w:val="24"/>
          <w:szCs w:val="24"/>
        </w:rPr>
        <w:t xml:space="preserve"> Resulta objeto de otra investigación demostrar que esto sea empíricamente cierto; sin embargo, esto es una primera aproximación muy importante sobre los incentivos y percepciones de los actores que pueden ejercer recursos de forma discrecional.</w:t>
      </w:r>
    </w:p>
    <w:p w14:paraId="53F6513B" w14:textId="777602FC" w:rsidR="00F223C3" w:rsidRDefault="008055C2" w:rsidP="00064F02">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Algo que podría estar influyendo en esta inferencia es el tipo de proyecto que se esté financiando. </w:t>
      </w:r>
      <w:r w:rsidR="00C75AF1">
        <w:rPr>
          <w:rFonts w:ascii="Times New Roman" w:hAnsi="Times New Roman" w:cs="Times New Roman"/>
          <w:sz w:val="24"/>
          <w:szCs w:val="24"/>
        </w:rPr>
        <w:t>La diferenciación básica es entre los proyectos vis</w:t>
      </w:r>
      <w:r w:rsidR="00FE6DB3">
        <w:rPr>
          <w:rFonts w:ascii="Times New Roman" w:hAnsi="Times New Roman" w:cs="Times New Roman"/>
          <w:sz w:val="24"/>
          <w:szCs w:val="24"/>
        </w:rPr>
        <w:t>i</w:t>
      </w:r>
      <w:r w:rsidR="00C75AF1">
        <w:rPr>
          <w:rFonts w:ascii="Times New Roman" w:hAnsi="Times New Roman" w:cs="Times New Roman"/>
          <w:sz w:val="24"/>
          <w:szCs w:val="24"/>
        </w:rPr>
        <w:t>bles y, por tant</w:t>
      </w:r>
      <w:r w:rsidR="00FE6DB3">
        <w:rPr>
          <w:rFonts w:ascii="Times New Roman" w:hAnsi="Times New Roman" w:cs="Times New Roman"/>
          <w:sz w:val="24"/>
          <w:szCs w:val="24"/>
        </w:rPr>
        <w:t>o</w:t>
      </w:r>
      <w:r w:rsidR="00EE7EDD">
        <w:rPr>
          <w:rFonts w:ascii="Times New Roman" w:hAnsi="Times New Roman" w:cs="Times New Roman"/>
          <w:sz w:val="24"/>
          <w:szCs w:val="24"/>
        </w:rPr>
        <w:t xml:space="preserve"> aparentemente</w:t>
      </w:r>
      <w:r w:rsidR="00C75AF1">
        <w:rPr>
          <w:rFonts w:ascii="Times New Roman" w:hAnsi="Times New Roman" w:cs="Times New Roman"/>
          <w:sz w:val="24"/>
          <w:szCs w:val="24"/>
        </w:rPr>
        <w:t xml:space="preserve"> más rentables políticamente, y aquellos proyectos que, aunque son también de infraestructura, son obras mucho menos visibles</w:t>
      </w:r>
      <w:r w:rsidR="00FE6DB3">
        <w:rPr>
          <w:rFonts w:ascii="Times New Roman" w:hAnsi="Times New Roman" w:cs="Times New Roman"/>
          <w:sz w:val="24"/>
          <w:szCs w:val="24"/>
        </w:rPr>
        <w:t xml:space="preserve">. El ejemplo clásico es el de las obras de drenaje, las cuales resultan muy costosas </w:t>
      </w:r>
      <w:r w:rsidR="00CF67C6">
        <w:rPr>
          <w:rFonts w:ascii="Times New Roman" w:hAnsi="Times New Roman" w:cs="Times New Roman"/>
          <w:sz w:val="24"/>
          <w:szCs w:val="24"/>
        </w:rPr>
        <w:t>y, al ser subterráneas, no son tan visibles para el electorado. Así pues, se ejerce una gran inversión, sin resultados palpables a nivel electoral. Por el otro lado tenemos</w:t>
      </w:r>
      <w:r w:rsidR="003D6517">
        <w:rPr>
          <w:rFonts w:ascii="Times New Roman" w:hAnsi="Times New Roman" w:cs="Times New Roman"/>
          <w:sz w:val="24"/>
          <w:szCs w:val="24"/>
        </w:rPr>
        <w:t>,</w:t>
      </w:r>
      <w:r w:rsidR="00CF67C6">
        <w:rPr>
          <w:rFonts w:ascii="Times New Roman" w:hAnsi="Times New Roman" w:cs="Times New Roman"/>
          <w:sz w:val="24"/>
          <w:szCs w:val="24"/>
        </w:rPr>
        <w:t xml:space="preserve"> por ejemplo</w:t>
      </w:r>
      <w:r w:rsidR="003D6517">
        <w:rPr>
          <w:rFonts w:ascii="Times New Roman" w:hAnsi="Times New Roman" w:cs="Times New Roman"/>
          <w:sz w:val="24"/>
          <w:szCs w:val="24"/>
        </w:rPr>
        <w:t>,</w:t>
      </w:r>
      <w:r w:rsidR="00CF67C6">
        <w:rPr>
          <w:rFonts w:ascii="Times New Roman" w:hAnsi="Times New Roman" w:cs="Times New Roman"/>
          <w:sz w:val="24"/>
          <w:szCs w:val="24"/>
        </w:rPr>
        <w:t xml:space="preserve"> la construcción de vías de comunicación que están –y seguirán—a la vista de todos y pueden generar grandes beneficios directos para algunos sectores de la población.</w:t>
      </w:r>
      <w:r w:rsidR="00F223C3">
        <w:rPr>
          <w:rFonts w:ascii="Times New Roman" w:hAnsi="Times New Roman" w:cs="Times New Roman"/>
          <w:sz w:val="24"/>
          <w:szCs w:val="24"/>
        </w:rPr>
        <w:t xml:space="preserve"> </w:t>
      </w:r>
    </w:p>
    <w:p w14:paraId="2B972218" w14:textId="516043AE" w:rsidR="008055C2" w:rsidRDefault="00F223C3" w:rsidP="00C637FF">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pesar de la relevancia del tipo de proyecto para </w:t>
      </w:r>
      <w:r w:rsidR="00146E96">
        <w:rPr>
          <w:rFonts w:ascii="Times New Roman" w:hAnsi="Times New Roman" w:cs="Times New Roman"/>
          <w:sz w:val="24"/>
          <w:szCs w:val="24"/>
        </w:rPr>
        <w:t>esta tesina</w:t>
      </w:r>
      <w:r>
        <w:rPr>
          <w:rFonts w:ascii="Times New Roman" w:hAnsi="Times New Roman" w:cs="Times New Roman"/>
          <w:sz w:val="24"/>
          <w:szCs w:val="24"/>
        </w:rPr>
        <w:t xml:space="preserve">, en las carteras de proyectos proporcionadas por la </w:t>
      </w:r>
      <w:r w:rsidR="009D1307">
        <w:rPr>
          <w:rFonts w:ascii="Times New Roman" w:hAnsi="Times New Roman" w:cs="Times New Roman"/>
          <w:sz w:val="24"/>
          <w:szCs w:val="24"/>
        </w:rPr>
        <w:t>SHCP</w:t>
      </w:r>
      <w:r>
        <w:rPr>
          <w:rFonts w:ascii="Times New Roman" w:hAnsi="Times New Roman" w:cs="Times New Roman"/>
          <w:sz w:val="24"/>
          <w:szCs w:val="24"/>
        </w:rPr>
        <w:t xml:space="preserve"> no se cuenta con esta información. </w:t>
      </w:r>
      <w:r w:rsidR="008A1D04">
        <w:rPr>
          <w:rFonts w:ascii="Times New Roman" w:hAnsi="Times New Roman" w:cs="Times New Roman"/>
          <w:sz w:val="24"/>
          <w:szCs w:val="24"/>
        </w:rPr>
        <w:t>Lo único con lo que se cuenta es con el nombre del proyecto para tratar de inferir el tipo de proyecto del que se trata; sin embargo, resultaría muy poco riguroso intentar hacer una clasificación únicamente con el nombre del proyecto. Por ejemplo, en el caso de la “Construcción del sistema integral de agua potable”</w:t>
      </w:r>
      <w:r w:rsidR="00872E2C">
        <w:rPr>
          <w:rFonts w:ascii="Times New Roman" w:hAnsi="Times New Roman" w:cs="Times New Roman"/>
          <w:sz w:val="24"/>
          <w:szCs w:val="24"/>
        </w:rPr>
        <w:t xml:space="preserve"> o las “Plantaciones industriales y perennes”</w:t>
      </w:r>
      <w:r w:rsidR="008A1D04">
        <w:rPr>
          <w:rFonts w:ascii="Times New Roman" w:hAnsi="Times New Roman" w:cs="Times New Roman"/>
          <w:sz w:val="24"/>
          <w:szCs w:val="24"/>
        </w:rPr>
        <w:t xml:space="preserve"> resulta muy difícil conocer, únicamente por el nombre, si se trata de una obra visible electoralmente o no. Se necesitaría de las fichas técnicas para poder realizar una mejor clasificación, por lo que no se incluirá dicha variable en esta tesina, al no contar con tales fichas.</w:t>
      </w:r>
      <w:r>
        <w:rPr>
          <w:rFonts w:ascii="Times New Roman" w:hAnsi="Times New Roman" w:cs="Times New Roman"/>
          <w:sz w:val="24"/>
          <w:szCs w:val="24"/>
        </w:rPr>
        <w:t xml:space="preserve"> </w:t>
      </w:r>
    </w:p>
    <w:p w14:paraId="6003CE81" w14:textId="77777777" w:rsidR="00C17A69" w:rsidRDefault="00C17A69" w:rsidP="00C637FF">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Respecto a los modelos diferenciados para cada entidad</w:t>
      </w:r>
      <w:r w:rsidR="00AF1DC0">
        <w:rPr>
          <w:rFonts w:ascii="Times New Roman" w:hAnsi="Times New Roman" w:cs="Times New Roman"/>
          <w:sz w:val="24"/>
          <w:szCs w:val="24"/>
        </w:rPr>
        <w:t xml:space="preserve"> </w:t>
      </w:r>
      <w:r>
        <w:rPr>
          <w:rFonts w:ascii="Times New Roman" w:hAnsi="Times New Roman" w:cs="Times New Roman"/>
          <w:sz w:val="24"/>
          <w:szCs w:val="24"/>
        </w:rPr>
        <w:t>federativa</w:t>
      </w:r>
      <w:r w:rsidR="00AF1DC0">
        <w:rPr>
          <w:rFonts w:ascii="Times New Roman" w:hAnsi="Times New Roman" w:cs="Times New Roman"/>
          <w:sz w:val="24"/>
          <w:szCs w:val="24"/>
        </w:rPr>
        <w:t xml:space="preserve"> lo primero que hay que notar es que el año previo a elección de gobernador resultó</w:t>
      </w:r>
      <w:r w:rsidR="0046309D">
        <w:rPr>
          <w:rFonts w:ascii="Times New Roman" w:hAnsi="Times New Roman" w:cs="Times New Roman"/>
          <w:sz w:val="24"/>
          <w:szCs w:val="24"/>
        </w:rPr>
        <w:t xml:space="preserve"> significativo</w:t>
      </w:r>
      <w:r w:rsidR="00AF1DC0">
        <w:rPr>
          <w:rFonts w:ascii="Times New Roman" w:hAnsi="Times New Roman" w:cs="Times New Roman"/>
          <w:sz w:val="24"/>
          <w:szCs w:val="24"/>
        </w:rPr>
        <w:t xml:space="preserve"> para explicar la asignación de número de proyectos en </w:t>
      </w:r>
      <w:r w:rsidR="0046309D">
        <w:rPr>
          <w:rFonts w:ascii="Times New Roman" w:hAnsi="Times New Roman" w:cs="Times New Roman"/>
          <w:sz w:val="24"/>
          <w:szCs w:val="24"/>
        </w:rPr>
        <w:t xml:space="preserve">todos los modelos. Lo que esto quiere decir es que, sin importar la lógica de asignación de proyectos que se siga en cada entidad federativa, el gasto público aumenta antes de una elección estatal. Esto confirma la idea de que los gobiernos estatales son quienes manejan los recursos discrecionales del Fondo que aquí se estudia. </w:t>
      </w:r>
    </w:p>
    <w:p w14:paraId="10D55026" w14:textId="77777777" w:rsidR="002775A5" w:rsidRDefault="00E8453A" w:rsidP="00064F02">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6C24AE">
        <w:rPr>
          <w:rFonts w:ascii="Times New Roman" w:hAnsi="Times New Roman" w:cs="Times New Roman"/>
          <w:sz w:val="24"/>
          <w:szCs w:val="24"/>
        </w:rPr>
        <w:t>En relación con las diferencias entre entidades federativas es interesante notar que para el caso de número de proyectos</w:t>
      </w:r>
      <w:r w:rsidR="00860CF8" w:rsidRPr="006C24AE">
        <w:rPr>
          <w:rFonts w:ascii="Times New Roman" w:hAnsi="Times New Roman" w:cs="Times New Roman"/>
          <w:sz w:val="24"/>
          <w:szCs w:val="24"/>
        </w:rPr>
        <w:t xml:space="preserve"> sí </w:t>
      </w:r>
      <w:r w:rsidR="005071EA" w:rsidRPr="006C24AE">
        <w:rPr>
          <w:rFonts w:ascii="Times New Roman" w:hAnsi="Times New Roman" w:cs="Times New Roman"/>
          <w:sz w:val="24"/>
          <w:szCs w:val="24"/>
        </w:rPr>
        <w:t xml:space="preserve">hay </w:t>
      </w:r>
      <w:r w:rsidR="006C24AE" w:rsidRPr="006C24AE">
        <w:rPr>
          <w:rFonts w:ascii="Times New Roman" w:hAnsi="Times New Roman" w:cs="Times New Roman"/>
          <w:sz w:val="24"/>
          <w:szCs w:val="24"/>
        </w:rPr>
        <w:t>contrastes</w:t>
      </w:r>
      <w:r w:rsidR="005071EA" w:rsidRPr="006C24AE">
        <w:rPr>
          <w:rFonts w:ascii="Times New Roman" w:hAnsi="Times New Roman" w:cs="Times New Roman"/>
          <w:sz w:val="24"/>
          <w:szCs w:val="24"/>
        </w:rPr>
        <w:t xml:space="preserve"> </w:t>
      </w:r>
      <w:r w:rsidR="006C24AE" w:rsidRPr="006C24AE">
        <w:rPr>
          <w:rFonts w:ascii="Times New Roman" w:hAnsi="Times New Roman" w:cs="Times New Roman"/>
          <w:sz w:val="24"/>
          <w:szCs w:val="24"/>
        </w:rPr>
        <w:t>palpables</w:t>
      </w:r>
      <w:r w:rsidR="005071EA" w:rsidRPr="006C24AE">
        <w:rPr>
          <w:rFonts w:ascii="Times New Roman" w:hAnsi="Times New Roman" w:cs="Times New Roman"/>
          <w:sz w:val="24"/>
          <w:szCs w:val="24"/>
        </w:rPr>
        <w:t xml:space="preserve">. </w:t>
      </w:r>
      <w:r w:rsidR="002775A5">
        <w:rPr>
          <w:rFonts w:ascii="Times New Roman" w:hAnsi="Times New Roman" w:cs="Times New Roman"/>
          <w:sz w:val="24"/>
          <w:szCs w:val="24"/>
        </w:rPr>
        <w:t>E</w:t>
      </w:r>
      <w:r w:rsidR="0046309D">
        <w:rPr>
          <w:rFonts w:ascii="Times New Roman" w:hAnsi="Times New Roman" w:cs="Times New Roman"/>
          <w:sz w:val="24"/>
          <w:szCs w:val="24"/>
        </w:rPr>
        <w:t xml:space="preserve">n </w:t>
      </w:r>
      <w:r w:rsidR="00326872">
        <w:rPr>
          <w:rFonts w:ascii="Times New Roman" w:hAnsi="Times New Roman" w:cs="Times New Roman"/>
          <w:sz w:val="24"/>
          <w:szCs w:val="24"/>
        </w:rPr>
        <w:t>el caso de Chiapas</w:t>
      </w:r>
      <w:r w:rsidR="00C91C34">
        <w:rPr>
          <w:rFonts w:ascii="Times New Roman" w:hAnsi="Times New Roman" w:cs="Times New Roman"/>
          <w:sz w:val="24"/>
          <w:szCs w:val="24"/>
        </w:rPr>
        <w:t xml:space="preserve"> y Guerrero</w:t>
      </w:r>
      <w:r w:rsidR="00326872">
        <w:rPr>
          <w:rFonts w:ascii="Times New Roman" w:hAnsi="Times New Roman" w:cs="Times New Roman"/>
          <w:sz w:val="24"/>
          <w:szCs w:val="24"/>
        </w:rPr>
        <w:t xml:space="preserve"> sólo hay dos variables significativas</w:t>
      </w:r>
      <w:r w:rsidR="00C91C34">
        <w:rPr>
          <w:rFonts w:ascii="Times New Roman" w:hAnsi="Times New Roman" w:cs="Times New Roman"/>
          <w:sz w:val="24"/>
          <w:szCs w:val="24"/>
        </w:rPr>
        <w:t xml:space="preserve"> respectivamente</w:t>
      </w:r>
      <w:r w:rsidR="00326872">
        <w:rPr>
          <w:rFonts w:ascii="Times New Roman" w:hAnsi="Times New Roman" w:cs="Times New Roman"/>
          <w:sz w:val="24"/>
          <w:szCs w:val="24"/>
        </w:rPr>
        <w:t xml:space="preserve">, </w:t>
      </w:r>
      <w:r w:rsidR="002775A5">
        <w:rPr>
          <w:rFonts w:ascii="Times New Roman" w:hAnsi="Times New Roman" w:cs="Times New Roman"/>
          <w:sz w:val="24"/>
          <w:szCs w:val="24"/>
        </w:rPr>
        <w:t>de las cuales hay que destacar el año previo a elección de gobernador al ser una variable que resulta significativa para todas las entidades. Sin embargo, no encontramos alguna lógica importante detrás de las asignaciones, de acuerdo con las variables del modelo aquí presentado.</w:t>
      </w:r>
    </w:p>
    <w:p w14:paraId="0D161843" w14:textId="63F5CD26" w:rsidR="00DD4EC1" w:rsidRDefault="002775A5" w:rsidP="002775A5">
      <w:pPr>
        <w:spacing w:line="480" w:lineRule="auto"/>
        <w:ind w:firstLine="708"/>
        <w:jc w:val="both"/>
        <w:rPr>
          <w:rFonts w:ascii="Times New Roman" w:hAnsi="Times New Roman" w:cs="Times New Roman"/>
          <w:sz w:val="24"/>
          <w:szCs w:val="24"/>
        </w:rPr>
      </w:pPr>
      <w:r w:rsidRPr="006C24AE">
        <w:rPr>
          <w:rFonts w:ascii="Times New Roman" w:hAnsi="Times New Roman" w:cs="Times New Roman"/>
          <w:sz w:val="24"/>
          <w:szCs w:val="24"/>
        </w:rPr>
        <w:t>En Oaxaca,</w:t>
      </w:r>
      <w:r>
        <w:rPr>
          <w:rFonts w:ascii="Times New Roman" w:hAnsi="Times New Roman" w:cs="Times New Roman"/>
          <w:sz w:val="24"/>
          <w:szCs w:val="24"/>
        </w:rPr>
        <w:t xml:space="preserve"> por su parte,</w:t>
      </w:r>
      <w:r w:rsidRPr="006C24AE">
        <w:rPr>
          <w:rFonts w:ascii="Times New Roman" w:hAnsi="Times New Roman" w:cs="Times New Roman"/>
          <w:sz w:val="24"/>
          <w:szCs w:val="24"/>
        </w:rPr>
        <w:t xml:space="preserve"> el </w:t>
      </w:r>
      <w:r>
        <w:rPr>
          <w:rFonts w:ascii="Times New Roman" w:hAnsi="Times New Roman" w:cs="Times New Roman"/>
          <w:sz w:val="24"/>
          <w:szCs w:val="24"/>
        </w:rPr>
        <w:t>modelo</w:t>
      </w:r>
      <w:r w:rsidRPr="006C24AE">
        <w:rPr>
          <w:rFonts w:ascii="Times New Roman" w:hAnsi="Times New Roman" w:cs="Times New Roman"/>
          <w:sz w:val="24"/>
          <w:szCs w:val="24"/>
        </w:rPr>
        <w:t xml:space="preserve"> se vuelve más significativo, por lo que podemos decir que la lógica </w:t>
      </w:r>
      <w:r>
        <w:rPr>
          <w:rFonts w:ascii="Times New Roman" w:hAnsi="Times New Roman" w:cs="Times New Roman"/>
          <w:sz w:val="24"/>
          <w:szCs w:val="24"/>
        </w:rPr>
        <w:t xml:space="preserve">política de distribución de los </w:t>
      </w:r>
      <w:r w:rsidRPr="006C24AE">
        <w:rPr>
          <w:rFonts w:ascii="Times New Roman" w:hAnsi="Times New Roman" w:cs="Times New Roman"/>
          <w:sz w:val="24"/>
          <w:szCs w:val="24"/>
        </w:rPr>
        <w:t>proyectos se agudiza.</w:t>
      </w:r>
      <w:r>
        <w:rPr>
          <w:rFonts w:ascii="Times New Roman" w:hAnsi="Times New Roman" w:cs="Times New Roman"/>
          <w:sz w:val="24"/>
          <w:szCs w:val="24"/>
        </w:rPr>
        <w:t xml:space="preserve"> De esta manera </w:t>
      </w:r>
      <w:r w:rsidR="00326872">
        <w:rPr>
          <w:rFonts w:ascii="Times New Roman" w:hAnsi="Times New Roman" w:cs="Times New Roman"/>
          <w:sz w:val="24"/>
          <w:szCs w:val="24"/>
        </w:rPr>
        <w:t>contamos con s</w:t>
      </w:r>
      <w:r w:rsidR="00C91C34">
        <w:rPr>
          <w:rFonts w:ascii="Times New Roman" w:hAnsi="Times New Roman" w:cs="Times New Roman"/>
          <w:sz w:val="24"/>
          <w:szCs w:val="24"/>
        </w:rPr>
        <w:t xml:space="preserve">eis </w:t>
      </w:r>
      <w:r w:rsidR="00326872">
        <w:rPr>
          <w:rFonts w:ascii="Times New Roman" w:hAnsi="Times New Roman" w:cs="Times New Roman"/>
          <w:sz w:val="24"/>
          <w:szCs w:val="24"/>
        </w:rPr>
        <w:t>variables que explican la asignación de un mayor o menor número de proyectos para determinado municipio. Quizá lo más importante a destacar es que, de todos los modelos presentados, el de número de proyectos para Oaxaca es el único para el que una de las variables políticas resultó significativa. Así pues, Oaxaca es la única entidad federativa en donde se privilegia a los municipios con un mayor amplio margen de victoria. Sin embargo, también es importante notar que la asignación no está favoreciendo a los municipios en los que ganó con un amplio margen el partido en el poder.</w:t>
      </w:r>
    </w:p>
    <w:p w14:paraId="23AD7D4F" w14:textId="2505B2C9" w:rsidR="005639CB" w:rsidRDefault="00326872">
      <w:pPr>
        <w:spacing w:line="480" w:lineRule="auto"/>
        <w:ind w:firstLine="708"/>
        <w:jc w:val="both"/>
        <w:rPr>
          <w:rFonts w:ascii="Times New Roman" w:hAnsi="Times New Roman" w:cs="Times New Roman"/>
          <w:sz w:val="24"/>
          <w:szCs w:val="24"/>
        </w:rPr>
      </w:pPr>
      <w:r w:rsidRPr="00E15583">
        <w:rPr>
          <w:rFonts w:ascii="Times New Roman" w:hAnsi="Times New Roman" w:cs="Times New Roman"/>
          <w:sz w:val="24"/>
          <w:szCs w:val="24"/>
        </w:rPr>
        <w:lastRenderedPageBreak/>
        <w:t>Si observamo</w:t>
      </w:r>
      <w:r w:rsidR="00596748" w:rsidRPr="00E15583">
        <w:rPr>
          <w:rFonts w:ascii="Times New Roman" w:hAnsi="Times New Roman" w:cs="Times New Roman"/>
          <w:sz w:val="24"/>
          <w:szCs w:val="24"/>
        </w:rPr>
        <w:t>s de forma general dicho modelo, es posible notar que las asignaciones de</w:t>
      </w:r>
      <w:r w:rsidR="00C91C34" w:rsidRPr="00E15583">
        <w:rPr>
          <w:rFonts w:ascii="Times New Roman" w:hAnsi="Times New Roman" w:cs="Times New Roman"/>
          <w:sz w:val="24"/>
          <w:szCs w:val="24"/>
        </w:rPr>
        <w:t xml:space="preserve"> un mayor número de proyectos favorecen aquellos municipios que se encuentran más poblados, más desarrollados y en los</w:t>
      </w:r>
      <w:r w:rsidR="00C91C34">
        <w:rPr>
          <w:rFonts w:ascii="Times New Roman" w:hAnsi="Times New Roman" w:cs="Times New Roman"/>
          <w:sz w:val="24"/>
          <w:szCs w:val="24"/>
        </w:rPr>
        <w:t xml:space="preserve"> que se gana con un mayor margen de victoria. Esto es compatible con la teoría de poder de negociación por lo que podemos constatar que Oaxaca es la entidad federativa en la que se utilizan los recursos del </w:t>
      </w:r>
      <w:proofErr w:type="spellStart"/>
      <w:r w:rsidR="00C91C34">
        <w:rPr>
          <w:rFonts w:ascii="Times New Roman" w:hAnsi="Times New Roman" w:cs="Times New Roman"/>
          <w:sz w:val="24"/>
          <w:szCs w:val="24"/>
        </w:rPr>
        <w:t>Fonregión</w:t>
      </w:r>
      <w:proofErr w:type="spellEnd"/>
      <w:r w:rsidR="00C91C34">
        <w:rPr>
          <w:rFonts w:ascii="Times New Roman" w:hAnsi="Times New Roman" w:cs="Times New Roman"/>
          <w:sz w:val="24"/>
          <w:szCs w:val="24"/>
        </w:rPr>
        <w:t xml:space="preserve"> de forma más clara para mitigar las presiones ejercidas por los gobiernos locales. </w:t>
      </w:r>
      <w:r w:rsidR="00596748">
        <w:rPr>
          <w:rFonts w:ascii="Times New Roman" w:hAnsi="Times New Roman" w:cs="Times New Roman"/>
          <w:sz w:val="24"/>
          <w:szCs w:val="24"/>
        </w:rPr>
        <w:t xml:space="preserve">Esta visión se refuerza al observar que las variables de ciclo electoral presentan signos negativos. Lo anterior quiere decir que </w:t>
      </w:r>
      <w:r w:rsidR="000635E1">
        <w:rPr>
          <w:rFonts w:ascii="Times New Roman" w:hAnsi="Times New Roman" w:cs="Times New Roman"/>
          <w:sz w:val="24"/>
          <w:szCs w:val="24"/>
        </w:rPr>
        <w:t>en realidad los proyectos se entregan durante todo el año, sin que influya la época electoral.</w:t>
      </w:r>
    </w:p>
    <w:p w14:paraId="51AD17AA" w14:textId="4F556331" w:rsidR="00243541" w:rsidRDefault="000A1906" w:rsidP="00607281">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Para ilustrar el modelo de número de proyectos</w:t>
      </w:r>
      <w:r w:rsidR="00243541">
        <w:rPr>
          <w:rFonts w:ascii="Times New Roman" w:hAnsi="Times New Roman" w:cs="Times New Roman"/>
          <w:sz w:val="24"/>
          <w:szCs w:val="24"/>
        </w:rPr>
        <w:t xml:space="preserve"> que incluye a las tres entidades federativas</w:t>
      </w:r>
      <w:r w:rsidR="003057E4">
        <w:rPr>
          <w:rFonts w:ascii="Times New Roman" w:hAnsi="Times New Roman" w:cs="Times New Roman"/>
          <w:sz w:val="24"/>
          <w:szCs w:val="24"/>
        </w:rPr>
        <w:t xml:space="preserve"> </w:t>
      </w:r>
      <w:r w:rsidR="00243541">
        <w:rPr>
          <w:rFonts w:ascii="Times New Roman" w:hAnsi="Times New Roman" w:cs="Times New Roman"/>
          <w:sz w:val="24"/>
          <w:szCs w:val="24"/>
        </w:rPr>
        <w:t>(</w:t>
      </w:r>
      <w:r w:rsidR="003057E4">
        <w:rPr>
          <w:rFonts w:ascii="Times New Roman" w:hAnsi="Times New Roman" w:cs="Times New Roman"/>
          <w:sz w:val="24"/>
          <w:szCs w:val="24"/>
        </w:rPr>
        <w:t>e</w:t>
      </w:r>
      <w:r w:rsidR="00243541">
        <w:rPr>
          <w:rFonts w:ascii="Times New Roman" w:hAnsi="Times New Roman" w:cs="Times New Roman"/>
          <w:sz w:val="24"/>
          <w:szCs w:val="24"/>
        </w:rPr>
        <w:t>l cual fue el más significativo</w:t>
      </w:r>
      <w:r w:rsidR="00326872">
        <w:rPr>
          <w:rFonts w:ascii="Times New Roman" w:hAnsi="Times New Roman" w:cs="Times New Roman"/>
          <w:sz w:val="24"/>
          <w:szCs w:val="24"/>
        </w:rPr>
        <w:t xml:space="preserve"> de los modelos generales</w:t>
      </w:r>
      <w:r w:rsidR="00243541">
        <w:rPr>
          <w:rFonts w:ascii="Times New Roman" w:hAnsi="Times New Roman" w:cs="Times New Roman"/>
          <w:sz w:val="24"/>
          <w:szCs w:val="24"/>
        </w:rPr>
        <w:t>)</w:t>
      </w:r>
      <w:r>
        <w:rPr>
          <w:rFonts w:ascii="Times New Roman" w:hAnsi="Times New Roman" w:cs="Times New Roman"/>
          <w:sz w:val="24"/>
          <w:szCs w:val="24"/>
        </w:rPr>
        <w:t xml:space="preserve"> p</w:t>
      </w:r>
      <w:r w:rsidR="00243541">
        <w:rPr>
          <w:rFonts w:ascii="Times New Roman" w:hAnsi="Times New Roman" w:cs="Times New Roman"/>
          <w:sz w:val="24"/>
          <w:szCs w:val="24"/>
        </w:rPr>
        <w:t>resento a continuación</w:t>
      </w:r>
      <w:r>
        <w:rPr>
          <w:rFonts w:ascii="Times New Roman" w:hAnsi="Times New Roman" w:cs="Times New Roman"/>
          <w:sz w:val="24"/>
          <w:szCs w:val="24"/>
        </w:rPr>
        <w:t xml:space="preserve"> la gráfica 3. En ella se observan los coeficientes</w:t>
      </w:r>
      <w:r w:rsidR="00243541">
        <w:rPr>
          <w:rFonts w:ascii="Times New Roman" w:hAnsi="Times New Roman" w:cs="Times New Roman"/>
          <w:sz w:val="24"/>
          <w:szCs w:val="24"/>
        </w:rPr>
        <w:t xml:space="preserve"> de todas las variables que incluí en el modelo, así como las</w:t>
      </w:r>
      <w:r w:rsidR="0096687D">
        <w:rPr>
          <w:rFonts w:ascii="Times New Roman" w:hAnsi="Times New Roman" w:cs="Times New Roman"/>
          <w:sz w:val="24"/>
          <w:szCs w:val="24"/>
        </w:rPr>
        <w:t xml:space="preserve"> </w:t>
      </w:r>
      <w:r>
        <w:rPr>
          <w:rFonts w:ascii="Times New Roman" w:hAnsi="Times New Roman" w:cs="Times New Roman"/>
          <w:sz w:val="24"/>
          <w:szCs w:val="24"/>
        </w:rPr>
        <w:t xml:space="preserve">desviaciones estándar </w:t>
      </w:r>
      <w:r w:rsidR="00243541">
        <w:rPr>
          <w:rFonts w:ascii="Times New Roman" w:hAnsi="Times New Roman" w:cs="Times New Roman"/>
          <w:sz w:val="24"/>
          <w:szCs w:val="24"/>
        </w:rPr>
        <w:t xml:space="preserve">de cada una </w:t>
      </w:r>
      <w:r>
        <w:rPr>
          <w:rFonts w:ascii="Times New Roman" w:hAnsi="Times New Roman" w:cs="Times New Roman"/>
          <w:sz w:val="24"/>
          <w:szCs w:val="24"/>
        </w:rPr>
        <w:t xml:space="preserve">en un intervalo de confianza de 95%. </w:t>
      </w:r>
      <w:r w:rsidR="00243541" w:rsidRPr="003057E4">
        <w:rPr>
          <w:rFonts w:ascii="Times New Roman" w:hAnsi="Times New Roman" w:cs="Times New Roman"/>
          <w:sz w:val="24"/>
          <w:szCs w:val="24"/>
        </w:rPr>
        <w:t xml:space="preserve">Como puede observarse, </w:t>
      </w:r>
      <w:r w:rsidR="008A5B77">
        <w:rPr>
          <w:rFonts w:ascii="Times New Roman" w:hAnsi="Times New Roman" w:cs="Times New Roman"/>
          <w:sz w:val="24"/>
          <w:szCs w:val="24"/>
        </w:rPr>
        <w:t>la mayoría de los coeficientes presenta magnitudes muy bajas. E</w:t>
      </w:r>
      <w:r w:rsidR="00243541">
        <w:rPr>
          <w:rFonts w:ascii="Times New Roman" w:hAnsi="Times New Roman" w:cs="Times New Roman"/>
          <w:sz w:val="24"/>
          <w:szCs w:val="24"/>
        </w:rPr>
        <w:t xml:space="preserve">sto se debe a que los efectos de algunas variables se complementan </w:t>
      </w:r>
      <w:r w:rsidR="00FB70A4">
        <w:rPr>
          <w:rFonts w:ascii="Times New Roman" w:hAnsi="Times New Roman" w:cs="Times New Roman"/>
          <w:sz w:val="24"/>
          <w:szCs w:val="24"/>
        </w:rPr>
        <w:t xml:space="preserve">entre sí. </w:t>
      </w:r>
      <w:r w:rsidR="00745105">
        <w:rPr>
          <w:rFonts w:ascii="Times New Roman" w:hAnsi="Times New Roman" w:cs="Times New Roman"/>
          <w:sz w:val="24"/>
          <w:szCs w:val="24"/>
        </w:rPr>
        <w:t>Una de las variables</w:t>
      </w:r>
      <w:r w:rsidR="00745105" w:rsidRPr="003057E4">
        <w:rPr>
          <w:rFonts w:ascii="Times New Roman" w:hAnsi="Times New Roman" w:cs="Times New Roman"/>
          <w:sz w:val="24"/>
          <w:szCs w:val="24"/>
        </w:rPr>
        <w:t xml:space="preserve"> </w:t>
      </w:r>
      <w:r w:rsidR="00FB70A4" w:rsidRPr="003057E4">
        <w:rPr>
          <w:rFonts w:ascii="Times New Roman" w:hAnsi="Times New Roman" w:cs="Times New Roman"/>
          <w:sz w:val="24"/>
          <w:szCs w:val="24"/>
        </w:rPr>
        <w:t>que más impacto tiene</w:t>
      </w:r>
      <w:r w:rsidR="00745105">
        <w:rPr>
          <w:rFonts w:ascii="Times New Roman" w:hAnsi="Times New Roman" w:cs="Times New Roman"/>
          <w:sz w:val="24"/>
          <w:szCs w:val="24"/>
        </w:rPr>
        <w:t>n</w:t>
      </w:r>
      <w:r w:rsidR="00FB70A4" w:rsidRPr="003057E4">
        <w:rPr>
          <w:rFonts w:ascii="Times New Roman" w:hAnsi="Times New Roman" w:cs="Times New Roman"/>
          <w:sz w:val="24"/>
          <w:szCs w:val="24"/>
        </w:rPr>
        <w:t xml:space="preserve"> es el año previo a la elección de gobernador: la probabilidad d</w:t>
      </w:r>
      <w:r w:rsidR="008A5B77">
        <w:rPr>
          <w:rFonts w:ascii="Times New Roman" w:hAnsi="Times New Roman" w:cs="Times New Roman"/>
          <w:sz w:val="24"/>
          <w:szCs w:val="24"/>
        </w:rPr>
        <w:t>e tener más proyectos aumenta 9</w:t>
      </w:r>
      <w:r w:rsidR="00FB70A4" w:rsidRPr="003057E4">
        <w:rPr>
          <w:rFonts w:ascii="Times New Roman" w:hAnsi="Times New Roman" w:cs="Times New Roman"/>
          <w:sz w:val="24"/>
          <w:szCs w:val="24"/>
        </w:rPr>
        <w:t>% al tener una elección</w:t>
      </w:r>
      <w:r w:rsidR="00FB70A4">
        <w:rPr>
          <w:rFonts w:ascii="Times New Roman" w:hAnsi="Times New Roman" w:cs="Times New Roman"/>
          <w:sz w:val="24"/>
          <w:szCs w:val="24"/>
        </w:rPr>
        <w:t xml:space="preserve"> para gobernador el próximo año, lo que nos habla de que los gobernadores antes de una elección utilizan los fondos discrecionales que tenían disponibles con el </w:t>
      </w:r>
      <w:proofErr w:type="spellStart"/>
      <w:r w:rsidR="00FB70A4">
        <w:rPr>
          <w:rFonts w:ascii="Times New Roman" w:hAnsi="Times New Roman" w:cs="Times New Roman"/>
          <w:sz w:val="24"/>
          <w:szCs w:val="24"/>
        </w:rPr>
        <w:t>Fonregión</w:t>
      </w:r>
      <w:proofErr w:type="spellEnd"/>
      <w:r w:rsidR="00FB70A4">
        <w:rPr>
          <w:rFonts w:ascii="Times New Roman" w:hAnsi="Times New Roman" w:cs="Times New Roman"/>
          <w:sz w:val="24"/>
          <w:szCs w:val="24"/>
        </w:rPr>
        <w:t xml:space="preserve"> </w:t>
      </w:r>
      <w:r w:rsidR="008A5B77">
        <w:rPr>
          <w:rFonts w:ascii="Times New Roman" w:hAnsi="Times New Roman" w:cs="Times New Roman"/>
          <w:sz w:val="24"/>
          <w:szCs w:val="24"/>
        </w:rPr>
        <w:t xml:space="preserve"> para mejorar su imagen e impacto electoral de su partido. Otro aspecto a resaltar es que</w:t>
      </w:r>
      <w:r w:rsidR="00FB70A4">
        <w:rPr>
          <w:rFonts w:ascii="Times New Roman" w:hAnsi="Times New Roman" w:cs="Times New Roman"/>
          <w:sz w:val="24"/>
          <w:szCs w:val="24"/>
        </w:rPr>
        <w:t xml:space="preserve"> l</w:t>
      </w:r>
      <w:r w:rsidR="00243541" w:rsidRPr="003057E4">
        <w:rPr>
          <w:rFonts w:ascii="Times New Roman" w:hAnsi="Times New Roman" w:cs="Times New Roman"/>
          <w:sz w:val="24"/>
          <w:szCs w:val="24"/>
        </w:rPr>
        <w:t xml:space="preserve">a </w:t>
      </w:r>
      <w:r w:rsidR="00632005" w:rsidRPr="00B60F59">
        <w:rPr>
          <w:rFonts w:ascii="Times New Roman" w:hAnsi="Times New Roman" w:cs="Times New Roman"/>
          <w:sz w:val="24"/>
          <w:szCs w:val="24"/>
        </w:rPr>
        <w:t>variable que</w:t>
      </w:r>
      <w:r w:rsidR="00745105">
        <w:rPr>
          <w:rFonts w:ascii="Times New Roman" w:hAnsi="Times New Roman" w:cs="Times New Roman"/>
          <w:sz w:val="24"/>
          <w:szCs w:val="24"/>
        </w:rPr>
        <w:t xml:space="preserve"> tiene un mayor impacto es también la que presenta mayores variaciones. Como se observa en la gráfica, el </w:t>
      </w:r>
      <w:r w:rsidR="004719DA">
        <w:rPr>
          <w:rFonts w:ascii="Times New Roman" w:hAnsi="Times New Roman" w:cs="Times New Roman"/>
          <w:sz w:val="24"/>
          <w:szCs w:val="24"/>
        </w:rPr>
        <w:t>IDH</w:t>
      </w:r>
      <w:r w:rsidR="00745105">
        <w:rPr>
          <w:rFonts w:ascii="Times New Roman" w:hAnsi="Times New Roman" w:cs="Times New Roman"/>
          <w:sz w:val="24"/>
          <w:szCs w:val="24"/>
        </w:rPr>
        <w:t xml:space="preserve">, a pesar de tener un </w:t>
      </w:r>
      <w:r w:rsidR="00C218F5">
        <w:rPr>
          <w:rFonts w:ascii="Times New Roman" w:hAnsi="Times New Roman" w:cs="Times New Roman"/>
          <w:sz w:val="24"/>
          <w:szCs w:val="24"/>
        </w:rPr>
        <w:t>coeficiente alto, cuenta con una desviación muy alta</w:t>
      </w:r>
      <w:r w:rsidR="00745105">
        <w:rPr>
          <w:rFonts w:ascii="Times New Roman" w:hAnsi="Times New Roman" w:cs="Times New Roman"/>
          <w:sz w:val="24"/>
          <w:szCs w:val="24"/>
        </w:rPr>
        <w:t xml:space="preserve">, lo que nos indica </w:t>
      </w:r>
      <w:r w:rsidR="00D16D31">
        <w:rPr>
          <w:rFonts w:ascii="Times New Roman" w:hAnsi="Times New Roman" w:cs="Times New Roman"/>
          <w:sz w:val="24"/>
          <w:szCs w:val="24"/>
        </w:rPr>
        <w:t xml:space="preserve">que, aunque el </w:t>
      </w:r>
      <w:r w:rsidR="004719DA">
        <w:rPr>
          <w:rFonts w:ascii="Times New Roman" w:hAnsi="Times New Roman" w:cs="Times New Roman"/>
          <w:sz w:val="24"/>
          <w:szCs w:val="24"/>
        </w:rPr>
        <w:t>IDH</w:t>
      </w:r>
      <w:r w:rsidR="00D16D31">
        <w:rPr>
          <w:rFonts w:ascii="Times New Roman" w:hAnsi="Times New Roman" w:cs="Times New Roman"/>
          <w:sz w:val="24"/>
          <w:szCs w:val="24"/>
        </w:rPr>
        <w:t xml:space="preserve"> es un indicador determinante </w:t>
      </w:r>
      <w:r w:rsidR="00D16D31">
        <w:rPr>
          <w:rFonts w:ascii="Times New Roman" w:hAnsi="Times New Roman" w:cs="Times New Roman"/>
          <w:sz w:val="24"/>
          <w:szCs w:val="24"/>
        </w:rPr>
        <w:lastRenderedPageBreak/>
        <w:t xml:space="preserve">para las asignaciones, en realidad </w:t>
      </w:r>
      <w:r w:rsidR="00C218F5">
        <w:rPr>
          <w:rFonts w:ascii="Times New Roman" w:hAnsi="Times New Roman" w:cs="Times New Roman"/>
          <w:sz w:val="24"/>
          <w:szCs w:val="24"/>
        </w:rPr>
        <w:t>existe un margen de error muy amplio, pero siempre positivo, por lo que no hay posibilidad de que también se estén incluyendo municipios con carencias para determinar la asignación, criterio que, sin embargo, debería ser el principal.</w:t>
      </w:r>
      <w:r w:rsidR="008A5B77">
        <w:rPr>
          <w:rFonts w:ascii="Times New Roman" w:hAnsi="Times New Roman" w:cs="Times New Roman"/>
          <w:sz w:val="24"/>
          <w:szCs w:val="24"/>
        </w:rPr>
        <w:t xml:space="preserve"> Por último,</w:t>
      </w:r>
      <w:r w:rsidR="0096687D">
        <w:rPr>
          <w:rFonts w:ascii="Times New Roman" w:hAnsi="Times New Roman" w:cs="Times New Roman"/>
          <w:sz w:val="24"/>
          <w:szCs w:val="24"/>
        </w:rPr>
        <w:t xml:space="preserve"> </w:t>
      </w:r>
      <w:r w:rsidR="00B734ED">
        <w:rPr>
          <w:rFonts w:ascii="Times New Roman" w:hAnsi="Times New Roman" w:cs="Times New Roman"/>
          <w:sz w:val="24"/>
          <w:szCs w:val="24"/>
        </w:rPr>
        <w:t>es importante mencionar que el margen de error de la variable de mismo partido incluye efectos positivos y negativos, mientras que las demás conservan su signo en todo el intervalo, por lo que la interpretación de cada una de ellas no cambia.</w:t>
      </w:r>
    </w:p>
    <w:p w14:paraId="7871B809" w14:textId="586F5C5B" w:rsidR="00607281" w:rsidRPr="00393208" w:rsidRDefault="008F4E45" w:rsidP="00393208">
      <w:pPr>
        <w:spacing w:line="240" w:lineRule="auto"/>
        <w:jc w:val="center"/>
        <w:rPr>
          <w:rFonts w:ascii="Times New Roman" w:hAnsi="Times New Roman" w:cs="Times New Roman"/>
          <w:b/>
          <w:sz w:val="24"/>
          <w:szCs w:val="24"/>
        </w:rPr>
      </w:pPr>
      <w:r>
        <w:rPr>
          <w:rFonts w:ascii="Times New Roman" w:hAnsi="Times New Roman" w:cs="Times New Roman"/>
          <w:b/>
          <w:sz w:val="24"/>
          <w:szCs w:val="24"/>
        </w:rPr>
        <w:t>Gráfica 4</w:t>
      </w:r>
      <w:r w:rsidR="000A1906" w:rsidRPr="00FE28B6">
        <w:rPr>
          <w:rFonts w:ascii="Times New Roman" w:hAnsi="Times New Roman" w:cs="Times New Roman"/>
          <w:b/>
          <w:sz w:val="24"/>
          <w:szCs w:val="24"/>
        </w:rPr>
        <w:t xml:space="preserve">. </w:t>
      </w:r>
      <w:r w:rsidR="000A1906">
        <w:rPr>
          <w:rFonts w:ascii="Times New Roman" w:hAnsi="Times New Roman" w:cs="Times New Roman"/>
          <w:b/>
          <w:sz w:val="24"/>
          <w:szCs w:val="24"/>
        </w:rPr>
        <w:t xml:space="preserve">Modelo multinivel para explicar el </w:t>
      </w:r>
      <w:r w:rsidR="00393208">
        <w:rPr>
          <w:rFonts w:ascii="Times New Roman" w:hAnsi="Times New Roman" w:cs="Times New Roman"/>
          <w:b/>
          <w:sz w:val="24"/>
          <w:szCs w:val="24"/>
        </w:rPr>
        <w:t xml:space="preserve">número de proyectos de </w:t>
      </w:r>
      <w:proofErr w:type="spellStart"/>
      <w:r w:rsidR="00393208">
        <w:rPr>
          <w:rFonts w:ascii="Times New Roman" w:hAnsi="Times New Roman" w:cs="Times New Roman"/>
          <w:b/>
          <w:sz w:val="24"/>
          <w:szCs w:val="24"/>
        </w:rPr>
        <w:t>Fonregión</w:t>
      </w:r>
      <w:proofErr w:type="spellEnd"/>
      <w:r w:rsidR="0096687D">
        <w:rPr>
          <w:rFonts w:cs="Times New Roman"/>
          <w:szCs w:val="24"/>
        </w:rPr>
        <w:t xml:space="preserve">                                                                                                                                                                 </w:t>
      </w:r>
    </w:p>
    <w:p w14:paraId="3DAE24F6" w14:textId="77777777" w:rsidR="00DD0798" w:rsidRDefault="008A5B77" w:rsidP="0039320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FB0D7A" wp14:editId="4E40C0A2">
            <wp:extent cx="5130165" cy="37642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130165" cy="3764280"/>
                    </a:xfrm>
                    <a:prstGeom prst="rect">
                      <a:avLst/>
                    </a:prstGeom>
                    <a:noFill/>
                    <a:ln w="9525">
                      <a:noFill/>
                      <a:miter lim="800000"/>
                      <a:headEnd/>
                      <a:tailEnd/>
                    </a:ln>
                  </pic:spPr>
                </pic:pic>
              </a:graphicData>
            </a:graphic>
          </wp:inline>
        </w:drawing>
      </w:r>
    </w:p>
    <w:p w14:paraId="5CCCB63A" w14:textId="77777777" w:rsidR="00A33D91" w:rsidRDefault="00B734ED" w:rsidP="00C8563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Después de llevar a cabo la explicación sobre los modelos generales conviene aclarar que también se llevaron a cabo una serie de modelos en los que se excluyeron los municipios de usos y costumbres para poder incluir las variables municipales en las estimaciones. Luego entonces, se eliminaron </w:t>
      </w:r>
      <w:r w:rsidR="00DD0798">
        <w:rPr>
          <w:rFonts w:ascii="Times New Roman" w:hAnsi="Times New Roman" w:cs="Times New Roman"/>
          <w:sz w:val="24"/>
          <w:szCs w:val="24"/>
        </w:rPr>
        <w:t>2508 observaciones de municipios de usos y costumbres</w:t>
      </w:r>
      <w:r>
        <w:rPr>
          <w:rFonts w:ascii="Times New Roman" w:hAnsi="Times New Roman" w:cs="Times New Roman"/>
          <w:sz w:val="24"/>
          <w:szCs w:val="24"/>
        </w:rPr>
        <w:t xml:space="preserve"> de la muestra</w:t>
      </w:r>
      <w:r w:rsidR="00DD0798">
        <w:rPr>
          <w:rFonts w:ascii="Times New Roman" w:hAnsi="Times New Roman" w:cs="Times New Roman"/>
          <w:sz w:val="24"/>
          <w:szCs w:val="24"/>
        </w:rPr>
        <w:t>,</w:t>
      </w:r>
      <w:r>
        <w:rPr>
          <w:rFonts w:ascii="Times New Roman" w:hAnsi="Times New Roman" w:cs="Times New Roman"/>
          <w:sz w:val="24"/>
          <w:szCs w:val="24"/>
        </w:rPr>
        <w:t xml:space="preserve"> lo que representa </w:t>
      </w:r>
      <w:r w:rsidR="00DD0798">
        <w:rPr>
          <w:rFonts w:ascii="Times New Roman" w:hAnsi="Times New Roman" w:cs="Times New Roman"/>
          <w:sz w:val="24"/>
          <w:szCs w:val="24"/>
        </w:rPr>
        <w:t>54.36%</w:t>
      </w:r>
      <w:r>
        <w:rPr>
          <w:rFonts w:ascii="Times New Roman" w:hAnsi="Times New Roman" w:cs="Times New Roman"/>
          <w:sz w:val="24"/>
          <w:szCs w:val="24"/>
        </w:rPr>
        <w:t xml:space="preserve"> del total</w:t>
      </w:r>
      <w:r w:rsidR="00DD0798">
        <w:rPr>
          <w:rFonts w:ascii="Times New Roman" w:hAnsi="Times New Roman" w:cs="Times New Roman"/>
          <w:sz w:val="24"/>
          <w:szCs w:val="24"/>
        </w:rPr>
        <w:t>.</w:t>
      </w:r>
      <w:r w:rsidR="00E840F4">
        <w:rPr>
          <w:rFonts w:ascii="Times New Roman" w:hAnsi="Times New Roman" w:cs="Times New Roman"/>
          <w:sz w:val="24"/>
          <w:szCs w:val="24"/>
        </w:rPr>
        <w:t xml:space="preserve"> A pesar de llevar a cabo una reducción tan </w:t>
      </w:r>
      <w:r w:rsidR="00E840F4">
        <w:rPr>
          <w:rFonts w:ascii="Times New Roman" w:hAnsi="Times New Roman" w:cs="Times New Roman"/>
          <w:sz w:val="24"/>
          <w:szCs w:val="24"/>
        </w:rPr>
        <w:lastRenderedPageBreak/>
        <w:t xml:space="preserve">significativa, lo primero que salta a la vista es que </w:t>
      </w:r>
      <w:r w:rsidR="00C85634">
        <w:rPr>
          <w:rFonts w:ascii="Times New Roman" w:hAnsi="Times New Roman" w:cs="Times New Roman"/>
          <w:sz w:val="24"/>
          <w:szCs w:val="24"/>
        </w:rPr>
        <w:t xml:space="preserve">en algunos casos </w:t>
      </w:r>
      <w:r w:rsidR="00E840F4">
        <w:rPr>
          <w:rFonts w:ascii="Times New Roman" w:hAnsi="Times New Roman" w:cs="Times New Roman"/>
          <w:sz w:val="24"/>
          <w:szCs w:val="24"/>
        </w:rPr>
        <w:t>no encontramos diferencias tan palpables entre la primera ronda de modelos y los que se presentan en las tablas 8 y 9.</w:t>
      </w:r>
      <w:r w:rsidR="00C85634">
        <w:rPr>
          <w:rFonts w:ascii="Times New Roman" w:hAnsi="Times New Roman" w:cs="Times New Roman"/>
          <w:sz w:val="24"/>
          <w:szCs w:val="24"/>
        </w:rPr>
        <w:t xml:space="preserve"> Por ejemplo, para el caso del modelo de monto per cápita, de nueva cuenta solamente la variable de año resulta significativa. </w:t>
      </w:r>
    </w:p>
    <w:p w14:paraId="3477A623" w14:textId="7D216241" w:rsidR="00027BA1" w:rsidRDefault="00C85634" w:rsidP="00A33D91">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Donde sí encontramos diferencias notables es en el ca</w:t>
      </w:r>
      <w:r w:rsidR="004A080E">
        <w:rPr>
          <w:rFonts w:ascii="Times New Roman" w:hAnsi="Times New Roman" w:cs="Times New Roman"/>
          <w:sz w:val="24"/>
          <w:szCs w:val="24"/>
        </w:rPr>
        <w:t xml:space="preserve">so de número de proyectos, </w:t>
      </w:r>
      <w:r>
        <w:rPr>
          <w:rFonts w:ascii="Times New Roman" w:hAnsi="Times New Roman" w:cs="Times New Roman"/>
          <w:sz w:val="24"/>
          <w:szCs w:val="24"/>
        </w:rPr>
        <w:t>al excluir a los municipios de usos y costumbres de la muestra. El cambio más notable es que algunas de las variables que resultaron significativas con el doble de observaciones, en el caso presente pierden significancia y dejan de ser predictores para la asignación de proyectos.</w:t>
      </w:r>
      <w:r w:rsidR="0096687D">
        <w:rPr>
          <w:rFonts w:ascii="Times New Roman" w:hAnsi="Times New Roman" w:cs="Times New Roman"/>
          <w:sz w:val="24"/>
          <w:szCs w:val="24"/>
        </w:rPr>
        <w:t xml:space="preserve"> </w:t>
      </w:r>
      <w:r w:rsidR="00A33D91">
        <w:rPr>
          <w:rFonts w:ascii="Times New Roman" w:hAnsi="Times New Roman" w:cs="Times New Roman"/>
          <w:sz w:val="24"/>
          <w:szCs w:val="24"/>
        </w:rPr>
        <w:t>A pesar de que aumentó el número de variables del modelo, se redujo la cantidad de variables significativas, quedando en cuatro para el caso de número de proyectos.</w:t>
      </w:r>
      <w:r w:rsidR="0096687D">
        <w:rPr>
          <w:rFonts w:ascii="Times New Roman" w:hAnsi="Times New Roman" w:cs="Times New Roman"/>
          <w:sz w:val="24"/>
          <w:szCs w:val="24"/>
        </w:rPr>
        <w:t xml:space="preserve"> </w:t>
      </w:r>
      <w:r w:rsidR="00A33D91">
        <w:rPr>
          <w:rFonts w:ascii="Times New Roman" w:hAnsi="Times New Roman" w:cs="Times New Roman"/>
          <w:sz w:val="24"/>
          <w:szCs w:val="24"/>
        </w:rPr>
        <w:t>Destacan el caso de</w:t>
      </w:r>
      <w:r w:rsidR="004A080E">
        <w:rPr>
          <w:rFonts w:ascii="Times New Roman" w:hAnsi="Times New Roman" w:cs="Times New Roman"/>
          <w:sz w:val="24"/>
          <w:szCs w:val="24"/>
        </w:rPr>
        <w:t xml:space="preserve"> año previo a elección de gobernador</w:t>
      </w:r>
      <w:r w:rsidR="00A33D91">
        <w:rPr>
          <w:rFonts w:ascii="Times New Roman" w:hAnsi="Times New Roman" w:cs="Times New Roman"/>
          <w:sz w:val="24"/>
          <w:szCs w:val="24"/>
        </w:rPr>
        <w:t xml:space="preserve"> al conservarse con un alto nivel de significancia y de año previo a elección municipal al ser una variable que no había aparecido en los modelos anteriores. Dicha variable sigue la lógica de los votantes duros al presentar un signo negativo, es decir, al ser un año electoral local se asignan menos proyectos a los municipios, pues la premiación de los votantes se lleva a cabo de forma ex post a la elección, no previa. </w:t>
      </w:r>
      <w:r w:rsidR="004A080E">
        <w:rPr>
          <w:rFonts w:ascii="Times New Roman" w:hAnsi="Times New Roman" w:cs="Times New Roman"/>
          <w:sz w:val="24"/>
          <w:szCs w:val="24"/>
        </w:rPr>
        <w:t>Por lo demás, seguimos encontrando que el IDH y año presentan efectos positivos y significativos, aunque, como ya observamos, el IDH también es la variable que presenta la mayor varianza.</w:t>
      </w:r>
    </w:p>
    <w:p w14:paraId="04C35D97" w14:textId="77777777" w:rsidR="00027BA1" w:rsidRDefault="00027BA1">
      <w:pPr>
        <w:rPr>
          <w:rFonts w:ascii="Times New Roman" w:hAnsi="Times New Roman" w:cs="Times New Roman"/>
          <w:sz w:val="24"/>
          <w:szCs w:val="24"/>
        </w:rPr>
      </w:pPr>
      <w:r>
        <w:rPr>
          <w:rFonts w:ascii="Times New Roman" w:hAnsi="Times New Roman" w:cs="Times New Roman"/>
          <w:sz w:val="24"/>
          <w:szCs w:val="24"/>
        </w:rPr>
        <w:br w:type="page"/>
      </w:r>
    </w:p>
    <w:p w14:paraId="6D2D6919" w14:textId="77777777" w:rsidR="00D22BF7" w:rsidRPr="00FE28B6" w:rsidRDefault="00D22BF7" w:rsidP="000635E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Tabla 8</w:t>
      </w:r>
      <w:r w:rsidRPr="00FE28B6">
        <w:rPr>
          <w:rFonts w:ascii="Times New Roman" w:hAnsi="Times New Roman" w:cs="Times New Roman"/>
          <w:b/>
          <w:sz w:val="24"/>
          <w:szCs w:val="24"/>
        </w:rPr>
        <w:t xml:space="preserve">. </w:t>
      </w:r>
      <w:r>
        <w:rPr>
          <w:rFonts w:ascii="Times New Roman" w:hAnsi="Times New Roman" w:cs="Times New Roman"/>
          <w:b/>
          <w:sz w:val="24"/>
          <w:szCs w:val="24"/>
        </w:rPr>
        <w:t>Resultados de los modelos para montos per cápita sin los municipios de usos y costumbres</w:t>
      </w:r>
    </w:p>
    <w:tbl>
      <w:tblPr>
        <w:tblStyle w:val="Sombreadomedio1-nfasis1"/>
        <w:tblW w:w="8969" w:type="dxa"/>
        <w:jc w:val="center"/>
        <w:tblLook w:val="04A0" w:firstRow="1" w:lastRow="0" w:firstColumn="1" w:lastColumn="0" w:noHBand="0" w:noVBand="1"/>
      </w:tblPr>
      <w:tblGrid>
        <w:gridCol w:w="2177"/>
        <w:gridCol w:w="1698"/>
        <w:gridCol w:w="1698"/>
        <w:gridCol w:w="1698"/>
        <w:gridCol w:w="1698"/>
      </w:tblGrid>
      <w:tr w:rsidR="00D22BF7" w:rsidRPr="00F547EA" w14:paraId="38A9B527" w14:textId="77777777" w:rsidTr="00607429">
        <w:trPr>
          <w:cnfStyle w:val="100000000000" w:firstRow="1" w:lastRow="0" w:firstColumn="0" w:lastColumn="0" w:oddVBand="0" w:evenVBand="0" w:oddHBand="0" w:evenHBand="0" w:firstRowFirstColumn="0" w:firstRowLastColumn="0" w:lastRowFirstColumn="0" w:lastRowLastColumn="0"/>
          <w:trHeight w:val="1370"/>
          <w:jc w:val="center"/>
        </w:trPr>
        <w:tc>
          <w:tcPr>
            <w:cnfStyle w:val="001000000000" w:firstRow="0" w:lastRow="0" w:firstColumn="1" w:lastColumn="0" w:oddVBand="0" w:evenVBand="0" w:oddHBand="0" w:evenHBand="0" w:firstRowFirstColumn="0" w:firstRowLastColumn="0" w:lastRowFirstColumn="0" w:lastRowLastColumn="0"/>
            <w:tcW w:w="2177" w:type="dxa"/>
            <w:tcBorders>
              <w:top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0225E2DD" w14:textId="77777777" w:rsidR="00D22BF7" w:rsidRPr="00F547EA" w:rsidRDefault="00D22BF7" w:rsidP="00607429">
            <w:pPr>
              <w:jc w:val="center"/>
              <w:rPr>
                <w:rFonts w:ascii="Times New Roman" w:eastAsia="Times New Roman" w:hAnsi="Times New Roman" w:cs="Times New Roman"/>
                <w:b w:val="0"/>
                <w:bCs w:val="0"/>
                <w:sz w:val="24"/>
                <w:szCs w:val="24"/>
              </w:rPr>
            </w:pPr>
            <w:r w:rsidRPr="00F547EA">
              <w:rPr>
                <w:rFonts w:ascii="Times New Roman" w:eastAsia="Times New Roman" w:hAnsi="Times New Roman" w:cs="Times New Roman"/>
                <w:sz w:val="24"/>
                <w:szCs w:val="24"/>
              </w:rPr>
              <w:t>Variable</w:t>
            </w:r>
          </w:p>
        </w:tc>
        <w:tc>
          <w:tcPr>
            <w:tcW w:w="1698" w:type="dxa"/>
            <w:tcBorders>
              <w:left w:val="single" w:sz="12" w:space="0" w:color="7BA0CD" w:themeColor="accent1" w:themeTint="BF"/>
            </w:tcBorders>
            <w:noWrap/>
            <w:vAlign w:val="center"/>
          </w:tcPr>
          <w:p w14:paraId="027CF8A7" w14:textId="77777777" w:rsidR="00D22BF7" w:rsidRPr="00F547EA" w:rsidRDefault="00D22BF7" w:rsidP="0060742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F547EA">
              <w:rPr>
                <w:rFonts w:ascii="Times New Roman" w:eastAsia="Times New Roman" w:hAnsi="Times New Roman" w:cs="Times New Roman"/>
                <w:sz w:val="24"/>
                <w:szCs w:val="24"/>
              </w:rPr>
              <w:t>Modelo general monto per cápita</w:t>
            </w:r>
          </w:p>
        </w:tc>
        <w:tc>
          <w:tcPr>
            <w:tcW w:w="1698" w:type="dxa"/>
            <w:noWrap/>
            <w:vAlign w:val="center"/>
          </w:tcPr>
          <w:p w14:paraId="0F5BD346" w14:textId="77777777" w:rsidR="00D22BF7" w:rsidRPr="00F547EA" w:rsidRDefault="00D22BF7" w:rsidP="0060742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F547EA">
              <w:rPr>
                <w:rFonts w:ascii="Times New Roman" w:eastAsia="Times New Roman" w:hAnsi="Times New Roman" w:cs="Times New Roman"/>
                <w:sz w:val="24"/>
                <w:szCs w:val="24"/>
              </w:rPr>
              <w:t>Modelo monto per cápita Chiapas</w:t>
            </w:r>
          </w:p>
        </w:tc>
        <w:tc>
          <w:tcPr>
            <w:tcW w:w="1698" w:type="dxa"/>
            <w:noWrap/>
            <w:vAlign w:val="center"/>
          </w:tcPr>
          <w:p w14:paraId="50C4DC2C" w14:textId="77777777" w:rsidR="00D22BF7" w:rsidRPr="00F547EA" w:rsidRDefault="00D22BF7" w:rsidP="0060742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F547EA">
              <w:rPr>
                <w:rFonts w:ascii="Times New Roman" w:eastAsia="Times New Roman" w:hAnsi="Times New Roman" w:cs="Times New Roman"/>
                <w:sz w:val="24"/>
                <w:szCs w:val="24"/>
              </w:rPr>
              <w:t>Modelo monto per cápita Guerrero</w:t>
            </w:r>
          </w:p>
        </w:tc>
        <w:tc>
          <w:tcPr>
            <w:tcW w:w="1698" w:type="dxa"/>
            <w:noWrap/>
            <w:vAlign w:val="center"/>
          </w:tcPr>
          <w:p w14:paraId="2B3F5B99" w14:textId="77777777" w:rsidR="00D22BF7" w:rsidRPr="00F547EA" w:rsidRDefault="00D22BF7" w:rsidP="0060742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F547EA">
              <w:rPr>
                <w:rFonts w:ascii="Times New Roman" w:eastAsia="Times New Roman" w:hAnsi="Times New Roman" w:cs="Times New Roman"/>
                <w:sz w:val="24"/>
                <w:szCs w:val="24"/>
              </w:rPr>
              <w:t>Modelo monto per cápita Oaxaca</w:t>
            </w:r>
          </w:p>
        </w:tc>
      </w:tr>
      <w:tr w:rsidR="002B2803" w:rsidRPr="00F547EA" w14:paraId="30BF7437" w14:textId="77777777" w:rsidTr="00607429">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vMerge w:val="restart"/>
            <w:tcBorders>
              <w:top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61977853" w14:textId="77777777" w:rsidR="002B2803" w:rsidRPr="00F547EA" w:rsidRDefault="002B2803" w:rsidP="00607429">
            <w:pPr>
              <w:jc w:val="center"/>
              <w:rPr>
                <w:rFonts w:ascii="Times New Roman" w:eastAsia="Times New Roman" w:hAnsi="Times New Roman" w:cs="Times New Roman"/>
                <w:b w:val="0"/>
                <w:bCs w:val="0"/>
              </w:rPr>
            </w:pPr>
            <w:r w:rsidRPr="00F547EA">
              <w:rPr>
                <w:rFonts w:ascii="Times New Roman" w:eastAsia="Times New Roman" w:hAnsi="Times New Roman" w:cs="Times New Roman"/>
              </w:rPr>
              <w:t>Margen de victoria</w:t>
            </w:r>
          </w:p>
        </w:tc>
        <w:tc>
          <w:tcPr>
            <w:tcW w:w="1698" w:type="dxa"/>
            <w:tcBorders>
              <w:left w:val="single" w:sz="12" w:space="0" w:color="7BA0CD" w:themeColor="accent1" w:themeTint="BF"/>
            </w:tcBorders>
            <w:noWrap/>
            <w:vAlign w:val="bottom"/>
          </w:tcPr>
          <w:p w14:paraId="0AEFFC38" w14:textId="77777777" w:rsidR="002B2803"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-1.4845218</w:t>
            </w:r>
          </w:p>
        </w:tc>
        <w:tc>
          <w:tcPr>
            <w:tcW w:w="1698" w:type="dxa"/>
            <w:noWrap/>
            <w:vAlign w:val="bottom"/>
          </w:tcPr>
          <w:p w14:paraId="33ABB1AF" w14:textId="77777777" w:rsidR="002B2803"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-7.5759903</w:t>
            </w:r>
          </w:p>
        </w:tc>
        <w:tc>
          <w:tcPr>
            <w:tcW w:w="1698" w:type="dxa"/>
            <w:noWrap/>
            <w:vAlign w:val="bottom"/>
          </w:tcPr>
          <w:p w14:paraId="5CCC4909" w14:textId="77777777" w:rsidR="002B2803"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-2.5511769</w:t>
            </w:r>
          </w:p>
        </w:tc>
        <w:tc>
          <w:tcPr>
            <w:tcW w:w="1698" w:type="dxa"/>
            <w:noWrap/>
            <w:vAlign w:val="bottom"/>
          </w:tcPr>
          <w:p w14:paraId="241ABC88" w14:textId="77777777" w:rsidR="002B2803"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-1.6533746</w:t>
            </w:r>
          </w:p>
        </w:tc>
      </w:tr>
      <w:tr w:rsidR="002B2803" w:rsidRPr="00F547EA" w14:paraId="658EC62A" w14:textId="77777777" w:rsidTr="00607429">
        <w:trPr>
          <w:cnfStyle w:val="000000010000" w:firstRow="0" w:lastRow="0" w:firstColumn="0" w:lastColumn="0" w:oddVBand="0" w:evenVBand="0" w:oddHBand="0" w:evenHBand="1"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3BDA2E68" w14:textId="77777777" w:rsidR="002B2803" w:rsidRPr="00F547EA" w:rsidRDefault="002B2803" w:rsidP="00607429">
            <w:pPr>
              <w:jc w:val="center"/>
              <w:rPr>
                <w:rFonts w:ascii="Times New Roman" w:eastAsia="Times New Roman" w:hAnsi="Times New Roman" w:cs="Times New Roman"/>
                <w:b w:val="0"/>
                <w:bCs w:val="0"/>
              </w:rPr>
            </w:pPr>
          </w:p>
        </w:tc>
        <w:tc>
          <w:tcPr>
            <w:tcW w:w="1698" w:type="dxa"/>
            <w:tcBorders>
              <w:left w:val="single" w:sz="12" w:space="0" w:color="7BA0CD" w:themeColor="accent1" w:themeTint="BF"/>
            </w:tcBorders>
            <w:noWrap/>
            <w:vAlign w:val="bottom"/>
          </w:tcPr>
          <w:p w14:paraId="3C33301C"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5.2843172</w:t>
            </w:r>
          </w:p>
        </w:tc>
        <w:tc>
          <w:tcPr>
            <w:tcW w:w="1698" w:type="dxa"/>
            <w:noWrap/>
            <w:vAlign w:val="bottom"/>
          </w:tcPr>
          <w:p w14:paraId="12C98455"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10.643178</w:t>
            </w:r>
          </w:p>
        </w:tc>
        <w:tc>
          <w:tcPr>
            <w:tcW w:w="1698" w:type="dxa"/>
            <w:noWrap/>
            <w:vAlign w:val="bottom"/>
          </w:tcPr>
          <w:p w14:paraId="57E66268"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4.3191369</w:t>
            </w:r>
          </w:p>
        </w:tc>
        <w:tc>
          <w:tcPr>
            <w:tcW w:w="1698" w:type="dxa"/>
            <w:noWrap/>
            <w:vAlign w:val="bottom"/>
          </w:tcPr>
          <w:p w14:paraId="3C5A0C18"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8.5702613</w:t>
            </w:r>
          </w:p>
        </w:tc>
      </w:tr>
      <w:tr w:rsidR="002B2803" w:rsidRPr="00F547EA" w14:paraId="09D052EA" w14:textId="77777777" w:rsidTr="00607429">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3155241B" w14:textId="77777777" w:rsidR="002B2803" w:rsidRPr="00F547EA" w:rsidRDefault="002B2803" w:rsidP="00607429">
            <w:pPr>
              <w:jc w:val="center"/>
              <w:rPr>
                <w:rFonts w:ascii="Times New Roman" w:eastAsia="Times New Roman" w:hAnsi="Times New Roman" w:cs="Times New Roman"/>
                <w:b w:val="0"/>
                <w:bCs w:val="0"/>
              </w:rPr>
            </w:pPr>
          </w:p>
        </w:tc>
        <w:tc>
          <w:tcPr>
            <w:tcW w:w="1698" w:type="dxa"/>
            <w:tcBorders>
              <w:left w:val="single" w:sz="12" w:space="0" w:color="7BA0CD" w:themeColor="accent1" w:themeTint="BF"/>
            </w:tcBorders>
            <w:noWrap/>
            <w:vAlign w:val="bottom"/>
          </w:tcPr>
          <w:p w14:paraId="2A56FA66" w14:textId="77777777" w:rsidR="002B2803"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0.7788</w:t>
            </w:r>
          </w:p>
        </w:tc>
        <w:tc>
          <w:tcPr>
            <w:tcW w:w="1698" w:type="dxa"/>
            <w:noWrap/>
            <w:vAlign w:val="bottom"/>
          </w:tcPr>
          <w:p w14:paraId="65D0E5AE" w14:textId="77777777" w:rsidR="002B2803"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0.4766</w:t>
            </w:r>
          </w:p>
        </w:tc>
        <w:tc>
          <w:tcPr>
            <w:tcW w:w="1698" w:type="dxa"/>
            <w:noWrap/>
            <w:vAlign w:val="bottom"/>
          </w:tcPr>
          <w:p w14:paraId="1A08411E" w14:textId="77777777" w:rsidR="002B2803"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0.5547</w:t>
            </w:r>
          </w:p>
        </w:tc>
        <w:tc>
          <w:tcPr>
            <w:tcW w:w="1698" w:type="dxa"/>
            <w:noWrap/>
            <w:vAlign w:val="bottom"/>
          </w:tcPr>
          <w:p w14:paraId="49B6EDDF" w14:textId="77777777" w:rsidR="002B2803"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0.847</w:t>
            </w:r>
          </w:p>
        </w:tc>
      </w:tr>
      <w:tr w:rsidR="002B2803" w:rsidRPr="00F547EA" w14:paraId="35D9D2FD" w14:textId="77777777" w:rsidTr="00607429">
        <w:trPr>
          <w:cnfStyle w:val="000000010000" w:firstRow="0" w:lastRow="0" w:firstColumn="0" w:lastColumn="0" w:oddVBand="0" w:evenVBand="0" w:oddHBand="0" w:evenHBand="1"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vMerge w:val="restart"/>
            <w:tcBorders>
              <w:top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180998C0" w14:textId="77777777" w:rsidR="002B2803" w:rsidRPr="00F547EA" w:rsidRDefault="002B2803" w:rsidP="00607429">
            <w:pPr>
              <w:jc w:val="center"/>
              <w:rPr>
                <w:rFonts w:ascii="Times New Roman" w:eastAsia="Times New Roman" w:hAnsi="Times New Roman" w:cs="Times New Roman"/>
                <w:b w:val="0"/>
                <w:bCs w:val="0"/>
              </w:rPr>
            </w:pPr>
            <w:r w:rsidRPr="00F547EA">
              <w:rPr>
                <w:rFonts w:ascii="Times New Roman" w:eastAsia="Times New Roman" w:hAnsi="Times New Roman" w:cs="Times New Roman"/>
              </w:rPr>
              <w:t>Mismo partido en el poder</w:t>
            </w:r>
          </w:p>
        </w:tc>
        <w:tc>
          <w:tcPr>
            <w:tcW w:w="1698" w:type="dxa"/>
            <w:tcBorders>
              <w:left w:val="single" w:sz="12" w:space="0" w:color="7BA0CD" w:themeColor="accent1" w:themeTint="BF"/>
            </w:tcBorders>
            <w:noWrap/>
            <w:vAlign w:val="bottom"/>
          </w:tcPr>
          <w:p w14:paraId="4335CB00"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-38.745385</w:t>
            </w:r>
          </w:p>
        </w:tc>
        <w:tc>
          <w:tcPr>
            <w:tcW w:w="1698" w:type="dxa"/>
            <w:noWrap/>
            <w:vAlign w:val="bottom"/>
          </w:tcPr>
          <w:p w14:paraId="01B9A342"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-291.29816</w:t>
            </w:r>
          </w:p>
        </w:tc>
        <w:tc>
          <w:tcPr>
            <w:tcW w:w="1698" w:type="dxa"/>
            <w:noWrap/>
            <w:vAlign w:val="bottom"/>
          </w:tcPr>
          <w:p w14:paraId="49B8CFCD"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30.861767</w:t>
            </w:r>
          </w:p>
        </w:tc>
        <w:tc>
          <w:tcPr>
            <w:tcW w:w="1698" w:type="dxa"/>
            <w:noWrap/>
            <w:vAlign w:val="bottom"/>
          </w:tcPr>
          <w:p w14:paraId="5208C77C"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193.34641</w:t>
            </w:r>
          </w:p>
        </w:tc>
      </w:tr>
      <w:tr w:rsidR="002B2803" w:rsidRPr="00F547EA" w14:paraId="444A5C6E" w14:textId="77777777" w:rsidTr="00607429">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007FFFD1" w14:textId="77777777" w:rsidR="002B2803" w:rsidRPr="00F547EA" w:rsidRDefault="002B2803" w:rsidP="00607429">
            <w:pPr>
              <w:jc w:val="center"/>
              <w:rPr>
                <w:rFonts w:ascii="Times New Roman" w:eastAsia="Times New Roman" w:hAnsi="Times New Roman" w:cs="Times New Roman"/>
                <w:b w:val="0"/>
                <w:bCs w:val="0"/>
              </w:rPr>
            </w:pPr>
          </w:p>
        </w:tc>
        <w:tc>
          <w:tcPr>
            <w:tcW w:w="1698" w:type="dxa"/>
            <w:tcBorders>
              <w:left w:val="single" w:sz="12" w:space="0" w:color="7BA0CD" w:themeColor="accent1" w:themeTint="BF"/>
            </w:tcBorders>
            <w:noWrap/>
            <w:vAlign w:val="bottom"/>
          </w:tcPr>
          <w:p w14:paraId="4985A87A" w14:textId="77777777" w:rsidR="002B2803"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125.98015</w:t>
            </w:r>
          </w:p>
        </w:tc>
        <w:tc>
          <w:tcPr>
            <w:tcW w:w="1698" w:type="dxa"/>
            <w:noWrap/>
            <w:vAlign w:val="bottom"/>
          </w:tcPr>
          <w:p w14:paraId="279D28F7" w14:textId="77777777" w:rsidR="002B2803"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258.531</w:t>
            </w:r>
          </w:p>
        </w:tc>
        <w:tc>
          <w:tcPr>
            <w:tcW w:w="1698" w:type="dxa"/>
            <w:noWrap/>
            <w:vAlign w:val="bottom"/>
          </w:tcPr>
          <w:p w14:paraId="53394619" w14:textId="77777777" w:rsidR="002B2803"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84.078047</w:t>
            </w:r>
          </w:p>
        </w:tc>
        <w:tc>
          <w:tcPr>
            <w:tcW w:w="1698" w:type="dxa"/>
            <w:noWrap/>
            <w:vAlign w:val="bottom"/>
          </w:tcPr>
          <w:p w14:paraId="57431A07" w14:textId="77777777" w:rsidR="002B2803"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222.39748</w:t>
            </w:r>
          </w:p>
        </w:tc>
      </w:tr>
      <w:tr w:rsidR="002B2803" w:rsidRPr="00F547EA" w14:paraId="29C28C40" w14:textId="77777777" w:rsidTr="00607429">
        <w:trPr>
          <w:cnfStyle w:val="000000010000" w:firstRow="0" w:lastRow="0" w:firstColumn="0" w:lastColumn="0" w:oddVBand="0" w:evenVBand="0" w:oddHBand="0" w:evenHBand="1"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73C8B249" w14:textId="77777777" w:rsidR="002B2803" w:rsidRPr="00F547EA" w:rsidRDefault="002B2803" w:rsidP="00607429">
            <w:pPr>
              <w:jc w:val="center"/>
              <w:rPr>
                <w:rFonts w:ascii="Times New Roman" w:eastAsia="Times New Roman" w:hAnsi="Times New Roman" w:cs="Times New Roman"/>
                <w:b w:val="0"/>
                <w:bCs w:val="0"/>
              </w:rPr>
            </w:pPr>
          </w:p>
        </w:tc>
        <w:tc>
          <w:tcPr>
            <w:tcW w:w="1698" w:type="dxa"/>
            <w:tcBorders>
              <w:left w:val="single" w:sz="12" w:space="0" w:color="7BA0CD" w:themeColor="accent1" w:themeTint="BF"/>
            </w:tcBorders>
            <w:noWrap/>
            <w:vAlign w:val="bottom"/>
          </w:tcPr>
          <w:p w14:paraId="756CA1E9"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0.7584</w:t>
            </w:r>
          </w:p>
        </w:tc>
        <w:tc>
          <w:tcPr>
            <w:tcW w:w="1698" w:type="dxa"/>
            <w:noWrap/>
            <w:vAlign w:val="bottom"/>
          </w:tcPr>
          <w:p w14:paraId="638C7089"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0.2599</w:t>
            </w:r>
          </w:p>
        </w:tc>
        <w:tc>
          <w:tcPr>
            <w:tcW w:w="1698" w:type="dxa"/>
            <w:noWrap/>
            <w:vAlign w:val="bottom"/>
          </w:tcPr>
          <w:p w14:paraId="1DC63294"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0.7136</w:t>
            </w:r>
          </w:p>
        </w:tc>
        <w:tc>
          <w:tcPr>
            <w:tcW w:w="1698" w:type="dxa"/>
            <w:noWrap/>
            <w:vAlign w:val="bottom"/>
          </w:tcPr>
          <w:p w14:paraId="578F2670"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0.3846</w:t>
            </w:r>
          </w:p>
        </w:tc>
      </w:tr>
      <w:tr w:rsidR="002B2803" w:rsidRPr="00F547EA" w14:paraId="295E6E94" w14:textId="77777777" w:rsidTr="00607429">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vMerge w:val="restart"/>
            <w:tcBorders>
              <w:top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278B4CDE" w14:textId="77777777" w:rsidR="002B2803" w:rsidRPr="00F547EA" w:rsidRDefault="002B2803" w:rsidP="00607429">
            <w:pPr>
              <w:jc w:val="center"/>
              <w:rPr>
                <w:rFonts w:ascii="Times New Roman" w:eastAsia="Times New Roman" w:hAnsi="Times New Roman" w:cs="Times New Roman"/>
                <w:b w:val="0"/>
                <w:bCs w:val="0"/>
              </w:rPr>
            </w:pPr>
            <w:r w:rsidRPr="00F547EA">
              <w:rPr>
                <w:rFonts w:ascii="Times New Roman" w:eastAsia="Times New Roman" w:hAnsi="Times New Roman" w:cs="Times New Roman"/>
              </w:rPr>
              <w:t>IDH</w:t>
            </w:r>
          </w:p>
        </w:tc>
        <w:tc>
          <w:tcPr>
            <w:tcW w:w="1698" w:type="dxa"/>
            <w:tcBorders>
              <w:left w:val="single" w:sz="12" w:space="0" w:color="7BA0CD" w:themeColor="accent1" w:themeTint="BF"/>
            </w:tcBorders>
            <w:noWrap/>
            <w:vAlign w:val="bottom"/>
          </w:tcPr>
          <w:p w14:paraId="26109D6B" w14:textId="77777777" w:rsidR="002B2803"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-478.34569</w:t>
            </w:r>
          </w:p>
        </w:tc>
        <w:tc>
          <w:tcPr>
            <w:tcW w:w="1698" w:type="dxa"/>
            <w:noWrap/>
            <w:vAlign w:val="bottom"/>
          </w:tcPr>
          <w:p w14:paraId="6673D142" w14:textId="77777777" w:rsidR="002B2803"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-3478.6652</w:t>
            </w:r>
          </w:p>
        </w:tc>
        <w:tc>
          <w:tcPr>
            <w:tcW w:w="1698" w:type="dxa"/>
            <w:noWrap/>
            <w:vAlign w:val="bottom"/>
          </w:tcPr>
          <w:p w14:paraId="042FC472" w14:textId="77777777" w:rsidR="002B2803"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-604.02171</w:t>
            </w:r>
          </w:p>
        </w:tc>
        <w:tc>
          <w:tcPr>
            <w:tcW w:w="1698" w:type="dxa"/>
            <w:noWrap/>
            <w:vAlign w:val="bottom"/>
          </w:tcPr>
          <w:p w14:paraId="378FF95E" w14:textId="77777777" w:rsidR="002B2803"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2099.9482</w:t>
            </w:r>
          </w:p>
        </w:tc>
      </w:tr>
      <w:tr w:rsidR="002B2803" w:rsidRPr="00F547EA" w14:paraId="05E988BA" w14:textId="77777777" w:rsidTr="00607429">
        <w:trPr>
          <w:cnfStyle w:val="000000010000" w:firstRow="0" w:lastRow="0" w:firstColumn="0" w:lastColumn="0" w:oddVBand="0" w:evenVBand="0" w:oddHBand="0" w:evenHBand="1"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26C4FF08" w14:textId="77777777" w:rsidR="002B2803" w:rsidRPr="00F547EA" w:rsidRDefault="002B2803" w:rsidP="00607429">
            <w:pPr>
              <w:jc w:val="center"/>
              <w:rPr>
                <w:rFonts w:ascii="Times New Roman" w:eastAsia="Times New Roman" w:hAnsi="Times New Roman" w:cs="Times New Roman"/>
                <w:b w:val="0"/>
                <w:bCs w:val="0"/>
              </w:rPr>
            </w:pPr>
          </w:p>
        </w:tc>
        <w:tc>
          <w:tcPr>
            <w:tcW w:w="1698" w:type="dxa"/>
            <w:tcBorders>
              <w:left w:val="single" w:sz="12" w:space="0" w:color="7BA0CD" w:themeColor="accent1" w:themeTint="BF"/>
            </w:tcBorders>
            <w:noWrap/>
            <w:vAlign w:val="bottom"/>
          </w:tcPr>
          <w:p w14:paraId="6E789285"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1157.8455</w:t>
            </w:r>
          </w:p>
        </w:tc>
        <w:tc>
          <w:tcPr>
            <w:tcW w:w="1698" w:type="dxa"/>
            <w:noWrap/>
            <w:vAlign w:val="bottom"/>
          </w:tcPr>
          <w:p w14:paraId="2299F67F"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2758.2452</w:t>
            </w:r>
          </w:p>
        </w:tc>
        <w:tc>
          <w:tcPr>
            <w:tcW w:w="1698" w:type="dxa"/>
            <w:noWrap/>
            <w:vAlign w:val="bottom"/>
          </w:tcPr>
          <w:p w14:paraId="07923B7C"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802.56043</w:t>
            </w:r>
          </w:p>
        </w:tc>
        <w:tc>
          <w:tcPr>
            <w:tcW w:w="1698" w:type="dxa"/>
            <w:noWrap/>
            <w:vAlign w:val="bottom"/>
          </w:tcPr>
          <w:p w14:paraId="1000B341"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1942.7247</w:t>
            </w:r>
          </w:p>
        </w:tc>
      </w:tr>
      <w:tr w:rsidR="002B2803" w:rsidRPr="00F547EA" w14:paraId="687064FB" w14:textId="77777777" w:rsidTr="00607429">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6B2EFF51" w14:textId="77777777" w:rsidR="002B2803" w:rsidRPr="00F547EA" w:rsidRDefault="002B2803" w:rsidP="00607429">
            <w:pPr>
              <w:jc w:val="center"/>
              <w:rPr>
                <w:rFonts w:ascii="Times New Roman" w:eastAsia="Times New Roman" w:hAnsi="Times New Roman" w:cs="Times New Roman"/>
                <w:b w:val="0"/>
                <w:bCs w:val="0"/>
              </w:rPr>
            </w:pPr>
          </w:p>
        </w:tc>
        <w:tc>
          <w:tcPr>
            <w:tcW w:w="1698" w:type="dxa"/>
            <w:tcBorders>
              <w:left w:val="single" w:sz="12" w:space="0" w:color="7BA0CD" w:themeColor="accent1" w:themeTint="BF"/>
            </w:tcBorders>
            <w:noWrap/>
            <w:vAlign w:val="bottom"/>
          </w:tcPr>
          <w:p w14:paraId="0505A5AA" w14:textId="77777777" w:rsidR="002B2803"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0.6795</w:t>
            </w:r>
          </w:p>
        </w:tc>
        <w:tc>
          <w:tcPr>
            <w:tcW w:w="1698" w:type="dxa"/>
            <w:noWrap/>
            <w:vAlign w:val="bottom"/>
          </w:tcPr>
          <w:p w14:paraId="44B11923" w14:textId="77777777" w:rsidR="002B2803"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0.2072</w:t>
            </w:r>
          </w:p>
        </w:tc>
        <w:tc>
          <w:tcPr>
            <w:tcW w:w="1698" w:type="dxa"/>
            <w:noWrap/>
            <w:vAlign w:val="bottom"/>
          </w:tcPr>
          <w:p w14:paraId="591E3E43" w14:textId="77777777" w:rsidR="002B2803"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0.4517</w:t>
            </w:r>
          </w:p>
        </w:tc>
        <w:tc>
          <w:tcPr>
            <w:tcW w:w="1698" w:type="dxa"/>
            <w:noWrap/>
            <w:vAlign w:val="bottom"/>
          </w:tcPr>
          <w:p w14:paraId="7847756A" w14:textId="77777777" w:rsidR="002B2803"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0.2797</w:t>
            </w:r>
          </w:p>
        </w:tc>
      </w:tr>
      <w:tr w:rsidR="002B2803" w:rsidRPr="00F547EA" w14:paraId="31BF67B9" w14:textId="77777777" w:rsidTr="00607429">
        <w:trPr>
          <w:cnfStyle w:val="000000010000" w:firstRow="0" w:lastRow="0" w:firstColumn="0" w:lastColumn="0" w:oddVBand="0" w:evenVBand="0" w:oddHBand="0" w:evenHBand="1"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vMerge w:val="restart"/>
            <w:tcBorders>
              <w:top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3ADEEC97" w14:textId="77777777" w:rsidR="002B2803" w:rsidRPr="00F547EA" w:rsidRDefault="002B2803" w:rsidP="00607429">
            <w:pPr>
              <w:jc w:val="center"/>
              <w:rPr>
                <w:rFonts w:ascii="Times New Roman" w:eastAsia="Times New Roman" w:hAnsi="Times New Roman" w:cs="Times New Roman"/>
                <w:b w:val="0"/>
                <w:bCs w:val="0"/>
              </w:rPr>
            </w:pPr>
            <w:r w:rsidRPr="00F547EA">
              <w:rPr>
                <w:rFonts w:ascii="Times New Roman" w:eastAsia="Times New Roman" w:hAnsi="Times New Roman" w:cs="Times New Roman"/>
              </w:rPr>
              <w:t>Cambio en IDH</w:t>
            </w:r>
          </w:p>
        </w:tc>
        <w:tc>
          <w:tcPr>
            <w:tcW w:w="1698" w:type="dxa"/>
            <w:tcBorders>
              <w:left w:val="single" w:sz="12" w:space="0" w:color="7BA0CD" w:themeColor="accent1" w:themeTint="BF"/>
            </w:tcBorders>
            <w:noWrap/>
            <w:vAlign w:val="bottom"/>
          </w:tcPr>
          <w:p w14:paraId="15273CEB"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15.584883</w:t>
            </w:r>
          </w:p>
        </w:tc>
        <w:tc>
          <w:tcPr>
            <w:tcW w:w="1698" w:type="dxa"/>
            <w:noWrap/>
            <w:vAlign w:val="bottom"/>
          </w:tcPr>
          <w:p w14:paraId="1D58B19B"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35.681111</w:t>
            </w:r>
          </w:p>
        </w:tc>
        <w:tc>
          <w:tcPr>
            <w:tcW w:w="1698" w:type="dxa"/>
            <w:noWrap/>
            <w:vAlign w:val="bottom"/>
          </w:tcPr>
          <w:p w14:paraId="6EA23D8E"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-7.0007459</w:t>
            </w:r>
          </w:p>
        </w:tc>
        <w:tc>
          <w:tcPr>
            <w:tcW w:w="1698" w:type="dxa"/>
            <w:noWrap/>
            <w:vAlign w:val="bottom"/>
          </w:tcPr>
          <w:p w14:paraId="61205DE8"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7.4617418</w:t>
            </w:r>
          </w:p>
        </w:tc>
      </w:tr>
      <w:tr w:rsidR="002B2803" w:rsidRPr="00F547EA" w14:paraId="2B0E4B83" w14:textId="77777777" w:rsidTr="00607429">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16FAE0E7" w14:textId="77777777" w:rsidR="002B2803" w:rsidRPr="00F547EA" w:rsidRDefault="002B2803" w:rsidP="00607429">
            <w:pPr>
              <w:jc w:val="center"/>
              <w:rPr>
                <w:rFonts w:ascii="Times New Roman" w:eastAsia="Times New Roman" w:hAnsi="Times New Roman" w:cs="Times New Roman"/>
                <w:b w:val="0"/>
                <w:bCs w:val="0"/>
              </w:rPr>
            </w:pPr>
          </w:p>
        </w:tc>
        <w:tc>
          <w:tcPr>
            <w:tcW w:w="1698" w:type="dxa"/>
            <w:tcBorders>
              <w:left w:val="single" w:sz="12" w:space="0" w:color="7BA0CD" w:themeColor="accent1" w:themeTint="BF"/>
            </w:tcBorders>
            <w:noWrap/>
            <w:vAlign w:val="bottom"/>
          </w:tcPr>
          <w:p w14:paraId="3192B657" w14:textId="77777777" w:rsidR="002B2803"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18.647206</w:t>
            </w:r>
          </w:p>
        </w:tc>
        <w:tc>
          <w:tcPr>
            <w:tcW w:w="1698" w:type="dxa"/>
            <w:noWrap/>
            <w:vAlign w:val="bottom"/>
          </w:tcPr>
          <w:p w14:paraId="6469F8D3" w14:textId="77777777" w:rsidR="002B2803"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41.79216</w:t>
            </w:r>
          </w:p>
        </w:tc>
        <w:tc>
          <w:tcPr>
            <w:tcW w:w="1698" w:type="dxa"/>
            <w:noWrap/>
            <w:vAlign w:val="bottom"/>
          </w:tcPr>
          <w:p w14:paraId="507BB2F5" w14:textId="77777777" w:rsidR="002B2803"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10.848593</w:t>
            </w:r>
          </w:p>
        </w:tc>
        <w:tc>
          <w:tcPr>
            <w:tcW w:w="1698" w:type="dxa"/>
            <w:noWrap/>
            <w:vAlign w:val="bottom"/>
          </w:tcPr>
          <w:p w14:paraId="348D47F5" w14:textId="77777777" w:rsidR="002B2803"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32.014061</w:t>
            </w:r>
          </w:p>
        </w:tc>
      </w:tr>
      <w:tr w:rsidR="002B2803" w:rsidRPr="00F547EA" w14:paraId="1265DEAC" w14:textId="77777777" w:rsidTr="00607429">
        <w:trPr>
          <w:cnfStyle w:val="000000010000" w:firstRow="0" w:lastRow="0" w:firstColumn="0" w:lastColumn="0" w:oddVBand="0" w:evenVBand="0" w:oddHBand="0" w:evenHBand="1"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5E739B55" w14:textId="77777777" w:rsidR="002B2803" w:rsidRPr="00F547EA" w:rsidRDefault="002B2803" w:rsidP="00607429">
            <w:pPr>
              <w:jc w:val="center"/>
              <w:rPr>
                <w:rFonts w:ascii="Times New Roman" w:eastAsia="Times New Roman" w:hAnsi="Times New Roman" w:cs="Times New Roman"/>
                <w:b w:val="0"/>
                <w:bCs w:val="0"/>
              </w:rPr>
            </w:pPr>
          </w:p>
        </w:tc>
        <w:tc>
          <w:tcPr>
            <w:tcW w:w="1698" w:type="dxa"/>
            <w:tcBorders>
              <w:left w:val="single" w:sz="12" w:space="0" w:color="7BA0CD" w:themeColor="accent1" w:themeTint="BF"/>
            </w:tcBorders>
            <w:noWrap/>
            <w:vAlign w:val="bottom"/>
          </w:tcPr>
          <w:p w14:paraId="141AF54E"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0.4033</w:t>
            </w:r>
          </w:p>
        </w:tc>
        <w:tc>
          <w:tcPr>
            <w:tcW w:w="1698" w:type="dxa"/>
            <w:noWrap/>
            <w:vAlign w:val="bottom"/>
          </w:tcPr>
          <w:p w14:paraId="69417A9D"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0.3932</w:t>
            </w:r>
          </w:p>
        </w:tc>
        <w:tc>
          <w:tcPr>
            <w:tcW w:w="1698" w:type="dxa"/>
            <w:noWrap/>
            <w:vAlign w:val="bottom"/>
          </w:tcPr>
          <w:p w14:paraId="1009CB9B"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0.5187</w:t>
            </w:r>
          </w:p>
        </w:tc>
        <w:tc>
          <w:tcPr>
            <w:tcW w:w="1698" w:type="dxa"/>
            <w:noWrap/>
            <w:vAlign w:val="bottom"/>
          </w:tcPr>
          <w:p w14:paraId="62D4A25E"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0.8157</w:t>
            </w:r>
          </w:p>
        </w:tc>
      </w:tr>
      <w:tr w:rsidR="002B2803" w:rsidRPr="00F547EA" w14:paraId="6AB17C95" w14:textId="77777777" w:rsidTr="00607429">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vMerge w:val="restart"/>
            <w:tcBorders>
              <w:top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691C1CE3" w14:textId="77777777" w:rsidR="002B2803" w:rsidRPr="00F547EA" w:rsidRDefault="002B2803" w:rsidP="00607429">
            <w:pPr>
              <w:jc w:val="center"/>
              <w:rPr>
                <w:rFonts w:ascii="Times New Roman" w:eastAsia="Times New Roman" w:hAnsi="Times New Roman" w:cs="Times New Roman"/>
                <w:b w:val="0"/>
                <w:bCs w:val="0"/>
              </w:rPr>
            </w:pPr>
            <w:r w:rsidRPr="00F547EA">
              <w:rPr>
                <w:rFonts w:ascii="Times New Roman" w:eastAsia="Times New Roman" w:hAnsi="Times New Roman" w:cs="Times New Roman"/>
              </w:rPr>
              <w:t>Año</w:t>
            </w:r>
          </w:p>
        </w:tc>
        <w:tc>
          <w:tcPr>
            <w:tcW w:w="1698" w:type="dxa"/>
            <w:tcBorders>
              <w:left w:val="single" w:sz="12" w:space="0" w:color="7BA0CD" w:themeColor="accent1" w:themeTint="BF"/>
            </w:tcBorders>
            <w:noWrap/>
            <w:vAlign w:val="bottom"/>
          </w:tcPr>
          <w:p w14:paraId="768D1757" w14:textId="77777777" w:rsidR="002B2803"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98.320484</w:t>
            </w:r>
          </w:p>
        </w:tc>
        <w:tc>
          <w:tcPr>
            <w:tcW w:w="1698" w:type="dxa"/>
            <w:noWrap/>
            <w:vAlign w:val="bottom"/>
          </w:tcPr>
          <w:p w14:paraId="1DC54D82" w14:textId="77777777" w:rsidR="002B2803"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305.17099</w:t>
            </w:r>
          </w:p>
        </w:tc>
        <w:tc>
          <w:tcPr>
            <w:tcW w:w="1698" w:type="dxa"/>
            <w:noWrap/>
            <w:vAlign w:val="bottom"/>
          </w:tcPr>
          <w:p w14:paraId="353B3318" w14:textId="77777777" w:rsidR="002B2803"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27.464479</w:t>
            </w:r>
          </w:p>
        </w:tc>
        <w:tc>
          <w:tcPr>
            <w:tcW w:w="1698" w:type="dxa"/>
            <w:noWrap/>
            <w:vAlign w:val="bottom"/>
          </w:tcPr>
          <w:p w14:paraId="3B23E268" w14:textId="77777777" w:rsidR="002B2803"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-21.02789</w:t>
            </w:r>
          </w:p>
        </w:tc>
      </w:tr>
      <w:tr w:rsidR="002B2803" w:rsidRPr="00F547EA" w14:paraId="65ED8631" w14:textId="77777777" w:rsidTr="00607429">
        <w:trPr>
          <w:cnfStyle w:val="000000010000" w:firstRow="0" w:lastRow="0" w:firstColumn="0" w:lastColumn="0" w:oddVBand="0" w:evenVBand="0" w:oddHBand="0" w:evenHBand="1"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360540F0" w14:textId="77777777" w:rsidR="002B2803" w:rsidRPr="00F547EA" w:rsidRDefault="002B2803" w:rsidP="00607429">
            <w:pPr>
              <w:jc w:val="center"/>
              <w:rPr>
                <w:rFonts w:ascii="Times New Roman" w:eastAsia="Times New Roman" w:hAnsi="Times New Roman" w:cs="Times New Roman"/>
                <w:b w:val="0"/>
                <w:bCs w:val="0"/>
              </w:rPr>
            </w:pPr>
          </w:p>
        </w:tc>
        <w:tc>
          <w:tcPr>
            <w:tcW w:w="1698" w:type="dxa"/>
            <w:tcBorders>
              <w:left w:val="single" w:sz="12" w:space="0" w:color="7BA0CD" w:themeColor="accent1" w:themeTint="BF"/>
            </w:tcBorders>
            <w:noWrap/>
            <w:vAlign w:val="bottom"/>
          </w:tcPr>
          <w:p w14:paraId="029904BE"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41.600401</w:t>
            </w:r>
          </w:p>
        </w:tc>
        <w:tc>
          <w:tcPr>
            <w:tcW w:w="1698" w:type="dxa"/>
            <w:noWrap/>
            <w:vAlign w:val="bottom"/>
          </w:tcPr>
          <w:p w14:paraId="4357A06D"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146.2353</w:t>
            </w:r>
          </w:p>
        </w:tc>
        <w:tc>
          <w:tcPr>
            <w:tcW w:w="1698" w:type="dxa"/>
            <w:noWrap/>
            <w:vAlign w:val="bottom"/>
          </w:tcPr>
          <w:p w14:paraId="13B2404E"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25.432657</w:t>
            </w:r>
          </w:p>
        </w:tc>
        <w:tc>
          <w:tcPr>
            <w:tcW w:w="1698" w:type="dxa"/>
            <w:noWrap/>
            <w:vAlign w:val="bottom"/>
          </w:tcPr>
          <w:p w14:paraId="3859BE7D"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115.65884</w:t>
            </w:r>
          </w:p>
        </w:tc>
      </w:tr>
      <w:tr w:rsidR="002B2803" w:rsidRPr="00F547EA" w14:paraId="3CA44618" w14:textId="77777777" w:rsidTr="00607429">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6441FC43" w14:textId="77777777" w:rsidR="002B2803" w:rsidRPr="00F547EA" w:rsidRDefault="002B2803" w:rsidP="00607429">
            <w:pPr>
              <w:jc w:val="center"/>
              <w:rPr>
                <w:rFonts w:ascii="Times New Roman" w:eastAsia="Times New Roman" w:hAnsi="Times New Roman" w:cs="Times New Roman"/>
                <w:b w:val="0"/>
                <w:bCs w:val="0"/>
              </w:rPr>
            </w:pPr>
          </w:p>
        </w:tc>
        <w:tc>
          <w:tcPr>
            <w:tcW w:w="1698" w:type="dxa"/>
            <w:tcBorders>
              <w:left w:val="single" w:sz="12" w:space="0" w:color="7BA0CD" w:themeColor="accent1" w:themeTint="BF"/>
            </w:tcBorders>
            <w:noWrap/>
            <w:vAlign w:val="bottom"/>
          </w:tcPr>
          <w:p w14:paraId="527776D9" w14:textId="77777777" w:rsidR="002B2803" w:rsidRPr="000635E1"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0635E1">
              <w:rPr>
                <w:rFonts w:ascii="Calibri" w:hAnsi="Calibri"/>
                <w:b/>
                <w:color w:val="000000"/>
              </w:rPr>
              <w:t>0.0181</w:t>
            </w:r>
          </w:p>
        </w:tc>
        <w:tc>
          <w:tcPr>
            <w:tcW w:w="1698" w:type="dxa"/>
            <w:noWrap/>
            <w:vAlign w:val="bottom"/>
          </w:tcPr>
          <w:p w14:paraId="4C173ADF" w14:textId="77777777" w:rsidR="002B2803" w:rsidRPr="000635E1"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0635E1">
              <w:rPr>
                <w:rFonts w:ascii="Calibri" w:hAnsi="Calibri"/>
                <w:b/>
                <w:color w:val="000000"/>
              </w:rPr>
              <w:t>0.0369</w:t>
            </w:r>
          </w:p>
        </w:tc>
        <w:tc>
          <w:tcPr>
            <w:tcW w:w="1698" w:type="dxa"/>
            <w:noWrap/>
            <w:vAlign w:val="bottom"/>
          </w:tcPr>
          <w:p w14:paraId="323A6743" w14:textId="77777777" w:rsidR="002B2803"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0.2802</w:t>
            </w:r>
          </w:p>
        </w:tc>
        <w:tc>
          <w:tcPr>
            <w:tcW w:w="1698" w:type="dxa"/>
            <w:noWrap/>
            <w:vAlign w:val="bottom"/>
          </w:tcPr>
          <w:p w14:paraId="05983E8C" w14:textId="77777777" w:rsidR="002B2803"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0.8557</w:t>
            </w:r>
          </w:p>
        </w:tc>
      </w:tr>
      <w:tr w:rsidR="002B2803" w:rsidRPr="00F547EA" w14:paraId="1B8C5325" w14:textId="77777777" w:rsidTr="00607429">
        <w:trPr>
          <w:cnfStyle w:val="000000010000" w:firstRow="0" w:lastRow="0" w:firstColumn="0" w:lastColumn="0" w:oddVBand="0" w:evenVBand="0" w:oddHBand="0" w:evenHBand="1"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vMerge w:val="restart"/>
            <w:tcBorders>
              <w:top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0521DA45" w14:textId="77777777" w:rsidR="002B2803" w:rsidRPr="00F547EA" w:rsidRDefault="002B2803" w:rsidP="00607429">
            <w:pPr>
              <w:jc w:val="center"/>
              <w:rPr>
                <w:rFonts w:ascii="Times New Roman" w:eastAsia="Times New Roman" w:hAnsi="Times New Roman" w:cs="Times New Roman"/>
                <w:b w:val="0"/>
                <w:bCs w:val="0"/>
              </w:rPr>
            </w:pPr>
            <w:r w:rsidRPr="00F547EA">
              <w:rPr>
                <w:rFonts w:ascii="Times New Roman" w:eastAsia="Times New Roman" w:hAnsi="Times New Roman" w:cs="Times New Roman"/>
              </w:rPr>
              <w:t>Año previo a elección municipal</w:t>
            </w:r>
          </w:p>
        </w:tc>
        <w:tc>
          <w:tcPr>
            <w:tcW w:w="1698" w:type="dxa"/>
            <w:tcBorders>
              <w:left w:val="single" w:sz="12" w:space="0" w:color="7BA0CD" w:themeColor="accent1" w:themeTint="BF"/>
            </w:tcBorders>
            <w:noWrap/>
            <w:vAlign w:val="bottom"/>
          </w:tcPr>
          <w:p w14:paraId="7EBF2A7B"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78.203535</w:t>
            </w:r>
          </w:p>
        </w:tc>
        <w:tc>
          <w:tcPr>
            <w:tcW w:w="1698" w:type="dxa"/>
            <w:noWrap/>
            <w:vAlign w:val="bottom"/>
          </w:tcPr>
          <w:p w14:paraId="06CDB157"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-258.23204</w:t>
            </w:r>
          </w:p>
        </w:tc>
        <w:tc>
          <w:tcPr>
            <w:tcW w:w="1698" w:type="dxa"/>
            <w:noWrap/>
            <w:vAlign w:val="bottom"/>
          </w:tcPr>
          <w:p w14:paraId="1C190570"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-57.088325</w:t>
            </w:r>
          </w:p>
        </w:tc>
        <w:tc>
          <w:tcPr>
            <w:tcW w:w="1698" w:type="dxa"/>
            <w:noWrap/>
            <w:vAlign w:val="bottom"/>
          </w:tcPr>
          <w:p w14:paraId="06F26153"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548.85315</w:t>
            </w:r>
          </w:p>
        </w:tc>
      </w:tr>
      <w:tr w:rsidR="002B2803" w:rsidRPr="00F547EA" w14:paraId="63657C71" w14:textId="77777777" w:rsidTr="00607429">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715E6970" w14:textId="77777777" w:rsidR="002B2803" w:rsidRPr="00F547EA" w:rsidRDefault="002B2803" w:rsidP="00607429">
            <w:pPr>
              <w:jc w:val="center"/>
              <w:rPr>
                <w:rFonts w:ascii="Times New Roman" w:eastAsia="Times New Roman" w:hAnsi="Times New Roman" w:cs="Times New Roman"/>
                <w:b w:val="0"/>
                <w:bCs w:val="0"/>
              </w:rPr>
            </w:pPr>
          </w:p>
        </w:tc>
        <w:tc>
          <w:tcPr>
            <w:tcW w:w="1698" w:type="dxa"/>
            <w:tcBorders>
              <w:left w:val="single" w:sz="12" w:space="0" w:color="7BA0CD" w:themeColor="accent1" w:themeTint="BF"/>
            </w:tcBorders>
            <w:noWrap/>
            <w:vAlign w:val="bottom"/>
          </w:tcPr>
          <w:p w14:paraId="4DFFD3F7" w14:textId="77777777" w:rsidR="002B2803"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159.47032</w:t>
            </w:r>
          </w:p>
        </w:tc>
        <w:tc>
          <w:tcPr>
            <w:tcW w:w="1698" w:type="dxa"/>
            <w:noWrap/>
            <w:vAlign w:val="bottom"/>
          </w:tcPr>
          <w:p w14:paraId="6A738252" w14:textId="77777777" w:rsidR="002B2803"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462.4346</w:t>
            </w:r>
          </w:p>
        </w:tc>
        <w:tc>
          <w:tcPr>
            <w:tcW w:w="1698" w:type="dxa"/>
            <w:noWrap/>
            <w:vAlign w:val="bottom"/>
          </w:tcPr>
          <w:p w14:paraId="6C5B6A97" w14:textId="77777777" w:rsidR="002B2803"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113.43761</w:t>
            </w:r>
          </w:p>
        </w:tc>
        <w:tc>
          <w:tcPr>
            <w:tcW w:w="1698" w:type="dxa"/>
            <w:noWrap/>
            <w:vAlign w:val="bottom"/>
          </w:tcPr>
          <w:p w14:paraId="0A1504CA" w14:textId="77777777" w:rsidR="002B2803"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417.01388</w:t>
            </w:r>
          </w:p>
        </w:tc>
      </w:tr>
      <w:tr w:rsidR="002B2803" w:rsidRPr="00F547EA" w14:paraId="285589DC" w14:textId="77777777" w:rsidTr="00607429">
        <w:trPr>
          <w:cnfStyle w:val="000000010000" w:firstRow="0" w:lastRow="0" w:firstColumn="0" w:lastColumn="0" w:oddVBand="0" w:evenVBand="0" w:oddHBand="0" w:evenHBand="1"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4763EAB2" w14:textId="77777777" w:rsidR="002B2803" w:rsidRPr="00F547EA" w:rsidRDefault="002B2803" w:rsidP="00607429">
            <w:pPr>
              <w:jc w:val="center"/>
              <w:rPr>
                <w:rFonts w:ascii="Times New Roman" w:eastAsia="Times New Roman" w:hAnsi="Times New Roman" w:cs="Times New Roman"/>
                <w:b w:val="0"/>
                <w:bCs w:val="0"/>
              </w:rPr>
            </w:pPr>
          </w:p>
        </w:tc>
        <w:tc>
          <w:tcPr>
            <w:tcW w:w="1698" w:type="dxa"/>
            <w:tcBorders>
              <w:left w:val="single" w:sz="12" w:space="0" w:color="7BA0CD" w:themeColor="accent1" w:themeTint="BF"/>
            </w:tcBorders>
            <w:noWrap/>
            <w:vAlign w:val="bottom"/>
          </w:tcPr>
          <w:p w14:paraId="5F2F7ADD"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0.6239</w:t>
            </w:r>
          </w:p>
        </w:tc>
        <w:tc>
          <w:tcPr>
            <w:tcW w:w="1698" w:type="dxa"/>
            <w:noWrap/>
            <w:vAlign w:val="bottom"/>
          </w:tcPr>
          <w:p w14:paraId="3B896613"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0.5766</w:t>
            </w:r>
          </w:p>
        </w:tc>
        <w:tc>
          <w:tcPr>
            <w:tcW w:w="1698" w:type="dxa"/>
            <w:noWrap/>
            <w:vAlign w:val="bottom"/>
          </w:tcPr>
          <w:p w14:paraId="211DAF0F"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0.6148</w:t>
            </w:r>
          </w:p>
        </w:tc>
        <w:tc>
          <w:tcPr>
            <w:tcW w:w="1698" w:type="dxa"/>
            <w:noWrap/>
            <w:vAlign w:val="bottom"/>
          </w:tcPr>
          <w:p w14:paraId="0AD1A938"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0.1881</w:t>
            </w:r>
          </w:p>
        </w:tc>
      </w:tr>
      <w:tr w:rsidR="002B2803" w:rsidRPr="00F547EA" w14:paraId="6E17C3D4" w14:textId="77777777" w:rsidTr="00607429">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vMerge w:val="restart"/>
            <w:tcBorders>
              <w:top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74967F75" w14:textId="77777777" w:rsidR="002B2803" w:rsidRPr="00F547EA" w:rsidRDefault="002B2803" w:rsidP="00607429">
            <w:pPr>
              <w:jc w:val="center"/>
              <w:rPr>
                <w:rFonts w:ascii="Times New Roman" w:eastAsia="Times New Roman" w:hAnsi="Times New Roman" w:cs="Times New Roman"/>
                <w:b w:val="0"/>
                <w:bCs w:val="0"/>
              </w:rPr>
            </w:pPr>
            <w:r w:rsidRPr="00F547EA">
              <w:rPr>
                <w:rFonts w:ascii="Times New Roman" w:eastAsia="Times New Roman" w:hAnsi="Times New Roman" w:cs="Times New Roman"/>
              </w:rPr>
              <w:t>Año electoral municipal</w:t>
            </w:r>
          </w:p>
        </w:tc>
        <w:tc>
          <w:tcPr>
            <w:tcW w:w="1698" w:type="dxa"/>
            <w:tcBorders>
              <w:left w:val="single" w:sz="12" w:space="0" w:color="7BA0CD" w:themeColor="accent1" w:themeTint="BF"/>
            </w:tcBorders>
            <w:noWrap/>
            <w:vAlign w:val="bottom"/>
          </w:tcPr>
          <w:p w14:paraId="4CA490BB" w14:textId="77777777" w:rsidR="002B2803"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144.16131</w:t>
            </w:r>
          </w:p>
        </w:tc>
        <w:tc>
          <w:tcPr>
            <w:tcW w:w="1698" w:type="dxa"/>
            <w:noWrap/>
            <w:vAlign w:val="bottom"/>
          </w:tcPr>
          <w:p w14:paraId="60513F0E" w14:textId="77777777" w:rsidR="002B2803"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300.89037</w:t>
            </w:r>
          </w:p>
        </w:tc>
        <w:tc>
          <w:tcPr>
            <w:tcW w:w="1698" w:type="dxa"/>
            <w:noWrap/>
            <w:vAlign w:val="bottom"/>
          </w:tcPr>
          <w:p w14:paraId="27ECF639" w14:textId="77777777" w:rsidR="002B2803"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-48.198774</w:t>
            </w:r>
          </w:p>
        </w:tc>
        <w:tc>
          <w:tcPr>
            <w:tcW w:w="1698" w:type="dxa"/>
            <w:noWrap/>
            <w:vAlign w:val="bottom"/>
          </w:tcPr>
          <w:p w14:paraId="48AE9F08" w14:textId="77777777" w:rsidR="002B2803"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-176.14109</w:t>
            </w:r>
          </w:p>
        </w:tc>
      </w:tr>
      <w:tr w:rsidR="002B2803" w:rsidRPr="00F547EA" w14:paraId="7BEA00B4" w14:textId="77777777" w:rsidTr="00607429">
        <w:trPr>
          <w:cnfStyle w:val="000000010000" w:firstRow="0" w:lastRow="0" w:firstColumn="0" w:lastColumn="0" w:oddVBand="0" w:evenVBand="0" w:oddHBand="0" w:evenHBand="1"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20C098A0" w14:textId="77777777" w:rsidR="002B2803" w:rsidRPr="00F547EA" w:rsidRDefault="002B2803" w:rsidP="00607429">
            <w:pPr>
              <w:jc w:val="center"/>
              <w:rPr>
                <w:rFonts w:ascii="Times New Roman" w:eastAsia="Times New Roman" w:hAnsi="Times New Roman" w:cs="Times New Roman"/>
                <w:b w:val="0"/>
                <w:bCs w:val="0"/>
              </w:rPr>
            </w:pPr>
          </w:p>
        </w:tc>
        <w:tc>
          <w:tcPr>
            <w:tcW w:w="1698" w:type="dxa"/>
            <w:tcBorders>
              <w:left w:val="single" w:sz="12" w:space="0" w:color="7BA0CD" w:themeColor="accent1" w:themeTint="BF"/>
            </w:tcBorders>
            <w:noWrap/>
            <w:vAlign w:val="bottom"/>
          </w:tcPr>
          <w:p w14:paraId="17ABE84D"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166.89079</w:t>
            </w:r>
          </w:p>
        </w:tc>
        <w:tc>
          <w:tcPr>
            <w:tcW w:w="1698" w:type="dxa"/>
            <w:noWrap/>
            <w:vAlign w:val="bottom"/>
          </w:tcPr>
          <w:p w14:paraId="38FB91F6"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386.90143</w:t>
            </w:r>
          </w:p>
        </w:tc>
        <w:tc>
          <w:tcPr>
            <w:tcW w:w="1698" w:type="dxa"/>
            <w:noWrap/>
            <w:vAlign w:val="bottom"/>
          </w:tcPr>
          <w:p w14:paraId="261B68DB"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92.068034</w:t>
            </w:r>
          </w:p>
        </w:tc>
        <w:tc>
          <w:tcPr>
            <w:tcW w:w="1698" w:type="dxa"/>
            <w:noWrap/>
            <w:vAlign w:val="bottom"/>
          </w:tcPr>
          <w:p w14:paraId="04924EE9"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417.01388</w:t>
            </w:r>
          </w:p>
        </w:tc>
      </w:tr>
      <w:tr w:rsidR="002B2803" w:rsidRPr="00F547EA" w14:paraId="138CABBE" w14:textId="77777777" w:rsidTr="00607429">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5B2A0535" w14:textId="77777777" w:rsidR="002B2803" w:rsidRPr="00F547EA" w:rsidRDefault="002B2803" w:rsidP="00607429">
            <w:pPr>
              <w:jc w:val="center"/>
              <w:rPr>
                <w:rFonts w:ascii="Times New Roman" w:eastAsia="Times New Roman" w:hAnsi="Times New Roman" w:cs="Times New Roman"/>
                <w:b w:val="0"/>
                <w:bCs w:val="0"/>
              </w:rPr>
            </w:pPr>
          </w:p>
        </w:tc>
        <w:tc>
          <w:tcPr>
            <w:tcW w:w="1698" w:type="dxa"/>
            <w:tcBorders>
              <w:left w:val="single" w:sz="12" w:space="0" w:color="7BA0CD" w:themeColor="accent1" w:themeTint="BF"/>
            </w:tcBorders>
            <w:noWrap/>
            <w:vAlign w:val="bottom"/>
          </w:tcPr>
          <w:p w14:paraId="761699FE" w14:textId="77777777" w:rsidR="002B2803"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0.3877</w:t>
            </w:r>
          </w:p>
        </w:tc>
        <w:tc>
          <w:tcPr>
            <w:tcW w:w="1698" w:type="dxa"/>
            <w:noWrap/>
            <w:vAlign w:val="bottom"/>
          </w:tcPr>
          <w:p w14:paraId="5C1E9A03" w14:textId="77777777" w:rsidR="002B2803"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0.4368</w:t>
            </w:r>
          </w:p>
        </w:tc>
        <w:tc>
          <w:tcPr>
            <w:tcW w:w="1698" w:type="dxa"/>
            <w:noWrap/>
            <w:vAlign w:val="bottom"/>
          </w:tcPr>
          <w:p w14:paraId="1D073EEE" w14:textId="77777777" w:rsidR="002B2803"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0.6006</w:t>
            </w:r>
          </w:p>
        </w:tc>
        <w:tc>
          <w:tcPr>
            <w:tcW w:w="1698" w:type="dxa"/>
            <w:noWrap/>
            <w:vAlign w:val="bottom"/>
          </w:tcPr>
          <w:p w14:paraId="3A060222" w14:textId="77777777" w:rsidR="002B2803"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0.6727</w:t>
            </w:r>
          </w:p>
        </w:tc>
      </w:tr>
      <w:tr w:rsidR="002B2803" w:rsidRPr="00F547EA" w14:paraId="7F70281A" w14:textId="77777777" w:rsidTr="00607429">
        <w:trPr>
          <w:cnfStyle w:val="000000010000" w:firstRow="0" w:lastRow="0" w:firstColumn="0" w:lastColumn="0" w:oddVBand="0" w:evenVBand="0" w:oddHBand="0" w:evenHBand="1"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vMerge w:val="restart"/>
            <w:tcBorders>
              <w:top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16A56640" w14:textId="77777777" w:rsidR="002B2803" w:rsidRPr="00F547EA" w:rsidRDefault="002B2803" w:rsidP="00607429">
            <w:pPr>
              <w:jc w:val="center"/>
              <w:rPr>
                <w:rFonts w:ascii="Times New Roman" w:eastAsia="Times New Roman" w:hAnsi="Times New Roman" w:cs="Times New Roman"/>
                <w:b w:val="0"/>
                <w:bCs w:val="0"/>
              </w:rPr>
            </w:pPr>
            <w:r w:rsidRPr="00F547EA">
              <w:rPr>
                <w:rFonts w:ascii="Times New Roman" w:eastAsia="Times New Roman" w:hAnsi="Times New Roman" w:cs="Times New Roman"/>
              </w:rPr>
              <w:t>Año previo a elección de gobernador</w:t>
            </w:r>
          </w:p>
        </w:tc>
        <w:tc>
          <w:tcPr>
            <w:tcW w:w="1698" w:type="dxa"/>
            <w:tcBorders>
              <w:left w:val="single" w:sz="12" w:space="0" w:color="7BA0CD" w:themeColor="accent1" w:themeTint="BF"/>
            </w:tcBorders>
            <w:noWrap/>
            <w:vAlign w:val="bottom"/>
          </w:tcPr>
          <w:p w14:paraId="62507100"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-32.510118</w:t>
            </w:r>
          </w:p>
        </w:tc>
        <w:tc>
          <w:tcPr>
            <w:tcW w:w="1698" w:type="dxa"/>
            <w:noWrap/>
            <w:vAlign w:val="bottom"/>
          </w:tcPr>
          <w:p w14:paraId="430BFF57"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-625.94295</w:t>
            </w:r>
          </w:p>
        </w:tc>
        <w:tc>
          <w:tcPr>
            <w:tcW w:w="1698" w:type="dxa"/>
            <w:noWrap/>
            <w:vAlign w:val="bottom"/>
          </w:tcPr>
          <w:p w14:paraId="3E4F8D7D"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180.23882</w:t>
            </w:r>
          </w:p>
        </w:tc>
        <w:tc>
          <w:tcPr>
            <w:tcW w:w="1698" w:type="dxa"/>
            <w:noWrap/>
            <w:vAlign w:val="bottom"/>
          </w:tcPr>
          <w:p w14:paraId="0CF3C8EF"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-608.74726</w:t>
            </w:r>
          </w:p>
        </w:tc>
      </w:tr>
      <w:tr w:rsidR="002B2803" w:rsidRPr="00F547EA" w14:paraId="427E91DB" w14:textId="77777777" w:rsidTr="00607429">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0CBF5EE4" w14:textId="77777777" w:rsidR="002B2803" w:rsidRPr="00F547EA" w:rsidRDefault="002B2803" w:rsidP="00607429">
            <w:pPr>
              <w:jc w:val="center"/>
              <w:rPr>
                <w:rFonts w:ascii="Times New Roman" w:eastAsia="Times New Roman" w:hAnsi="Times New Roman" w:cs="Times New Roman"/>
                <w:b w:val="0"/>
                <w:bCs w:val="0"/>
              </w:rPr>
            </w:pPr>
          </w:p>
        </w:tc>
        <w:tc>
          <w:tcPr>
            <w:tcW w:w="1698" w:type="dxa"/>
            <w:tcBorders>
              <w:left w:val="single" w:sz="12" w:space="0" w:color="7BA0CD" w:themeColor="accent1" w:themeTint="BF"/>
            </w:tcBorders>
            <w:noWrap/>
            <w:vAlign w:val="bottom"/>
          </w:tcPr>
          <w:p w14:paraId="24A8049B" w14:textId="77777777" w:rsidR="002B2803"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178.76762</w:t>
            </w:r>
          </w:p>
        </w:tc>
        <w:tc>
          <w:tcPr>
            <w:tcW w:w="1698" w:type="dxa"/>
            <w:noWrap/>
            <w:vAlign w:val="bottom"/>
          </w:tcPr>
          <w:p w14:paraId="5CC5757D" w14:textId="77777777" w:rsidR="002B2803"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620.42257</w:t>
            </w:r>
          </w:p>
        </w:tc>
        <w:tc>
          <w:tcPr>
            <w:tcW w:w="1698" w:type="dxa"/>
            <w:noWrap/>
            <w:vAlign w:val="bottom"/>
          </w:tcPr>
          <w:p w14:paraId="1E392BAE" w14:textId="77777777" w:rsidR="002B2803"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105.18195</w:t>
            </w:r>
          </w:p>
        </w:tc>
        <w:tc>
          <w:tcPr>
            <w:tcW w:w="1698" w:type="dxa"/>
            <w:noWrap/>
            <w:vAlign w:val="bottom"/>
          </w:tcPr>
          <w:p w14:paraId="124D81F0" w14:textId="77777777" w:rsidR="002B2803"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490.69891</w:t>
            </w:r>
          </w:p>
        </w:tc>
      </w:tr>
      <w:tr w:rsidR="002B2803" w:rsidRPr="00F547EA" w14:paraId="4EC07CDA" w14:textId="77777777" w:rsidTr="00607429">
        <w:trPr>
          <w:cnfStyle w:val="000000010000" w:firstRow="0" w:lastRow="0" w:firstColumn="0" w:lastColumn="0" w:oddVBand="0" w:evenVBand="0" w:oddHBand="0" w:evenHBand="1"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0CAE44D8" w14:textId="77777777" w:rsidR="002B2803" w:rsidRPr="00F547EA" w:rsidRDefault="002B2803" w:rsidP="00607429">
            <w:pPr>
              <w:jc w:val="center"/>
              <w:rPr>
                <w:rFonts w:ascii="Times New Roman" w:eastAsia="Times New Roman" w:hAnsi="Times New Roman" w:cs="Times New Roman"/>
                <w:b w:val="0"/>
                <w:bCs w:val="0"/>
              </w:rPr>
            </w:pPr>
          </w:p>
        </w:tc>
        <w:tc>
          <w:tcPr>
            <w:tcW w:w="1698" w:type="dxa"/>
            <w:tcBorders>
              <w:left w:val="single" w:sz="12" w:space="0" w:color="7BA0CD" w:themeColor="accent1" w:themeTint="BF"/>
            </w:tcBorders>
            <w:noWrap/>
            <w:vAlign w:val="bottom"/>
          </w:tcPr>
          <w:p w14:paraId="1493D47C"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0.8557</w:t>
            </w:r>
          </w:p>
        </w:tc>
        <w:tc>
          <w:tcPr>
            <w:tcW w:w="1698" w:type="dxa"/>
            <w:noWrap/>
            <w:vAlign w:val="bottom"/>
          </w:tcPr>
          <w:p w14:paraId="064B4D80"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0.313</w:t>
            </w:r>
          </w:p>
        </w:tc>
        <w:tc>
          <w:tcPr>
            <w:tcW w:w="1698" w:type="dxa"/>
            <w:noWrap/>
            <w:vAlign w:val="bottom"/>
          </w:tcPr>
          <w:p w14:paraId="11E8E0AC"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0.0866</w:t>
            </w:r>
          </w:p>
        </w:tc>
        <w:tc>
          <w:tcPr>
            <w:tcW w:w="1698" w:type="dxa"/>
            <w:noWrap/>
            <w:vAlign w:val="bottom"/>
          </w:tcPr>
          <w:p w14:paraId="2DFFF0AA"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0.2148</w:t>
            </w:r>
          </w:p>
        </w:tc>
      </w:tr>
      <w:tr w:rsidR="002B2803" w:rsidRPr="00F547EA" w14:paraId="4CBDA449" w14:textId="77777777" w:rsidTr="00607429">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vMerge w:val="restart"/>
            <w:tcBorders>
              <w:top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4982A1E5" w14:textId="77777777" w:rsidR="002B2803" w:rsidRPr="00F547EA" w:rsidRDefault="002B2803" w:rsidP="00607429">
            <w:pPr>
              <w:jc w:val="center"/>
              <w:rPr>
                <w:rFonts w:ascii="Times New Roman" w:eastAsia="Times New Roman" w:hAnsi="Times New Roman" w:cs="Times New Roman"/>
                <w:b w:val="0"/>
                <w:bCs w:val="0"/>
              </w:rPr>
            </w:pPr>
            <w:r w:rsidRPr="00F547EA">
              <w:rPr>
                <w:rFonts w:ascii="Times New Roman" w:eastAsia="Times New Roman" w:hAnsi="Times New Roman" w:cs="Times New Roman"/>
              </w:rPr>
              <w:t>Año electoral para gobernador</w:t>
            </w:r>
          </w:p>
        </w:tc>
        <w:tc>
          <w:tcPr>
            <w:tcW w:w="1698" w:type="dxa"/>
            <w:tcBorders>
              <w:left w:val="single" w:sz="12" w:space="0" w:color="7BA0CD" w:themeColor="accent1" w:themeTint="BF"/>
            </w:tcBorders>
            <w:noWrap/>
            <w:vAlign w:val="bottom"/>
          </w:tcPr>
          <w:p w14:paraId="33899AD8" w14:textId="77777777" w:rsidR="002B2803"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-275.29806</w:t>
            </w:r>
          </w:p>
        </w:tc>
        <w:tc>
          <w:tcPr>
            <w:tcW w:w="1698" w:type="dxa"/>
            <w:noWrap/>
            <w:vAlign w:val="bottom"/>
          </w:tcPr>
          <w:p w14:paraId="41062357" w14:textId="77777777" w:rsidR="002B2803"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-840.78147</w:t>
            </w:r>
          </w:p>
        </w:tc>
        <w:tc>
          <w:tcPr>
            <w:tcW w:w="1698" w:type="dxa"/>
            <w:noWrap/>
            <w:vAlign w:val="bottom"/>
          </w:tcPr>
          <w:p w14:paraId="23869667" w14:textId="77777777" w:rsidR="002B2803"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240.44372</w:t>
            </w:r>
          </w:p>
        </w:tc>
        <w:tc>
          <w:tcPr>
            <w:tcW w:w="1698" w:type="dxa"/>
            <w:noWrap/>
            <w:vAlign w:val="bottom"/>
          </w:tcPr>
          <w:p w14:paraId="7D44A011" w14:textId="77777777" w:rsidR="002B2803"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87.617736</w:t>
            </w:r>
          </w:p>
        </w:tc>
      </w:tr>
      <w:tr w:rsidR="002B2803" w:rsidRPr="00F547EA" w14:paraId="7C71DFF1" w14:textId="77777777" w:rsidTr="00607429">
        <w:trPr>
          <w:cnfStyle w:val="000000010000" w:firstRow="0" w:lastRow="0" w:firstColumn="0" w:lastColumn="0" w:oddVBand="0" w:evenVBand="0" w:oddHBand="0" w:evenHBand="1"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225464F4" w14:textId="77777777" w:rsidR="002B2803" w:rsidRPr="00F547EA" w:rsidRDefault="002B2803" w:rsidP="00607429">
            <w:pPr>
              <w:jc w:val="center"/>
              <w:rPr>
                <w:rFonts w:ascii="Times New Roman" w:eastAsia="Times New Roman" w:hAnsi="Times New Roman" w:cs="Times New Roman"/>
                <w:b w:val="0"/>
                <w:bCs w:val="0"/>
              </w:rPr>
            </w:pPr>
          </w:p>
        </w:tc>
        <w:tc>
          <w:tcPr>
            <w:tcW w:w="1698" w:type="dxa"/>
            <w:tcBorders>
              <w:left w:val="single" w:sz="12" w:space="0" w:color="7BA0CD" w:themeColor="accent1" w:themeTint="BF"/>
            </w:tcBorders>
            <w:noWrap/>
            <w:vAlign w:val="bottom"/>
          </w:tcPr>
          <w:p w14:paraId="1AB1B5B7"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193.52447</w:t>
            </w:r>
          </w:p>
        </w:tc>
        <w:tc>
          <w:tcPr>
            <w:tcW w:w="1698" w:type="dxa"/>
            <w:noWrap/>
            <w:vAlign w:val="bottom"/>
          </w:tcPr>
          <w:p w14:paraId="2E94F57D"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620.42257</w:t>
            </w:r>
          </w:p>
        </w:tc>
        <w:tc>
          <w:tcPr>
            <w:tcW w:w="1698" w:type="dxa"/>
            <w:noWrap/>
            <w:vAlign w:val="bottom"/>
          </w:tcPr>
          <w:p w14:paraId="239A853E"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143.74658</w:t>
            </w:r>
          </w:p>
        </w:tc>
        <w:tc>
          <w:tcPr>
            <w:tcW w:w="1698" w:type="dxa"/>
            <w:noWrap/>
            <w:vAlign w:val="bottom"/>
          </w:tcPr>
          <w:p w14:paraId="79F66447"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490.69891</w:t>
            </w:r>
          </w:p>
        </w:tc>
      </w:tr>
      <w:tr w:rsidR="002B2803" w:rsidRPr="00F547EA" w14:paraId="16E3AF89" w14:textId="77777777" w:rsidTr="00607429">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37A90CF9" w14:textId="77777777" w:rsidR="002B2803" w:rsidRPr="00F547EA" w:rsidRDefault="002B2803" w:rsidP="00607429">
            <w:pPr>
              <w:jc w:val="center"/>
              <w:rPr>
                <w:rFonts w:ascii="Times New Roman" w:eastAsia="Times New Roman" w:hAnsi="Times New Roman" w:cs="Times New Roman"/>
                <w:b w:val="0"/>
                <w:bCs w:val="0"/>
              </w:rPr>
            </w:pPr>
          </w:p>
        </w:tc>
        <w:tc>
          <w:tcPr>
            <w:tcW w:w="1698" w:type="dxa"/>
            <w:tcBorders>
              <w:left w:val="single" w:sz="12" w:space="0" w:color="7BA0CD" w:themeColor="accent1" w:themeTint="BF"/>
            </w:tcBorders>
            <w:noWrap/>
            <w:vAlign w:val="bottom"/>
          </w:tcPr>
          <w:p w14:paraId="6B638000" w14:textId="77777777" w:rsidR="002B2803"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0.1549</w:t>
            </w:r>
          </w:p>
        </w:tc>
        <w:tc>
          <w:tcPr>
            <w:tcW w:w="1698" w:type="dxa"/>
            <w:noWrap/>
            <w:vAlign w:val="bottom"/>
          </w:tcPr>
          <w:p w14:paraId="63326E25" w14:textId="77777777" w:rsidR="002B2803"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0.1754</w:t>
            </w:r>
          </w:p>
        </w:tc>
        <w:tc>
          <w:tcPr>
            <w:tcW w:w="1698" w:type="dxa"/>
            <w:noWrap/>
            <w:vAlign w:val="bottom"/>
          </w:tcPr>
          <w:p w14:paraId="20B85BE2" w14:textId="77777777" w:rsidR="002B2803"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0.0944</w:t>
            </w:r>
          </w:p>
        </w:tc>
        <w:tc>
          <w:tcPr>
            <w:tcW w:w="1698" w:type="dxa"/>
            <w:noWrap/>
            <w:vAlign w:val="bottom"/>
          </w:tcPr>
          <w:p w14:paraId="5BA9A9CB" w14:textId="77777777" w:rsidR="002B2803"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0.8583</w:t>
            </w:r>
          </w:p>
        </w:tc>
      </w:tr>
      <w:tr w:rsidR="002B2803" w:rsidRPr="00F547EA" w14:paraId="45F01B17" w14:textId="77777777" w:rsidTr="00607429">
        <w:trPr>
          <w:cnfStyle w:val="000000010000" w:firstRow="0" w:lastRow="0" w:firstColumn="0" w:lastColumn="0" w:oddVBand="0" w:evenVBand="0" w:oddHBand="0" w:evenHBand="1"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vMerge w:val="restart"/>
            <w:tcBorders>
              <w:top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37D1C5A1" w14:textId="77777777" w:rsidR="002B2803" w:rsidRPr="00F547EA" w:rsidRDefault="002B2803" w:rsidP="00607429">
            <w:pPr>
              <w:jc w:val="center"/>
              <w:rPr>
                <w:rFonts w:ascii="Times New Roman" w:eastAsia="Times New Roman" w:hAnsi="Times New Roman" w:cs="Times New Roman"/>
                <w:b w:val="0"/>
                <w:bCs w:val="0"/>
              </w:rPr>
            </w:pPr>
            <w:r w:rsidRPr="00F547EA">
              <w:rPr>
                <w:rFonts w:ascii="Times New Roman" w:eastAsia="Times New Roman" w:hAnsi="Times New Roman" w:cs="Times New Roman"/>
              </w:rPr>
              <w:t>Constante</w:t>
            </w:r>
          </w:p>
        </w:tc>
        <w:tc>
          <w:tcPr>
            <w:tcW w:w="1698" w:type="dxa"/>
            <w:tcBorders>
              <w:left w:val="single" w:sz="12" w:space="0" w:color="7BA0CD" w:themeColor="accent1" w:themeTint="BF"/>
            </w:tcBorders>
            <w:noWrap/>
            <w:vAlign w:val="bottom"/>
          </w:tcPr>
          <w:p w14:paraId="0597876F"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-197099.17</w:t>
            </w:r>
          </w:p>
        </w:tc>
        <w:tc>
          <w:tcPr>
            <w:tcW w:w="1698" w:type="dxa"/>
            <w:noWrap/>
            <w:vAlign w:val="bottom"/>
          </w:tcPr>
          <w:p w14:paraId="21336DEA"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-610405.27</w:t>
            </w:r>
          </w:p>
        </w:tc>
        <w:tc>
          <w:tcPr>
            <w:tcW w:w="1698" w:type="dxa"/>
            <w:noWrap/>
            <w:vAlign w:val="bottom"/>
          </w:tcPr>
          <w:p w14:paraId="4D0C7383"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-54460.046</w:t>
            </w:r>
          </w:p>
        </w:tc>
        <w:tc>
          <w:tcPr>
            <w:tcW w:w="1698" w:type="dxa"/>
            <w:noWrap/>
            <w:vAlign w:val="bottom"/>
          </w:tcPr>
          <w:p w14:paraId="71B849B2"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40711.359</w:t>
            </w:r>
          </w:p>
        </w:tc>
      </w:tr>
      <w:tr w:rsidR="002B2803" w:rsidRPr="00F547EA" w14:paraId="18E45AF4" w14:textId="77777777" w:rsidTr="00607429">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bottom w:val="single" w:sz="12" w:space="0" w:color="7BA0CD" w:themeColor="accent1" w:themeTint="BF"/>
              <w:right w:val="single" w:sz="12" w:space="0" w:color="7BA0CD" w:themeColor="accent1" w:themeTint="BF"/>
            </w:tcBorders>
            <w:noWrap/>
          </w:tcPr>
          <w:p w14:paraId="274C0AB6" w14:textId="77777777" w:rsidR="002B2803" w:rsidRPr="00F547EA" w:rsidRDefault="002B2803" w:rsidP="00607429">
            <w:pPr>
              <w:rPr>
                <w:rFonts w:ascii="Times New Roman" w:eastAsia="Times New Roman" w:hAnsi="Times New Roman" w:cs="Times New Roman"/>
              </w:rPr>
            </w:pPr>
          </w:p>
        </w:tc>
        <w:tc>
          <w:tcPr>
            <w:tcW w:w="1698" w:type="dxa"/>
            <w:tcBorders>
              <w:left w:val="single" w:sz="12" w:space="0" w:color="7BA0CD" w:themeColor="accent1" w:themeTint="BF"/>
            </w:tcBorders>
            <w:noWrap/>
            <w:vAlign w:val="bottom"/>
          </w:tcPr>
          <w:p w14:paraId="2B43BB4A" w14:textId="77777777" w:rsidR="002B2803"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83595.817</w:t>
            </w:r>
          </w:p>
        </w:tc>
        <w:tc>
          <w:tcPr>
            <w:tcW w:w="1698" w:type="dxa"/>
            <w:noWrap/>
            <w:vAlign w:val="bottom"/>
          </w:tcPr>
          <w:p w14:paraId="6074D12F" w14:textId="77777777" w:rsidR="002B2803"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293642.34</w:t>
            </w:r>
          </w:p>
        </w:tc>
        <w:tc>
          <w:tcPr>
            <w:tcW w:w="1698" w:type="dxa"/>
            <w:noWrap/>
            <w:vAlign w:val="bottom"/>
          </w:tcPr>
          <w:p w14:paraId="7C89E6F7" w14:textId="77777777" w:rsidR="002B2803"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51097.527</w:t>
            </w:r>
          </w:p>
        </w:tc>
        <w:tc>
          <w:tcPr>
            <w:tcW w:w="1698" w:type="dxa"/>
            <w:noWrap/>
            <w:vAlign w:val="bottom"/>
          </w:tcPr>
          <w:p w14:paraId="516E8B57" w14:textId="77777777" w:rsidR="002B2803" w:rsidRDefault="002B280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232422.2</w:t>
            </w:r>
          </w:p>
        </w:tc>
      </w:tr>
      <w:tr w:rsidR="002B2803" w:rsidRPr="00F547EA" w14:paraId="133F15E2" w14:textId="77777777" w:rsidTr="00607429">
        <w:trPr>
          <w:cnfStyle w:val="000000010000" w:firstRow="0" w:lastRow="0" w:firstColumn="0" w:lastColumn="0" w:oddVBand="0" w:evenVBand="0" w:oddHBand="0" w:evenHBand="1"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bottom w:val="single" w:sz="8" w:space="0" w:color="7F7F7F" w:themeColor="text1" w:themeTint="80"/>
              <w:right w:val="single" w:sz="12" w:space="0" w:color="7BA0CD" w:themeColor="accent1" w:themeTint="BF"/>
            </w:tcBorders>
            <w:noWrap/>
          </w:tcPr>
          <w:p w14:paraId="0B820E06" w14:textId="77777777" w:rsidR="002B2803" w:rsidRPr="00F547EA" w:rsidRDefault="002B2803" w:rsidP="00607429">
            <w:pPr>
              <w:rPr>
                <w:rFonts w:ascii="Times New Roman" w:eastAsia="Times New Roman" w:hAnsi="Times New Roman" w:cs="Times New Roman"/>
              </w:rPr>
            </w:pPr>
          </w:p>
        </w:tc>
        <w:tc>
          <w:tcPr>
            <w:tcW w:w="1698" w:type="dxa"/>
            <w:tcBorders>
              <w:left w:val="single" w:sz="12" w:space="0" w:color="7BA0CD" w:themeColor="accent1" w:themeTint="BF"/>
              <w:bottom w:val="single" w:sz="8" w:space="0" w:color="7F7F7F" w:themeColor="text1" w:themeTint="80"/>
            </w:tcBorders>
            <w:noWrap/>
            <w:vAlign w:val="bottom"/>
          </w:tcPr>
          <w:p w14:paraId="1760A551"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0.0184</w:t>
            </w:r>
          </w:p>
        </w:tc>
        <w:tc>
          <w:tcPr>
            <w:tcW w:w="1698" w:type="dxa"/>
            <w:tcBorders>
              <w:bottom w:val="single" w:sz="8" w:space="0" w:color="7F7F7F" w:themeColor="text1" w:themeTint="80"/>
            </w:tcBorders>
            <w:noWrap/>
            <w:vAlign w:val="bottom"/>
          </w:tcPr>
          <w:p w14:paraId="71B2E38C"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0.0376</w:t>
            </w:r>
          </w:p>
        </w:tc>
        <w:tc>
          <w:tcPr>
            <w:tcW w:w="1698" w:type="dxa"/>
            <w:tcBorders>
              <w:bottom w:val="single" w:sz="8" w:space="0" w:color="7F7F7F" w:themeColor="text1" w:themeTint="80"/>
            </w:tcBorders>
            <w:noWrap/>
            <w:vAlign w:val="bottom"/>
          </w:tcPr>
          <w:p w14:paraId="76D06ADE"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0.2865</w:t>
            </w:r>
          </w:p>
        </w:tc>
        <w:tc>
          <w:tcPr>
            <w:tcW w:w="1698" w:type="dxa"/>
            <w:tcBorders>
              <w:bottom w:val="single" w:sz="8" w:space="0" w:color="7F7F7F" w:themeColor="text1" w:themeTint="80"/>
            </w:tcBorders>
            <w:noWrap/>
            <w:vAlign w:val="bottom"/>
          </w:tcPr>
          <w:p w14:paraId="34A0ADFA" w14:textId="77777777" w:rsidR="002B2803" w:rsidRDefault="002B2803">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0.861</w:t>
            </w:r>
          </w:p>
        </w:tc>
      </w:tr>
      <w:tr w:rsidR="00D22BF7" w:rsidRPr="00F547EA" w14:paraId="458A912D" w14:textId="77777777" w:rsidTr="00607429">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BFBFBF" w:themeFill="background1" w:themeFillShade="BF"/>
            <w:noWrap/>
          </w:tcPr>
          <w:p w14:paraId="76372C35" w14:textId="77777777" w:rsidR="00D22BF7" w:rsidRPr="00F547EA" w:rsidRDefault="00D22BF7" w:rsidP="00607429">
            <w:pPr>
              <w:rPr>
                <w:rFonts w:ascii="Times New Roman" w:eastAsia="Times New Roman" w:hAnsi="Times New Roman" w:cs="Times New Roman"/>
                <w:b w:val="0"/>
                <w:bCs w:val="0"/>
              </w:rPr>
            </w:pPr>
            <w:r w:rsidRPr="00F547EA">
              <w:rPr>
                <w:rFonts w:ascii="Times New Roman" w:eastAsia="Times New Roman" w:hAnsi="Times New Roman" w:cs="Times New Roman"/>
              </w:rPr>
              <w:t>Rho</w:t>
            </w:r>
          </w:p>
        </w:tc>
        <w:tc>
          <w:tcPr>
            <w:tcW w:w="1698"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BFBFBF" w:themeFill="background1" w:themeFillShade="BF"/>
            <w:noWrap/>
            <w:vAlign w:val="bottom"/>
          </w:tcPr>
          <w:p w14:paraId="3DA7D46E" w14:textId="77777777" w:rsidR="00D22BF7" w:rsidRPr="005C199B" w:rsidRDefault="00D22BF7" w:rsidP="0060742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C199B">
              <w:rPr>
                <w:rFonts w:ascii="Times New Roman" w:hAnsi="Times New Roman" w:cs="Times New Roman"/>
              </w:rPr>
              <w:t>0.00207376</w:t>
            </w:r>
          </w:p>
        </w:tc>
        <w:tc>
          <w:tcPr>
            <w:tcW w:w="1698"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BFBFBF" w:themeFill="background1" w:themeFillShade="BF"/>
            <w:noWrap/>
            <w:vAlign w:val="bottom"/>
          </w:tcPr>
          <w:p w14:paraId="6A8D5E71" w14:textId="77777777" w:rsidR="00D22BF7" w:rsidRPr="005C199B" w:rsidRDefault="00D22BF7" w:rsidP="0060742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C199B">
              <w:rPr>
                <w:rFonts w:ascii="Times New Roman" w:hAnsi="Times New Roman" w:cs="Times New Roman"/>
              </w:rPr>
              <w:t>0</w:t>
            </w:r>
          </w:p>
        </w:tc>
        <w:tc>
          <w:tcPr>
            <w:tcW w:w="1698"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BFBFBF" w:themeFill="background1" w:themeFillShade="BF"/>
            <w:noWrap/>
            <w:vAlign w:val="bottom"/>
          </w:tcPr>
          <w:p w14:paraId="4C6D1720" w14:textId="77777777" w:rsidR="00D22BF7" w:rsidRPr="005C199B" w:rsidRDefault="00D22BF7" w:rsidP="0060742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C199B">
              <w:rPr>
                <w:rFonts w:ascii="Times New Roman" w:hAnsi="Times New Roman" w:cs="Times New Roman"/>
              </w:rPr>
              <w:t>0.10656559</w:t>
            </w:r>
          </w:p>
        </w:tc>
        <w:tc>
          <w:tcPr>
            <w:tcW w:w="1698"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BFBFBF" w:themeFill="background1" w:themeFillShade="BF"/>
            <w:noWrap/>
            <w:vAlign w:val="bottom"/>
          </w:tcPr>
          <w:p w14:paraId="101D0D0E" w14:textId="77777777" w:rsidR="00D22BF7" w:rsidRPr="005C199B" w:rsidRDefault="00D22BF7" w:rsidP="0060742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C199B">
              <w:rPr>
                <w:rFonts w:ascii="Times New Roman" w:hAnsi="Times New Roman" w:cs="Times New Roman"/>
              </w:rPr>
              <w:t>0.</w:t>
            </w:r>
            <w:r>
              <w:t xml:space="preserve"> </w:t>
            </w:r>
            <w:r w:rsidRPr="005D1B73">
              <w:rPr>
                <w:rFonts w:ascii="Times New Roman" w:hAnsi="Times New Roman" w:cs="Times New Roman"/>
              </w:rPr>
              <w:t>00749642</w:t>
            </w:r>
          </w:p>
        </w:tc>
      </w:tr>
      <w:tr w:rsidR="00D22BF7" w:rsidRPr="00F547EA" w14:paraId="1A85D524" w14:textId="77777777" w:rsidTr="00607429">
        <w:trPr>
          <w:cnfStyle w:val="000000010000" w:firstRow="0" w:lastRow="0" w:firstColumn="0" w:lastColumn="0" w:oddVBand="0" w:evenVBand="0" w:oddHBand="0" w:evenHBand="1"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BFBFBF" w:themeFill="background1" w:themeFillShade="BF"/>
            <w:noWrap/>
          </w:tcPr>
          <w:p w14:paraId="6FF042F0" w14:textId="77777777" w:rsidR="00D22BF7" w:rsidRPr="00F547EA" w:rsidRDefault="00D22BF7" w:rsidP="00607429">
            <w:pPr>
              <w:rPr>
                <w:rFonts w:ascii="Times New Roman" w:eastAsia="Times New Roman" w:hAnsi="Times New Roman" w:cs="Times New Roman"/>
                <w:b w:val="0"/>
                <w:bCs w:val="0"/>
              </w:rPr>
            </w:pPr>
            <w:r w:rsidRPr="00F547EA">
              <w:rPr>
                <w:rFonts w:ascii="Times New Roman" w:eastAsia="Times New Roman" w:hAnsi="Times New Roman" w:cs="Times New Roman"/>
              </w:rPr>
              <w:t>Observaciones</w:t>
            </w:r>
          </w:p>
        </w:tc>
        <w:tc>
          <w:tcPr>
            <w:tcW w:w="1698"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BFBFBF" w:themeFill="background1" w:themeFillShade="BF"/>
            <w:noWrap/>
            <w:vAlign w:val="bottom"/>
          </w:tcPr>
          <w:p w14:paraId="6F44D7FD" w14:textId="77777777" w:rsidR="00D22BF7" w:rsidRPr="005C199B" w:rsidRDefault="00D22BF7" w:rsidP="00607429">
            <w:pPr>
              <w:jc w:val="righ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rPr>
            </w:pPr>
            <w:r w:rsidRPr="005C199B">
              <w:rPr>
                <w:rFonts w:ascii="Times New Roman" w:hAnsi="Times New Roman" w:cs="Times New Roman"/>
              </w:rPr>
              <w:t>2046</w:t>
            </w:r>
          </w:p>
        </w:tc>
        <w:tc>
          <w:tcPr>
            <w:tcW w:w="1698"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BFBFBF" w:themeFill="background1" w:themeFillShade="BF"/>
            <w:noWrap/>
            <w:vAlign w:val="bottom"/>
          </w:tcPr>
          <w:p w14:paraId="3F1EE6D8" w14:textId="77777777" w:rsidR="00D22BF7" w:rsidRPr="005C199B" w:rsidRDefault="00D22BF7" w:rsidP="00607429">
            <w:pPr>
              <w:jc w:val="righ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rPr>
            </w:pPr>
            <w:r w:rsidRPr="005C199B">
              <w:rPr>
                <w:rFonts w:ascii="Times New Roman" w:hAnsi="Times New Roman" w:cs="Times New Roman"/>
              </w:rPr>
              <w:t>690</w:t>
            </w:r>
          </w:p>
        </w:tc>
        <w:tc>
          <w:tcPr>
            <w:tcW w:w="1698"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BFBFBF" w:themeFill="background1" w:themeFillShade="BF"/>
            <w:noWrap/>
            <w:vAlign w:val="bottom"/>
          </w:tcPr>
          <w:p w14:paraId="1F8AAF88" w14:textId="77777777" w:rsidR="00D22BF7" w:rsidRPr="005C199B" w:rsidRDefault="00D22BF7" w:rsidP="00607429">
            <w:pPr>
              <w:jc w:val="righ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rPr>
            </w:pPr>
            <w:r w:rsidRPr="005C199B">
              <w:rPr>
                <w:rFonts w:ascii="Times New Roman" w:hAnsi="Times New Roman" w:cs="Times New Roman"/>
              </w:rPr>
              <w:t>456</w:t>
            </w:r>
          </w:p>
        </w:tc>
        <w:tc>
          <w:tcPr>
            <w:tcW w:w="1698" w:type="dxa"/>
            <w:tcBorders>
              <w:top w:val="single" w:sz="8" w:space="0" w:color="7F7F7F" w:themeColor="text1" w:themeTint="80"/>
              <w:left w:val="single" w:sz="8" w:space="0" w:color="7F7F7F" w:themeColor="text1" w:themeTint="80"/>
              <w:right w:val="single" w:sz="8" w:space="0" w:color="7F7F7F" w:themeColor="text1" w:themeTint="80"/>
            </w:tcBorders>
            <w:shd w:val="clear" w:color="auto" w:fill="BFBFBF" w:themeFill="background1" w:themeFillShade="BF"/>
            <w:noWrap/>
            <w:vAlign w:val="bottom"/>
          </w:tcPr>
          <w:p w14:paraId="267CBDB0" w14:textId="77777777" w:rsidR="00D22BF7" w:rsidRPr="005C199B" w:rsidRDefault="00D22BF7" w:rsidP="00607429">
            <w:pPr>
              <w:jc w:val="righ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rPr>
            </w:pPr>
            <w:r>
              <w:rPr>
                <w:rFonts w:ascii="Times New Roman" w:hAnsi="Times New Roman" w:cs="Times New Roman"/>
              </w:rPr>
              <w:t>900</w:t>
            </w:r>
          </w:p>
        </w:tc>
      </w:tr>
      <w:tr w:rsidR="00D22BF7" w:rsidRPr="00F547EA" w14:paraId="6FCA4191" w14:textId="77777777" w:rsidTr="00607429">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177"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BFBFBF" w:themeFill="background1" w:themeFillShade="BF"/>
            <w:noWrap/>
          </w:tcPr>
          <w:p w14:paraId="1B4E9581" w14:textId="77777777" w:rsidR="00D22BF7" w:rsidRPr="00F547EA" w:rsidRDefault="00D22BF7" w:rsidP="00607429">
            <w:pPr>
              <w:rPr>
                <w:rFonts w:ascii="Times New Roman" w:eastAsia="Times New Roman" w:hAnsi="Times New Roman" w:cs="Times New Roman"/>
              </w:rPr>
            </w:pPr>
          </w:p>
        </w:tc>
        <w:tc>
          <w:tcPr>
            <w:tcW w:w="1698"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BFBFBF" w:themeFill="background1" w:themeFillShade="BF"/>
            <w:noWrap/>
          </w:tcPr>
          <w:p w14:paraId="30CA3E05" w14:textId="77777777" w:rsidR="00D22BF7" w:rsidRPr="00F547EA" w:rsidRDefault="00D22BF7" w:rsidP="0060742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698"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BFBFBF" w:themeFill="background1" w:themeFillShade="BF"/>
            <w:noWrap/>
          </w:tcPr>
          <w:p w14:paraId="59BA1C95" w14:textId="77777777" w:rsidR="00D22BF7" w:rsidRPr="00F547EA" w:rsidRDefault="00D22BF7" w:rsidP="0060742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698"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BFBFBF" w:themeFill="background1" w:themeFillShade="BF"/>
            <w:noWrap/>
          </w:tcPr>
          <w:p w14:paraId="53E76701" w14:textId="77777777" w:rsidR="00D22BF7" w:rsidRPr="00F547EA" w:rsidRDefault="00D22BF7" w:rsidP="0060742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698" w:type="dxa"/>
            <w:tcBorders>
              <w:top w:val="single" w:sz="8" w:space="0" w:color="7F7F7F" w:themeColor="text1" w:themeTint="80"/>
              <w:left w:val="single" w:sz="8" w:space="0" w:color="7F7F7F" w:themeColor="text1" w:themeTint="80"/>
              <w:right w:val="single" w:sz="8" w:space="0" w:color="7F7F7F" w:themeColor="text1" w:themeTint="80"/>
            </w:tcBorders>
            <w:shd w:val="clear" w:color="auto" w:fill="BFBFBF" w:themeFill="background1" w:themeFillShade="BF"/>
            <w:noWrap/>
          </w:tcPr>
          <w:p w14:paraId="6F677A43" w14:textId="77777777" w:rsidR="00D22BF7" w:rsidRPr="00F547EA" w:rsidRDefault="00D22BF7" w:rsidP="0060742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547EA">
              <w:rPr>
                <w:rFonts w:ascii="Times New Roman" w:eastAsia="Times New Roman" w:hAnsi="Times New Roman" w:cs="Times New Roman"/>
                <w:b/>
                <w:bCs/>
              </w:rPr>
              <w:t>filas: b/</w:t>
            </w:r>
            <w:r>
              <w:rPr>
                <w:rFonts w:ascii="Times New Roman" w:eastAsia="Times New Roman" w:hAnsi="Times New Roman" w:cs="Times New Roman"/>
                <w:b/>
                <w:bCs/>
              </w:rPr>
              <w:t>d</w:t>
            </w:r>
            <w:r w:rsidRPr="00F547EA">
              <w:rPr>
                <w:rFonts w:ascii="Times New Roman" w:eastAsia="Times New Roman" w:hAnsi="Times New Roman" w:cs="Times New Roman"/>
                <w:b/>
                <w:bCs/>
              </w:rPr>
              <w:t>e/p</w:t>
            </w:r>
          </w:p>
        </w:tc>
      </w:tr>
    </w:tbl>
    <w:p w14:paraId="31BCCC52" w14:textId="77777777" w:rsidR="00D22BF7" w:rsidRPr="00E15583" w:rsidRDefault="00D22BF7" w:rsidP="000635E1">
      <w:pPr>
        <w:spacing w:after="0" w:line="240" w:lineRule="auto"/>
        <w:jc w:val="center"/>
        <w:rPr>
          <w:rFonts w:ascii="Times New Roman" w:hAnsi="Times New Roman" w:cs="Times New Roman"/>
          <w:b/>
        </w:rPr>
      </w:pPr>
      <w:r>
        <w:rPr>
          <w:rFonts w:ascii="Times New Roman" w:hAnsi="Times New Roman" w:cs="Times New Roman"/>
          <w:b/>
          <w:sz w:val="24"/>
          <w:szCs w:val="24"/>
        </w:rPr>
        <w:lastRenderedPageBreak/>
        <w:t>Tabla 9</w:t>
      </w:r>
      <w:r w:rsidRPr="00FE28B6">
        <w:rPr>
          <w:rFonts w:ascii="Times New Roman" w:hAnsi="Times New Roman" w:cs="Times New Roman"/>
          <w:b/>
          <w:sz w:val="24"/>
          <w:szCs w:val="24"/>
        </w:rPr>
        <w:t xml:space="preserve">. </w:t>
      </w:r>
      <w:r>
        <w:rPr>
          <w:rFonts w:ascii="Times New Roman" w:hAnsi="Times New Roman" w:cs="Times New Roman"/>
          <w:b/>
          <w:sz w:val="24"/>
          <w:szCs w:val="24"/>
        </w:rPr>
        <w:t xml:space="preserve">Resultados de los modelos para número de proyectos sin los municipios de </w:t>
      </w:r>
      <w:r w:rsidRPr="00E15583">
        <w:rPr>
          <w:rFonts w:ascii="Times New Roman" w:hAnsi="Times New Roman" w:cs="Times New Roman"/>
          <w:b/>
        </w:rPr>
        <w:t>usos y costumbres</w:t>
      </w:r>
    </w:p>
    <w:tbl>
      <w:tblPr>
        <w:tblStyle w:val="Sombreadomedio1-nfasis1"/>
        <w:tblW w:w="8981" w:type="dxa"/>
        <w:tblLook w:val="04A0" w:firstRow="1" w:lastRow="0" w:firstColumn="1" w:lastColumn="0" w:noHBand="0" w:noVBand="1"/>
      </w:tblPr>
      <w:tblGrid>
        <w:gridCol w:w="2177"/>
        <w:gridCol w:w="1701"/>
        <w:gridCol w:w="1701"/>
        <w:gridCol w:w="1701"/>
        <w:gridCol w:w="1701"/>
      </w:tblGrid>
      <w:tr w:rsidR="00D22BF7" w:rsidRPr="00E15583" w14:paraId="7F3885B3" w14:textId="77777777" w:rsidTr="00E15583">
        <w:trPr>
          <w:cnfStyle w:val="100000000000" w:firstRow="1" w:lastRow="0" w:firstColumn="0" w:lastColumn="0" w:oddVBand="0" w:evenVBand="0" w:oddHBand="0"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2177" w:type="dxa"/>
            <w:tcBorders>
              <w:bottom w:val="single" w:sz="12" w:space="0" w:color="7BA0CD" w:themeColor="accent1" w:themeTint="BF"/>
            </w:tcBorders>
            <w:noWrap/>
            <w:vAlign w:val="center"/>
          </w:tcPr>
          <w:p w14:paraId="32F72315" w14:textId="77777777" w:rsidR="00D22BF7" w:rsidRPr="00E15583" w:rsidRDefault="00D22BF7" w:rsidP="00607429">
            <w:pPr>
              <w:jc w:val="center"/>
              <w:rPr>
                <w:rFonts w:ascii="Times New Roman" w:eastAsia="Times New Roman" w:hAnsi="Times New Roman" w:cs="Times New Roman"/>
                <w:b w:val="0"/>
                <w:bCs w:val="0"/>
              </w:rPr>
            </w:pPr>
            <w:r w:rsidRPr="00E15583">
              <w:rPr>
                <w:rFonts w:ascii="Times New Roman" w:eastAsia="Times New Roman" w:hAnsi="Times New Roman" w:cs="Times New Roman"/>
              </w:rPr>
              <w:t>Variable</w:t>
            </w:r>
          </w:p>
        </w:tc>
        <w:tc>
          <w:tcPr>
            <w:tcW w:w="1701" w:type="dxa"/>
            <w:noWrap/>
            <w:vAlign w:val="center"/>
          </w:tcPr>
          <w:p w14:paraId="4E09A66F" w14:textId="77777777" w:rsidR="00D22BF7" w:rsidRPr="00E15583" w:rsidRDefault="00D22BF7" w:rsidP="0060742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00E15583">
              <w:rPr>
                <w:rFonts w:ascii="Times New Roman" w:eastAsia="Times New Roman" w:hAnsi="Times New Roman" w:cs="Times New Roman"/>
              </w:rPr>
              <w:t>Modelo general número de proyectos</w:t>
            </w:r>
          </w:p>
        </w:tc>
        <w:tc>
          <w:tcPr>
            <w:tcW w:w="1701" w:type="dxa"/>
            <w:noWrap/>
            <w:vAlign w:val="center"/>
          </w:tcPr>
          <w:p w14:paraId="6342C6F1" w14:textId="77777777" w:rsidR="00D22BF7" w:rsidRPr="00E15583" w:rsidRDefault="00D22BF7" w:rsidP="0060742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00E15583">
              <w:rPr>
                <w:rFonts w:ascii="Times New Roman" w:eastAsia="Times New Roman" w:hAnsi="Times New Roman" w:cs="Times New Roman"/>
              </w:rPr>
              <w:t>Modelo número de proyectos Chiapas</w:t>
            </w:r>
          </w:p>
        </w:tc>
        <w:tc>
          <w:tcPr>
            <w:tcW w:w="1701" w:type="dxa"/>
            <w:noWrap/>
            <w:vAlign w:val="center"/>
          </w:tcPr>
          <w:p w14:paraId="13D6E47E" w14:textId="77777777" w:rsidR="00D22BF7" w:rsidRPr="00E15583" w:rsidRDefault="00D22BF7" w:rsidP="0060742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00E15583">
              <w:rPr>
                <w:rFonts w:ascii="Times New Roman" w:eastAsia="Times New Roman" w:hAnsi="Times New Roman" w:cs="Times New Roman"/>
              </w:rPr>
              <w:t>Modelo número de proyectos Guerrero</w:t>
            </w:r>
          </w:p>
        </w:tc>
        <w:tc>
          <w:tcPr>
            <w:tcW w:w="1701" w:type="dxa"/>
            <w:noWrap/>
            <w:vAlign w:val="center"/>
          </w:tcPr>
          <w:p w14:paraId="3608808E" w14:textId="77777777" w:rsidR="00D22BF7" w:rsidRPr="00E15583" w:rsidRDefault="00D22BF7" w:rsidP="0060742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00E15583">
              <w:rPr>
                <w:rFonts w:ascii="Times New Roman" w:eastAsia="Times New Roman" w:hAnsi="Times New Roman" w:cs="Times New Roman"/>
              </w:rPr>
              <w:t>Modelo número de proyectos Oaxaca</w:t>
            </w:r>
          </w:p>
        </w:tc>
      </w:tr>
      <w:tr w:rsidR="001E655A" w:rsidRPr="00F547EA" w14:paraId="7129829C" w14:textId="77777777" w:rsidTr="006074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7" w:type="dxa"/>
            <w:vMerge w:val="restart"/>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366E141F" w14:textId="77777777" w:rsidR="001E655A" w:rsidRPr="00F547EA" w:rsidRDefault="001E655A" w:rsidP="00607429">
            <w:pPr>
              <w:jc w:val="center"/>
              <w:rPr>
                <w:rFonts w:ascii="Times New Roman" w:eastAsia="Times New Roman" w:hAnsi="Times New Roman" w:cs="Times New Roman"/>
                <w:b w:val="0"/>
                <w:bCs w:val="0"/>
                <w:color w:val="000000" w:themeColor="text1"/>
              </w:rPr>
            </w:pPr>
            <w:r w:rsidRPr="00F547EA">
              <w:rPr>
                <w:rFonts w:ascii="Times New Roman" w:eastAsia="Times New Roman" w:hAnsi="Times New Roman" w:cs="Times New Roman"/>
                <w:color w:val="000000" w:themeColor="text1"/>
              </w:rPr>
              <w:t>Margen de victoria</w:t>
            </w:r>
          </w:p>
        </w:tc>
        <w:tc>
          <w:tcPr>
            <w:tcW w:w="1701" w:type="dxa"/>
            <w:tcBorders>
              <w:left w:val="single" w:sz="12" w:space="0" w:color="7BA0CD" w:themeColor="accent1" w:themeTint="BF"/>
            </w:tcBorders>
            <w:noWrap/>
            <w:vAlign w:val="bottom"/>
          </w:tcPr>
          <w:p w14:paraId="3806B8E9" w14:textId="77777777" w:rsidR="001E655A"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0.0031885</w:t>
            </w:r>
          </w:p>
        </w:tc>
        <w:tc>
          <w:tcPr>
            <w:tcW w:w="1701" w:type="dxa"/>
            <w:noWrap/>
            <w:vAlign w:val="bottom"/>
          </w:tcPr>
          <w:p w14:paraId="74F09FB4" w14:textId="77777777" w:rsidR="001E655A"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0.00080401</w:t>
            </w:r>
          </w:p>
        </w:tc>
        <w:tc>
          <w:tcPr>
            <w:tcW w:w="1701" w:type="dxa"/>
            <w:noWrap/>
            <w:vAlign w:val="bottom"/>
          </w:tcPr>
          <w:p w14:paraId="4E2BAD28" w14:textId="77777777" w:rsidR="001E655A"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0.00606014</w:t>
            </w:r>
          </w:p>
        </w:tc>
        <w:tc>
          <w:tcPr>
            <w:tcW w:w="1701" w:type="dxa"/>
            <w:noWrap/>
            <w:vAlign w:val="bottom"/>
          </w:tcPr>
          <w:p w14:paraId="7C9EBF9A" w14:textId="77777777" w:rsidR="001E655A"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0.00512529</w:t>
            </w:r>
          </w:p>
        </w:tc>
      </w:tr>
      <w:tr w:rsidR="001E655A" w:rsidRPr="00F547EA" w14:paraId="2E7439F5" w14:textId="77777777" w:rsidTr="0060742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60848AB0" w14:textId="77777777" w:rsidR="001E655A" w:rsidRPr="00F547EA" w:rsidRDefault="001E655A" w:rsidP="00607429">
            <w:pPr>
              <w:jc w:val="center"/>
              <w:rPr>
                <w:rFonts w:ascii="Times New Roman" w:eastAsia="Times New Roman" w:hAnsi="Times New Roman" w:cs="Times New Roman"/>
                <w:b w:val="0"/>
                <w:bCs w:val="0"/>
                <w:color w:val="000000" w:themeColor="text1"/>
              </w:rPr>
            </w:pPr>
          </w:p>
        </w:tc>
        <w:tc>
          <w:tcPr>
            <w:tcW w:w="1701" w:type="dxa"/>
            <w:tcBorders>
              <w:left w:val="single" w:sz="12" w:space="0" w:color="7BA0CD" w:themeColor="accent1" w:themeTint="BF"/>
            </w:tcBorders>
            <w:noWrap/>
            <w:vAlign w:val="bottom"/>
          </w:tcPr>
          <w:p w14:paraId="57C9710E" w14:textId="77777777" w:rsidR="001E655A"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0.00351583</w:t>
            </w:r>
          </w:p>
        </w:tc>
        <w:tc>
          <w:tcPr>
            <w:tcW w:w="1701" w:type="dxa"/>
            <w:noWrap/>
            <w:vAlign w:val="bottom"/>
          </w:tcPr>
          <w:p w14:paraId="66030E3C" w14:textId="77777777" w:rsidR="001E655A"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0.00330039</w:t>
            </w:r>
          </w:p>
        </w:tc>
        <w:tc>
          <w:tcPr>
            <w:tcW w:w="1701" w:type="dxa"/>
            <w:noWrap/>
            <w:vAlign w:val="bottom"/>
          </w:tcPr>
          <w:p w14:paraId="1E460012" w14:textId="77777777" w:rsidR="001E655A"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0.00583643</w:t>
            </w:r>
          </w:p>
        </w:tc>
        <w:tc>
          <w:tcPr>
            <w:tcW w:w="1701" w:type="dxa"/>
            <w:noWrap/>
            <w:vAlign w:val="bottom"/>
          </w:tcPr>
          <w:p w14:paraId="7E7D7812" w14:textId="77777777" w:rsidR="001E655A"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0.00406395</w:t>
            </w:r>
          </w:p>
        </w:tc>
      </w:tr>
      <w:tr w:rsidR="001E655A" w:rsidRPr="00F547EA" w14:paraId="04DCD51D" w14:textId="77777777" w:rsidTr="006074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3BE049BD" w14:textId="77777777" w:rsidR="001E655A" w:rsidRPr="00F547EA" w:rsidRDefault="001E655A" w:rsidP="00607429">
            <w:pPr>
              <w:jc w:val="center"/>
              <w:rPr>
                <w:rFonts w:ascii="Times New Roman" w:eastAsia="Times New Roman" w:hAnsi="Times New Roman" w:cs="Times New Roman"/>
                <w:b w:val="0"/>
                <w:bCs w:val="0"/>
                <w:color w:val="000000" w:themeColor="text1"/>
              </w:rPr>
            </w:pPr>
          </w:p>
        </w:tc>
        <w:tc>
          <w:tcPr>
            <w:tcW w:w="1701" w:type="dxa"/>
            <w:tcBorders>
              <w:left w:val="single" w:sz="12" w:space="0" w:color="7BA0CD" w:themeColor="accent1" w:themeTint="BF"/>
            </w:tcBorders>
            <w:noWrap/>
            <w:vAlign w:val="bottom"/>
          </w:tcPr>
          <w:p w14:paraId="2679BA6B" w14:textId="77777777" w:rsidR="001E655A"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0.3645</w:t>
            </w:r>
          </w:p>
        </w:tc>
        <w:tc>
          <w:tcPr>
            <w:tcW w:w="1701" w:type="dxa"/>
            <w:noWrap/>
            <w:vAlign w:val="bottom"/>
          </w:tcPr>
          <w:p w14:paraId="26F15DC9" w14:textId="77777777" w:rsidR="001E655A"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0.8075</w:t>
            </w:r>
          </w:p>
        </w:tc>
        <w:tc>
          <w:tcPr>
            <w:tcW w:w="1701" w:type="dxa"/>
            <w:noWrap/>
            <w:vAlign w:val="bottom"/>
          </w:tcPr>
          <w:p w14:paraId="14A7A35E" w14:textId="77777777" w:rsidR="001E655A"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0.2991</w:t>
            </w:r>
          </w:p>
        </w:tc>
        <w:tc>
          <w:tcPr>
            <w:tcW w:w="1701" w:type="dxa"/>
            <w:noWrap/>
            <w:vAlign w:val="bottom"/>
          </w:tcPr>
          <w:p w14:paraId="7E32FB3A" w14:textId="77777777" w:rsidR="001E655A"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0.2073</w:t>
            </w:r>
          </w:p>
        </w:tc>
      </w:tr>
      <w:tr w:rsidR="001E655A" w:rsidRPr="00F547EA" w14:paraId="55B47DE1" w14:textId="77777777" w:rsidTr="0060742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7" w:type="dxa"/>
            <w:vMerge w:val="restart"/>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26E86286" w14:textId="77777777" w:rsidR="001E655A" w:rsidRPr="00F547EA" w:rsidRDefault="001E655A" w:rsidP="00607429">
            <w:pPr>
              <w:jc w:val="center"/>
              <w:rPr>
                <w:rFonts w:ascii="Times New Roman" w:eastAsia="Times New Roman" w:hAnsi="Times New Roman" w:cs="Times New Roman"/>
                <w:b w:val="0"/>
                <w:bCs w:val="0"/>
                <w:color w:val="000000" w:themeColor="text1"/>
              </w:rPr>
            </w:pPr>
            <w:r w:rsidRPr="00F547EA">
              <w:rPr>
                <w:rFonts w:ascii="Times New Roman" w:eastAsia="Times New Roman" w:hAnsi="Times New Roman" w:cs="Times New Roman"/>
                <w:color w:val="000000" w:themeColor="text1"/>
              </w:rPr>
              <w:t>Mismo partido en el poder</w:t>
            </w:r>
          </w:p>
        </w:tc>
        <w:tc>
          <w:tcPr>
            <w:tcW w:w="1701" w:type="dxa"/>
            <w:tcBorders>
              <w:left w:val="single" w:sz="12" w:space="0" w:color="7BA0CD" w:themeColor="accent1" w:themeTint="BF"/>
            </w:tcBorders>
            <w:noWrap/>
            <w:vAlign w:val="bottom"/>
          </w:tcPr>
          <w:p w14:paraId="3C186FDE" w14:textId="77777777" w:rsidR="001E655A"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-0.06680121</w:t>
            </w:r>
          </w:p>
        </w:tc>
        <w:tc>
          <w:tcPr>
            <w:tcW w:w="1701" w:type="dxa"/>
            <w:noWrap/>
            <w:vAlign w:val="bottom"/>
          </w:tcPr>
          <w:p w14:paraId="1088728A" w14:textId="77777777" w:rsidR="001E655A"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-0.05187978</w:t>
            </w:r>
          </w:p>
        </w:tc>
        <w:tc>
          <w:tcPr>
            <w:tcW w:w="1701" w:type="dxa"/>
            <w:noWrap/>
            <w:vAlign w:val="bottom"/>
          </w:tcPr>
          <w:p w14:paraId="5D9ED845" w14:textId="77777777" w:rsidR="001E655A"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0.12017587</w:t>
            </w:r>
          </w:p>
        </w:tc>
        <w:tc>
          <w:tcPr>
            <w:tcW w:w="1701" w:type="dxa"/>
            <w:noWrap/>
            <w:vAlign w:val="bottom"/>
          </w:tcPr>
          <w:p w14:paraId="31DBBB7D" w14:textId="77777777" w:rsidR="001E655A"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0.09246248</w:t>
            </w:r>
          </w:p>
        </w:tc>
      </w:tr>
      <w:tr w:rsidR="001E655A" w:rsidRPr="00F547EA" w14:paraId="0D49E51D" w14:textId="77777777" w:rsidTr="006074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084E07EB" w14:textId="77777777" w:rsidR="001E655A" w:rsidRPr="00F547EA" w:rsidRDefault="001E655A" w:rsidP="00607429">
            <w:pPr>
              <w:jc w:val="center"/>
              <w:rPr>
                <w:rFonts w:ascii="Times New Roman" w:eastAsia="Times New Roman" w:hAnsi="Times New Roman" w:cs="Times New Roman"/>
                <w:b w:val="0"/>
                <w:bCs w:val="0"/>
                <w:color w:val="000000" w:themeColor="text1"/>
              </w:rPr>
            </w:pPr>
          </w:p>
        </w:tc>
        <w:tc>
          <w:tcPr>
            <w:tcW w:w="1701" w:type="dxa"/>
            <w:tcBorders>
              <w:left w:val="single" w:sz="12" w:space="0" w:color="7BA0CD" w:themeColor="accent1" w:themeTint="BF"/>
            </w:tcBorders>
            <w:noWrap/>
            <w:vAlign w:val="bottom"/>
          </w:tcPr>
          <w:p w14:paraId="34927A6B" w14:textId="77777777" w:rsidR="001E655A"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0.08394571</w:t>
            </w:r>
          </w:p>
        </w:tc>
        <w:tc>
          <w:tcPr>
            <w:tcW w:w="1701" w:type="dxa"/>
            <w:noWrap/>
            <w:vAlign w:val="bottom"/>
          </w:tcPr>
          <w:p w14:paraId="726F2F9D" w14:textId="77777777" w:rsidR="001E655A"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0.08099442</w:t>
            </w:r>
          </w:p>
        </w:tc>
        <w:tc>
          <w:tcPr>
            <w:tcW w:w="1701" w:type="dxa"/>
            <w:noWrap/>
            <w:vAlign w:val="bottom"/>
          </w:tcPr>
          <w:p w14:paraId="2E828496" w14:textId="77777777" w:rsidR="001E655A"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0.11532572</w:t>
            </w:r>
          </w:p>
        </w:tc>
        <w:tc>
          <w:tcPr>
            <w:tcW w:w="1701" w:type="dxa"/>
            <w:noWrap/>
            <w:vAlign w:val="bottom"/>
          </w:tcPr>
          <w:p w14:paraId="60252D5B" w14:textId="77777777" w:rsidR="001E655A"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0.10688008</w:t>
            </w:r>
          </w:p>
        </w:tc>
      </w:tr>
      <w:tr w:rsidR="001E655A" w:rsidRPr="00F547EA" w14:paraId="77CBEACD" w14:textId="77777777" w:rsidTr="0060742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66E72FF9" w14:textId="77777777" w:rsidR="001E655A" w:rsidRPr="00F547EA" w:rsidRDefault="001E655A" w:rsidP="00607429">
            <w:pPr>
              <w:jc w:val="center"/>
              <w:rPr>
                <w:rFonts w:ascii="Times New Roman" w:eastAsia="Times New Roman" w:hAnsi="Times New Roman" w:cs="Times New Roman"/>
                <w:b w:val="0"/>
                <w:bCs w:val="0"/>
                <w:color w:val="000000" w:themeColor="text1"/>
              </w:rPr>
            </w:pPr>
          </w:p>
        </w:tc>
        <w:tc>
          <w:tcPr>
            <w:tcW w:w="1701" w:type="dxa"/>
            <w:tcBorders>
              <w:left w:val="single" w:sz="12" w:space="0" w:color="7BA0CD" w:themeColor="accent1" w:themeTint="BF"/>
            </w:tcBorders>
            <w:noWrap/>
            <w:vAlign w:val="bottom"/>
          </w:tcPr>
          <w:p w14:paraId="4E284444" w14:textId="77777777" w:rsidR="001E655A"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0.4262</w:t>
            </w:r>
          </w:p>
        </w:tc>
        <w:tc>
          <w:tcPr>
            <w:tcW w:w="1701" w:type="dxa"/>
            <w:noWrap/>
            <w:vAlign w:val="bottom"/>
          </w:tcPr>
          <w:p w14:paraId="79CFB240" w14:textId="77777777" w:rsidR="001E655A"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0.5218</w:t>
            </w:r>
          </w:p>
        </w:tc>
        <w:tc>
          <w:tcPr>
            <w:tcW w:w="1701" w:type="dxa"/>
            <w:noWrap/>
            <w:vAlign w:val="bottom"/>
          </w:tcPr>
          <w:p w14:paraId="2FF64161" w14:textId="77777777" w:rsidR="001E655A"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0.2974</w:t>
            </w:r>
          </w:p>
        </w:tc>
        <w:tc>
          <w:tcPr>
            <w:tcW w:w="1701" w:type="dxa"/>
            <w:noWrap/>
            <w:vAlign w:val="bottom"/>
          </w:tcPr>
          <w:p w14:paraId="1536F118" w14:textId="77777777" w:rsidR="001E655A"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0.387</w:t>
            </w:r>
          </w:p>
        </w:tc>
      </w:tr>
      <w:tr w:rsidR="001E655A" w:rsidRPr="00F547EA" w14:paraId="30DB19CC" w14:textId="77777777" w:rsidTr="006074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7" w:type="dxa"/>
            <w:vMerge w:val="restart"/>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64FBA671" w14:textId="77777777" w:rsidR="001E655A" w:rsidRPr="00F547EA" w:rsidRDefault="001E655A" w:rsidP="00607429">
            <w:pPr>
              <w:jc w:val="center"/>
              <w:rPr>
                <w:rFonts w:ascii="Times New Roman" w:eastAsia="Times New Roman" w:hAnsi="Times New Roman" w:cs="Times New Roman"/>
                <w:b w:val="0"/>
                <w:bCs w:val="0"/>
                <w:color w:val="000000" w:themeColor="text1"/>
              </w:rPr>
            </w:pPr>
            <w:r w:rsidRPr="00F547EA">
              <w:rPr>
                <w:rFonts w:ascii="Times New Roman" w:eastAsia="Times New Roman" w:hAnsi="Times New Roman" w:cs="Times New Roman"/>
                <w:color w:val="000000" w:themeColor="text1"/>
              </w:rPr>
              <w:t>IDH</w:t>
            </w:r>
          </w:p>
        </w:tc>
        <w:tc>
          <w:tcPr>
            <w:tcW w:w="1701" w:type="dxa"/>
            <w:tcBorders>
              <w:left w:val="single" w:sz="12" w:space="0" w:color="7BA0CD" w:themeColor="accent1" w:themeTint="BF"/>
            </w:tcBorders>
            <w:noWrap/>
            <w:vAlign w:val="bottom"/>
          </w:tcPr>
          <w:p w14:paraId="252D3384" w14:textId="77777777" w:rsidR="001E655A"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2.3086779</w:t>
            </w:r>
          </w:p>
        </w:tc>
        <w:tc>
          <w:tcPr>
            <w:tcW w:w="1701" w:type="dxa"/>
            <w:noWrap/>
            <w:vAlign w:val="bottom"/>
          </w:tcPr>
          <w:p w14:paraId="521E0919" w14:textId="77777777" w:rsidR="001E655A"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0.9463585</w:t>
            </w:r>
          </w:p>
        </w:tc>
        <w:tc>
          <w:tcPr>
            <w:tcW w:w="1701" w:type="dxa"/>
            <w:noWrap/>
            <w:vAlign w:val="bottom"/>
          </w:tcPr>
          <w:p w14:paraId="654FDC1F" w14:textId="77777777" w:rsidR="001E655A"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1.3391899</w:t>
            </w:r>
          </w:p>
        </w:tc>
        <w:tc>
          <w:tcPr>
            <w:tcW w:w="1701" w:type="dxa"/>
            <w:noWrap/>
            <w:vAlign w:val="bottom"/>
          </w:tcPr>
          <w:p w14:paraId="43BC7B83" w14:textId="77777777" w:rsidR="001E655A"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0.75544855</w:t>
            </w:r>
          </w:p>
        </w:tc>
      </w:tr>
      <w:tr w:rsidR="001E655A" w:rsidRPr="00F547EA" w14:paraId="7ADAEAB2" w14:textId="77777777" w:rsidTr="0060742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60796C57" w14:textId="77777777" w:rsidR="001E655A" w:rsidRPr="00F547EA" w:rsidRDefault="001E655A" w:rsidP="00607429">
            <w:pPr>
              <w:jc w:val="center"/>
              <w:rPr>
                <w:rFonts w:ascii="Times New Roman" w:eastAsia="Times New Roman" w:hAnsi="Times New Roman" w:cs="Times New Roman"/>
                <w:b w:val="0"/>
                <w:bCs w:val="0"/>
                <w:color w:val="000000" w:themeColor="text1"/>
              </w:rPr>
            </w:pPr>
          </w:p>
        </w:tc>
        <w:tc>
          <w:tcPr>
            <w:tcW w:w="1701" w:type="dxa"/>
            <w:tcBorders>
              <w:left w:val="single" w:sz="12" w:space="0" w:color="7BA0CD" w:themeColor="accent1" w:themeTint="BF"/>
            </w:tcBorders>
            <w:noWrap/>
            <w:vAlign w:val="bottom"/>
          </w:tcPr>
          <w:p w14:paraId="2D3E3F84" w14:textId="77777777" w:rsidR="001E655A"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0.7705524</w:t>
            </w:r>
          </w:p>
        </w:tc>
        <w:tc>
          <w:tcPr>
            <w:tcW w:w="1701" w:type="dxa"/>
            <w:noWrap/>
            <w:vAlign w:val="bottom"/>
          </w:tcPr>
          <w:p w14:paraId="481772BC" w14:textId="77777777" w:rsidR="001E655A"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0.8759465</w:t>
            </w:r>
          </w:p>
        </w:tc>
        <w:tc>
          <w:tcPr>
            <w:tcW w:w="1701" w:type="dxa"/>
            <w:noWrap/>
            <w:vAlign w:val="bottom"/>
          </w:tcPr>
          <w:p w14:paraId="46997096" w14:textId="77777777" w:rsidR="001E655A"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1.0833641</w:t>
            </w:r>
          </w:p>
        </w:tc>
        <w:tc>
          <w:tcPr>
            <w:tcW w:w="1701" w:type="dxa"/>
            <w:noWrap/>
            <w:vAlign w:val="bottom"/>
          </w:tcPr>
          <w:p w14:paraId="0780FF9D" w14:textId="77777777" w:rsidR="001E655A"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0.94817695</w:t>
            </w:r>
          </w:p>
        </w:tc>
      </w:tr>
      <w:tr w:rsidR="001E655A" w:rsidRPr="00F547EA" w14:paraId="23C1E3F7" w14:textId="77777777" w:rsidTr="006074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3B6AA580" w14:textId="77777777" w:rsidR="001E655A" w:rsidRPr="00F547EA" w:rsidRDefault="001E655A" w:rsidP="00607429">
            <w:pPr>
              <w:jc w:val="center"/>
              <w:rPr>
                <w:rFonts w:ascii="Times New Roman" w:eastAsia="Times New Roman" w:hAnsi="Times New Roman" w:cs="Times New Roman"/>
                <w:b w:val="0"/>
                <w:bCs w:val="0"/>
                <w:color w:val="000000" w:themeColor="text1"/>
              </w:rPr>
            </w:pPr>
          </w:p>
        </w:tc>
        <w:tc>
          <w:tcPr>
            <w:tcW w:w="1701" w:type="dxa"/>
            <w:tcBorders>
              <w:left w:val="single" w:sz="12" w:space="0" w:color="7BA0CD" w:themeColor="accent1" w:themeTint="BF"/>
            </w:tcBorders>
            <w:noWrap/>
            <w:vAlign w:val="bottom"/>
          </w:tcPr>
          <w:p w14:paraId="055BFCA4" w14:textId="77777777" w:rsidR="001E655A" w:rsidRPr="000635E1"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0635E1">
              <w:rPr>
                <w:rFonts w:ascii="Calibri" w:hAnsi="Calibri"/>
                <w:b/>
                <w:color w:val="000000"/>
              </w:rPr>
              <w:t>0.0027</w:t>
            </w:r>
          </w:p>
        </w:tc>
        <w:tc>
          <w:tcPr>
            <w:tcW w:w="1701" w:type="dxa"/>
            <w:noWrap/>
            <w:vAlign w:val="bottom"/>
          </w:tcPr>
          <w:p w14:paraId="34F7CA97" w14:textId="77777777" w:rsidR="001E655A" w:rsidRPr="000635E1"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0635E1">
              <w:rPr>
                <w:rFonts w:ascii="Calibri" w:hAnsi="Calibri"/>
                <w:b/>
                <w:color w:val="000000"/>
              </w:rPr>
              <w:t>0.28</w:t>
            </w:r>
          </w:p>
        </w:tc>
        <w:tc>
          <w:tcPr>
            <w:tcW w:w="1701" w:type="dxa"/>
            <w:noWrap/>
            <w:vAlign w:val="bottom"/>
          </w:tcPr>
          <w:p w14:paraId="2123C060" w14:textId="77777777" w:rsidR="001E655A"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0.2164</w:t>
            </w:r>
          </w:p>
        </w:tc>
        <w:tc>
          <w:tcPr>
            <w:tcW w:w="1701" w:type="dxa"/>
            <w:noWrap/>
            <w:vAlign w:val="bottom"/>
          </w:tcPr>
          <w:p w14:paraId="7397DB38" w14:textId="77777777" w:rsidR="001E655A"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0.4256</w:t>
            </w:r>
          </w:p>
        </w:tc>
      </w:tr>
      <w:tr w:rsidR="001E655A" w:rsidRPr="00F547EA" w14:paraId="0D321D97" w14:textId="77777777" w:rsidTr="0060742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7" w:type="dxa"/>
            <w:vMerge w:val="restart"/>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60532E81" w14:textId="77777777" w:rsidR="001E655A" w:rsidRPr="00F547EA" w:rsidRDefault="001E655A" w:rsidP="00607429">
            <w:pPr>
              <w:jc w:val="center"/>
              <w:rPr>
                <w:rFonts w:ascii="Times New Roman" w:eastAsia="Times New Roman" w:hAnsi="Times New Roman" w:cs="Times New Roman"/>
                <w:b w:val="0"/>
                <w:bCs w:val="0"/>
                <w:color w:val="000000" w:themeColor="text1"/>
              </w:rPr>
            </w:pPr>
            <w:r w:rsidRPr="00F547EA">
              <w:rPr>
                <w:rFonts w:ascii="Times New Roman" w:eastAsia="Times New Roman" w:hAnsi="Times New Roman" w:cs="Times New Roman"/>
                <w:color w:val="000000" w:themeColor="text1"/>
              </w:rPr>
              <w:t>Cambio en IDH</w:t>
            </w:r>
          </w:p>
        </w:tc>
        <w:tc>
          <w:tcPr>
            <w:tcW w:w="1701" w:type="dxa"/>
            <w:tcBorders>
              <w:left w:val="single" w:sz="12" w:space="0" w:color="7BA0CD" w:themeColor="accent1" w:themeTint="BF"/>
            </w:tcBorders>
            <w:noWrap/>
            <w:vAlign w:val="bottom"/>
          </w:tcPr>
          <w:p w14:paraId="722BF868" w14:textId="77777777" w:rsidR="001E655A"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-0.00880616</w:t>
            </w:r>
          </w:p>
        </w:tc>
        <w:tc>
          <w:tcPr>
            <w:tcW w:w="1701" w:type="dxa"/>
            <w:noWrap/>
            <w:vAlign w:val="bottom"/>
          </w:tcPr>
          <w:p w14:paraId="1BE59D0D" w14:textId="77777777" w:rsidR="001E655A"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0.00205434</w:t>
            </w:r>
          </w:p>
        </w:tc>
        <w:tc>
          <w:tcPr>
            <w:tcW w:w="1701" w:type="dxa"/>
            <w:noWrap/>
            <w:vAlign w:val="bottom"/>
          </w:tcPr>
          <w:p w14:paraId="52C6CB85" w14:textId="77777777" w:rsidR="001E655A"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-0.00944794</w:t>
            </w:r>
          </w:p>
        </w:tc>
        <w:tc>
          <w:tcPr>
            <w:tcW w:w="1701" w:type="dxa"/>
            <w:noWrap/>
            <w:vAlign w:val="bottom"/>
          </w:tcPr>
          <w:p w14:paraId="2F7A9851" w14:textId="77777777" w:rsidR="001E655A"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0.00440783</w:t>
            </w:r>
          </w:p>
        </w:tc>
      </w:tr>
      <w:tr w:rsidR="001E655A" w:rsidRPr="00F547EA" w14:paraId="2FB84B14" w14:textId="77777777" w:rsidTr="006074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56A5EC3E" w14:textId="77777777" w:rsidR="001E655A" w:rsidRPr="00F547EA" w:rsidRDefault="001E655A" w:rsidP="00607429">
            <w:pPr>
              <w:jc w:val="center"/>
              <w:rPr>
                <w:rFonts w:ascii="Times New Roman" w:eastAsia="Times New Roman" w:hAnsi="Times New Roman" w:cs="Times New Roman"/>
                <w:b w:val="0"/>
                <w:bCs w:val="0"/>
                <w:color w:val="000000" w:themeColor="text1"/>
              </w:rPr>
            </w:pPr>
          </w:p>
        </w:tc>
        <w:tc>
          <w:tcPr>
            <w:tcW w:w="1701" w:type="dxa"/>
            <w:tcBorders>
              <w:left w:val="single" w:sz="12" w:space="0" w:color="7BA0CD" w:themeColor="accent1" w:themeTint="BF"/>
            </w:tcBorders>
            <w:noWrap/>
            <w:vAlign w:val="bottom"/>
          </w:tcPr>
          <w:p w14:paraId="3664DDD1" w14:textId="77777777" w:rsidR="001E655A"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0.01243488</w:t>
            </w:r>
          </w:p>
        </w:tc>
        <w:tc>
          <w:tcPr>
            <w:tcW w:w="1701" w:type="dxa"/>
            <w:noWrap/>
            <w:vAlign w:val="bottom"/>
          </w:tcPr>
          <w:p w14:paraId="569E65DA" w14:textId="77777777" w:rsidR="001E655A"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0.01298475</w:t>
            </w:r>
          </w:p>
        </w:tc>
        <w:tc>
          <w:tcPr>
            <w:tcW w:w="1701" w:type="dxa"/>
            <w:noWrap/>
            <w:vAlign w:val="bottom"/>
          </w:tcPr>
          <w:p w14:paraId="15B64E9D" w14:textId="77777777" w:rsidR="001E655A"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0.01472633</w:t>
            </w:r>
          </w:p>
        </w:tc>
        <w:tc>
          <w:tcPr>
            <w:tcW w:w="1701" w:type="dxa"/>
            <w:noWrap/>
            <w:vAlign w:val="bottom"/>
          </w:tcPr>
          <w:p w14:paraId="0DF29E87" w14:textId="77777777" w:rsidR="001E655A"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0.01518543</w:t>
            </w:r>
          </w:p>
        </w:tc>
      </w:tr>
      <w:tr w:rsidR="001E655A" w:rsidRPr="00F547EA" w14:paraId="6A61C5C5" w14:textId="77777777" w:rsidTr="0060742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4C251448" w14:textId="77777777" w:rsidR="001E655A" w:rsidRPr="00F547EA" w:rsidRDefault="001E655A" w:rsidP="00607429">
            <w:pPr>
              <w:jc w:val="center"/>
              <w:rPr>
                <w:rFonts w:ascii="Times New Roman" w:eastAsia="Times New Roman" w:hAnsi="Times New Roman" w:cs="Times New Roman"/>
                <w:b w:val="0"/>
                <w:bCs w:val="0"/>
                <w:color w:val="000000" w:themeColor="text1"/>
              </w:rPr>
            </w:pPr>
          </w:p>
        </w:tc>
        <w:tc>
          <w:tcPr>
            <w:tcW w:w="1701" w:type="dxa"/>
            <w:tcBorders>
              <w:left w:val="single" w:sz="12" w:space="0" w:color="7BA0CD" w:themeColor="accent1" w:themeTint="BF"/>
            </w:tcBorders>
            <w:noWrap/>
            <w:vAlign w:val="bottom"/>
          </w:tcPr>
          <w:p w14:paraId="4587FC13" w14:textId="77777777" w:rsidR="001E655A"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0.4788</w:t>
            </w:r>
          </w:p>
        </w:tc>
        <w:tc>
          <w:tcPr>
            <w:tcW w:w="1701" w:type="dxa"/>
            <w:noWrap/>
            <w:vAlign w:val="bottom"/>
          </w:tcPr>
          <w:p w14:paraId="0CDE50A7" w14:textId="77777777" w:rsidR="001E655A"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0.8743</w:t>
            </w:r>
          </w:p>
        </w:tc>
        <w:tc>
          <w:tcPr>
            <w:tcW w:w="1701" w:type="dxa"/>
            <w:noWrap/>
            <w:vAlign w:val="bottom"/>
          </w:tcPr>
          <w:p w14:paraId="47C8D1C9" w14:textId="77777777" w:rsidR="001E655A"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0.5212</w:t>
            </w:r>
          </w:p>
        </w:tc>
        <w:tc>
          <w:tcPr>
            <w:tcW w:w="1701" w:type="dxa"/>
            <w:noWrap/>
            <w:vAlign w:val="bottom"/>
          </w:tcPr>
          <w:p w14:paraId="7E24F1EB" w14:textId="77777777" w:rsidR="001E655A"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0.7716</w:t>
            </w:r>
          </w:p>
        </w:tc>
      </w:tr>
      <w:tr w:rsidR="001E655A" w:rsidRPr="00F547EA" w14:paraId="2B6E59DF" w14:textId="77777777" w:rsidTr="006074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7" w:type="dxa"/>
            <w:vMerge w:val="restart"/>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43ED0B14" w14:textId="77777777" w:rsidR="001E655A" w:rsidRPr="00F547EA" w:rsidRDefault="001E655A" w:rsidP="00607429">
            <w:pPr>
              <w:jc w:val="center"/>
              <w:rPr>
                <w:rFonts w:ascii="Times New Roman" w:eastAsia="Times New Roman" w:hAnsi="Times New Roman" w:cs="Times New Roman"/>
                <w:b w:val="0"/>
                <w:bCs w:val="0"/>
                <w:color w:val="000000" w:themeColor="text1"/>
              </w:rPr>
            </w:pPr>
            <w:r w:rsidRPr="00F547EA">
              <w:rPr>
                <w:rFonts w:ascii="Times New Roman" w:eastAsia="Times New Roman" w:hAnsi="Times New Roman" w:cs="Times New Roman"/>
                <w:color w:val="000000" w:themeColor="text1"/>
              </w:rPr>
              <w:t>Año</w:t>
            </w:r>
          </w:p>
        </w:tc>
        <w:tc>
          <w:tcPr>
            <w:tcW w:w="1701" w:type="dxa"/>
            <w:tcBorders>
              <w:left w:val="single" w:sz="12" w:space="0" w:color="7BA0CD" w:themeColor="accent1" w:themeTint="BF"/>
            </w:tcBorders>
            <w:noWrap/>
            <w:vAlign w:val="bottom"/>
          </w:tcPr>
          <w:p w14:paraId="77CEE969" w14:textId="77777777" w:rsidR="001E655A"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0.06709819</w:t>
            </w:r>
          </w:p>
        </w:tc>
        <w:tc>
          <w:tcPr>
            <w:tcW w:w="1701" w:type="dxa"/>
            <w:noWrap/>
            <w:vAlign w:val="bottom"/>
          </w:tcPr>
          <w:p w14:paraId="57DD579B" w14:textId="77777777" w:rsidR="001E655A"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0.01128171</w:t>
            </w:r>
          </w:p>
        </w:tc>
        <w:tc>
          <w:tcPr>
            <w:tcW w:w="1701" w:type="dxa"/>
            <w:noWrap/>
            <w:vAlign w:val="bottom"/>
          </w:tcPr>
          <w:p w14:paraId="6176B5E4" w14:textId="77777777" w:rsidR="001E655A"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0.0230391</w:t>
            </w:r>
          </w:p>
        </w:tc>
        <w:tc>
          <w:tcPr>
            <w:tcW w:w="1701" w:type="dxa"/>
            <w:noWrap/>
            <w:vAlign w:val="bottom"/>
          </w:tcPr>
          <w:p w14:paraId="222CCAD7" w14:textId="77777777" w:rsidR="001E655A"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-0.00888889</w:t>
            </w:r>
          </w:p>
        </w:tc>
      </w:tr>
      <w:tr w:rsidR="001E655A" w:rsidRPr="00F547EA" w14:paraId="6C55C520" w14:textId="77777777" w:rsidTr="0060742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437A8997" w14:textId="77777777" w:rsidR="001E655A" w:rsidRPr="00F547EA" w:rsidRDefault="001E655A" w:rsidP="00607429">
            <w:pPr>
              <w:jc w:val="center"/>
              <w:rPr>
                <w:rFonts w:ascii="Times New Roman" w:eastAsia="Times New Roman" w:hAnsi="Times New Roman" w:cs="Times New Roman"/>
                <w:b w:val="0"/>
                <w:bCs w:val="0"/>
                <w:color w:val="000000" w:themeColor="text1"/>
              </w:rPr>
            </w:pPr>
          </w:p>
        </w:tc>
        <w:tc>
          <w:tcPr>
            <w:tcW w:w="1701" w:type="dxa"/>
            <w:tcBorders>
              <w:left w:val="single" w:sz="12" w:space="0" w:color="7BA0CD" w:themeColor="accent1" w:themeTint="BF"/>
            </w:tcBorders>
            <w:noWrap/>
            <w:vAlign w:val="bottom"/>
          </w:tcPr>
          <w:p w14:paraId="4EFD4DEE" w14:textId="77777777" w:rsidR="001E655A"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0.01402534</w:t>
            </w:r>
          </w:p>
        </w:tc>
        <w:tc>
          <w:tcPr>
            <w:tcW w:w="1701" w:type="dxa"/>
            <w:noWrap/>
            <w:vAlign w:val="bottom"/>
          </w:tcPr>
          <w:p w14:paraId="66A388C3" w14:textId="77777777" w:rsidR="001E655A"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0.04529887</w:t>
            </w:r>
          </w:p>
        </w:tc>
        <w:tc>
          <w:tcPr>
            <w:tcW w:w="1701" w:type="dxa"/>
            <w:noWrap/>
            <w:vAlign w:val="bottom"/>
          </w:tcPr>
          <w:p w14:paraId="2AC290DC" w14:textId="77777777" w:rsidR="001E655A"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0.02617066</w:t>
            </w:r>
          </w:p>
        </w:tc>
        <w:tc>
          <w:tcPr>
            <w:tcW w:w="1701" w:type="dxa"/>
            <w:noWrap/>
            <w:vAlign w:val="bottom"/>
          </w:tcPr>
          <w:p w14:paraId="053C109B" w14:textId="77777777" w:rsidR="001E655A"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0.03720774</w:t>
            </w:r>
          </w:p>
        </w:tc>
      </w:tr>
      <w:tr w:rsidR="001E655A" w:rsidRPr="00F547EA" w14:paraId="2A5143CB" w14:textId="77777777" w:rsidTr="006074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31784D05" w14:textId="77777777" w:rsidR="001E655A" w:rsidRPr="00F547EA" w:rsidRDefault="001E655A" w:rsidP="00607429">
            <w:pPr>
              <w:jc w:val="center"/>
              <w:rPr>
                <w:rFonts w:ascii="Times New Roman" w:eastAsia="Times New Roman" w:hAnsi="Times New Roman" w:cs="Times New Roman"/>
                <w:b w:val="0"/>
                <w:bCs w:val="0"/>
                <w:color w:val="000000" w:themeColor="text1"/>
              </w:rPr>
            </w:pPr>
          </w:p>
        </w:tc>
        <w:tc>
          <w:tcPr>
            <w:tcW w:w="1701" w:type="dxa"/>
            <w:tcBorders>
              <w:left w:val="single" w:sz="12" w:space="0" w:color="7BA0CD" w:themeColor="accent1" w:themeTint="BF"/>
            </w:tcBorders>
            <w:noWrap/>
            <w:vAlign w:val="bottom"/>
          </w:tcPr>
          <w:p w14:paraId="6F2F7DF9" w14:textId="77777777" w:rsidR="001E655A" w:rsidRPr="000635E1"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0635E1">
              <w:rPr>
                <w:rFonts w:ascii="Calibri" w:hAnsi="Calibri"/>
                <w:b/>
                <w:color w:val="000000"/>
              </w:rPr>
              <w:t>0</w:t>
            </w:r>
          </w:p>
        </w:tc>
        <w:tc>
          <w:tcPr>
            <w:tcW w:w="1701" w:type="dxa"/>
            <w:noWrap/>
            <w:vAlign w:val="bottom"/>
          </w:tcPr>
          <w:p w14:paraId="0C00AC67" w14:textId="77777777" w:rsidR="001E655A"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0.8033</w:t>
            </w:r>
          </w:p>
        </w:tc>
        <w:tc>
          <w:tcPr>
            <w:tcW w:w="1701" w:type="dxa"/>
            <w:noWrap/>
            <w:vAlign w:val="bottom"/>
          </w:tcPr>
          <w:p w14:paraId="10E2911C" w14:textId="77777777" w:rsidR="001E655A"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0.3787</w:t>
            </w:r>
          </w:p>
        </w:tc>
        <w:tc>
          <w:tcPr>
            <w:tcW w:w="1701" w:type="dxa"/>
            <w:noWrap/>
            <w:vAlign w:val="bottom"/>
          </w:tcPr>
          <w:p w14:paraId="5EE5A0A8" w14:textId="77777777" w:rsidR="001E655A"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0.8112</w:t>
            </w:r>
          </w:p>
        </w:tc>
      </w:tr>
      <w:tr w:rsidR="001E655A" w:rsidRPr="00F547EA" w14:paraId="3879BFA5" w14:textId="77777777" w:rsidTr="0060742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7" w:type="dxa"/>
            <w:vMerge w:val="restart"/>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0AA298C4" w14:textId="77777777" w:rsidR="001E655A" w:rsidRPr="00F547EA" w:rsidRDefault="001E655A" w:rsidP="00607429">
            <w:pPr>
              <w:jc w:val="center"/>
              <w:rPr>
                <w:rFonts w:ascii="Times New Roman" w:eastAsia="Times New Roman" w:hAnsi="Times New Roman" w:cs="Times New Roman"/>
                <w:b w:val="0"/>
                <w:bCs w:val="0"/>
                <w:color w:val="000000" w:themeColor="text1"/>
              </w:rPr>
            </w:pPr>
            <w:r w:rsidRPr="00F547EA">
              <w:rPr>
                <w:rFonts w:ascii="Times New Roman" w:eastAsia="Times New Roman" w:hAnsi="Times New Roman" w:cs="Times New Roman"/>
                <w:color w:val="000000" w:themeColor="text1"/>
              </w:rPr>
              <w:t>Población</w:t>
            </w:r>
          </w:p>
        </w:tc>
        <w:tc>
          <w:tcPr>
            <w:tcW w:w="1701" w:type="dxa"/>
            <w:tcBorders>
              <w:left w:val="single" w:sz="12" w:space="0" w:color="7BA0CD" w:themeColor="accent1" w:themeTint="BF"/>
            </w:tcBorders>
            <w:noWrap/>
            <w:vAlign w:val="bottom"/>
          </w:tcPr>
          <w:p w14:paraId="1ACB5EC3" w14:textId="77777777" w:rsidR="001E655A" w:rsidRDefault="001E655A" w:rsidP="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-0.00000000337</w:t>
            </w:r>
          </w:p>
        </w:tc>
        <w:tc>
          <w:tcPr>
            <w:tcW w:w="1701" w:type="dxa"/>
            <w:noWrap/>
            <w:vAlign w:val="bottom"/>
          </w:tcPr>
          <w:p w14:paraId="06FF243A" w14:textId="77777777" w:rsidR="001E655A" w:rsidRDefault="001E655A" w:rsidP="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0.00000688</w:t>
            </w:r>
          </w:p>
        </w:tc>
        <w:tc>
          <w:tcPr>
            <w:tcW w:w="1701" w:type="dxa"/>
            <w:noWrap/>
            <w:vAlign w:val="bottom"/>
          </w:tcPr>
          <w:p w14:paraId="051D8031" w14:textId="77777777" w:rsidR="001E655A" w:rsidRDefault="001E655A" w:rsidP="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-0.00000000406</w:t>
            </w:r>
          </w:p>
        </w:tc>
        <w:tc>
          <w:tcPr>
            <w:tcW w:w="1701" w:type="dxa"/>
            <w:noWrap/>
            <w:vAlign w:val="bottom"/>
          </w:tcPr>
          <w:p w14:paraId="57CB9757" w14:textId="77777777" w:rsidR="001E655A"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0.00002851</w:t>
            </w:r>
          </w:p>
        </w:tc>
      </w:tr>
      <w:tr w:rsidR="001E655A" w:rsidRPr="00F547EA" w14:paraId="14F943DA" w14:textId="77777777" w:rsidTr="006074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31B9EB05" w14:textId="77777777" w:rsidR="001E655A" w:rsidRPr="00F547EA" w:rsidRDefault="001E655A" w:rsidP="00607429">
            <w:pPr>
              <w:jc w:val="center"/>
              <w:rPr>
                <w:rFonts w:ascii="Times New Roman" w:eastAsia="Times New Roman" w:hAnsi="Times New Roman" w:cs="Times New Roman"/>
                <w:b w:val="0"/>
                <w:bCs w:val="0"/>
                <w:color w:val="000000" w:themeColor="text1"/>
              </w:rPr>
            </w:pPr>
          </w:p>
        </w:tc>
        <w:tc>
          <w:tcPr>
            <w:tcW w:w="1701" w:type="dxa"/>
            <w:tcBorders>
              <w:left w:val="single" w:sz="12" w:space="0" w:color="7BA0CD" w:themeColor="accent1" w:themeTint="BF"/>
            </w:tcBorders>
            <w:noWrap/>
            <w:vAlign w:val="bottom"/>
          </w:tcPr>
          <w:p w14:paraId="4479DCA2" w14:textId="77777777" w:rsidR="001E655A" w:rsidRDefault="001E655A" w:rsidP="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0.0000000157</w:t>
            </w:r>
          </w:p>
        </w:tc>
        <w:tc>
          <w:tcPr>
            <w:tcW w:w="1701" w:type="dxa"/>
            <w:noWrap/>
            <w:vAlign w:val="bottom"/>
          </w:tcPr>
          <w:p w14:paraId="12120713" w14:textId="77777777" w:rsidR="001E655A" w:rsidRDefault="001E655A" w:rsidP="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0.000000657</w:t>
            </w:r>
          </w:p>
        </w:tc>
        <w:tc>
          <w:tcPr>
            <w:tcW w:w="1701" w:type="dxa"/>
            <w:noWrap/>
            <w:vAlign w:val="bottom"/>
          </w:tcPr>
          <w:p w14:paraId="58A61DAC" w14:textId="77777777" w:rsidR="001E655A" w:rsidRDefault="001E655A" w:rsidP="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0.00000000955</w:t>
            </w:r>
          </w:p>
        </w:tc>
        <w:tc>
          <w:tcPr>
            <w:tcW w:w="1701" w:type="dxa"/>
            <w:noWrap/>
            <w:vAlign w:val="bottom"/>
          </w:tcPr>
          <w:p w14:paraId="77CD2B0B" w14:textId="77777777" w:rsidR="001E655A" w:rsidRDefault="001E655A" w:rsidP="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0.00000189</w:t>
            </w:r>
          </w:p>
        </w:tc>
      </w:tr>
      <w:tr w:rsidR="001E655A" w:rsidRPr="00F547EA" w14:paraId="78D3FA59" w14:textId="77777777" w:rsidTr="00E15583">
        <w:trPr>
          <w:cnfStyle w:val="000000010000" w:firstRow="0" w:lastRow="0" w:firstColumn="0" w:lastColumn="0" w:oddVBand="0" w:evenVBand="0" w:oddHBand="0" w:evenHBand="1"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39ACC99A" w14:textId="77777777" w:rsidR="001E655A" w:rsidRPr="00F547EA" w:rsidRDefault="001E655A" w:rsidP="00607429">
            <w:pPr>
              <w:jc w:val="center"/>
              <w:rPr>
                <w:rFonts w:ascii="Times New Roman" w:eastAsia="Times New Roman" w:hAnsi="Times New Roman" w:cs="Times New Roman"/>
                <w:b w:val="0"/>
                <w:bCs w:val="0"/>
                <w:color w:val="000000" w:themeColor="text1"/>
              </w:rPr>
            </w:pPr>
          </w:p>
        </w:tc>
        <w:tc>
          <w:tcPr>
            <w:tcW w:w="1701" w:type="dxa"/>
            <w:tcBorders>
              <w:left w:val="single" w:sz="12" w:space="0" w:color="7BA0CD" w:themeColor="accent1" w:themeTint="BF"/>
            </w:tcBorders>
            <w:noWrap/>
            <w:vAlign w:val="bottom"/>
          </w:tcPr>
          <w:p w14:paraId="34BEF6C2" w14:textId="77777777" w:rsidR="001E655A"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0.8301</w:t>
            </w:r>
          </w:p>
        </w:tc>
        <w:tc>
          <w:tcPr>
            <w:tcW w:w="1701" w:type="dxa"/>
            <w:noWrap/>
            <w:vAlign w:val="bottom"/>
          </w:tcPr>
          <w:p w14:paraId="1D0D33D7" w14:textId="77777777" w:rsidR="001E655A" w:rsidRPr="000635E1"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0635E1">
              <w:rPr>
                <w:rFonts w:ascii="Calibri" w:hAnsi="Calibri"/>
                <w:b/>
                <w:color w:val="000000"/>
              </w:rPr>
              <w:t>0</w:t>
            </w:r>
          </w:p>
        </w:tc>
        <w:tc>
          <w:tcPr>
            <w:tcW w:w="1701" w:type="dxa"/>
            <w:noWrap/>
            <w:vAlign w:val="bottom"/>
          </w:tcPr>
          <w:p w14:paraId="1E8A7DE6" w14:textId="77777777" w:rsidR="001E655A"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0.6708</w:t>
            </w:r>
          </w:p>
        </w:tc>
        <w:tc>
          <w:tcPr>
            <w:tcW w:w="1701" w:type="dxa"/>
            <w:noWrap/>
            <w:vAlign w:val="bottom"/>
          </w:tcPr>
          <w:p w14:paraId="420C9C46" w14:textId="77777777" w:rsidR="001E655A" w:rsidRPr="000635E1"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0635E1">
              <w:rPr>
                <w:rFonts w:ascii="Calibri" w:hAnsi="Calibri"/>
                <w:b/>
                <w:color w:val="000000"/>
              </w:rPr>
              <w:t>0</w:t>
            </w:r>
          </w:p>
        </w:tc>
      </w:tr>
      <w:tr w:rsidR="001E655A" w:rsidRPr="00F547EA" w14:paraId="3D503F40" w14:textId="77777777" w:rsidTr="00E15583">
        <w:trPr>
          <w:cnfStyle w:val="000000100000" w:firstRow="0" w:lastRow="0" w:firstColumn="0" w:lastColumn="0" w:oddVBand="0" w:evenVBand="0" w:oddHBand="1" w:evenHBand="0" w:firstRowFirstColumn="0" w:firstRowLastColumn="0" w:lastRowFirstColumn="0" w:lastRowLastColumn="0"/>
          <w:trHeight w:val="114"/>
        </w:trPr>
        <w:tc>
          <w:tcPr>
            <w:cnfStyle w:val="001000000000" w:firstRow="0" w:lastRow="0" w:firstColumn="1" w:lastColumn="0" w:oddVBand="0" w:evenVBand="0" w:oddHBand="0" w:evenHBand="0" w:firstRowFirstColumn="0" w:firstRowLastColumn="0" w:lastRowFirstColumn="0" w:lastRowLastColumn="0"/>
            <w:tcW w:w="2177" w:type="dxa"/>
            <w:vMerge w:val="restart"/>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77382F20" w14:textId="77777777" w:rsidR="001E655A" w:rsidRPr="00F547EA" w:rsidRDefault="001E655A" w:rsidP="00607429">
            <w:pPr>
              <w:jc w:val="center"/>
              <w:rPr>
                <w:rFonts w:ascii="Times New Roman" w:eastAsia="Times New Roman" w:hAnsi="Times New Roman" w:cs="Times New Roman"/>
                <w:b w:val="0"/>
                <w:bCs w:val="0"/>
                <w:color w:val="000000" w:themeColor="text1"/>
              </w:rPr>
            </w:pPr>
            <w:r w:rsidRPr="00F547EA">
              <w:rPr>
                <w:rFonts w:ascii="Times New Roman" w:eastAsia="Times New Roman" w:hAnsi="Times New Roman" w:cs="Times New Roman"/>
                <w:color w:val="000000" w:themeColor="text1"/>
              </w:rPr>
              <w:t>Año previo a elección municipal</w:t>
            </w:r>
          </w:p>
        </w:tc>
        <w:tc>
          <w:tcPr>
            <w:tcW w:w="1701" w:type="dxa"/>
            <w:tcBorders>
              <w:left w:val="single" w:sz="12" w:space="0" w:color="7BA0CD" w:themeColor="accent1" w:themeTint="BF"/>
            </w:tcBorders>
            <w:noWrap/>
            <w:vAlign w:val="bottom"/>
          </w:tcPr>
          <w:p w14:paraId="4174D623" w14:textId="77777777" w:rsidR="001E655A"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-0.21096228</w:t>
            </w:r>
          </w:p>
        </w:tc>
        <w:tc>
          <w:tcPr>
            <w:tcW w:w="1701" w:type="dxa"/>
            <w:noWrap/>
            <w:vAlign w:val="bottom"/>
          </w:tcPr>
          <w:p w14:paraId="3A47CBC4" w14:textId="77777777" w:rsidR="001E655A"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0.05828351</w:t>
            </w:r>
          </w:p>
        </w:tc>
        <w:tc>
          <w:tcPr>
            <w:tcW w:w="1701" w:type="dxa"/>
            <w:noWrap/>
            <w:vAlign w:val="bottom"/>
          </w:tcPr>
          <w:p w14:paraId="6F60E9E1" w14:textId="77777777" w:rsidR="001E655A"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-0.07938548</w:t>
            </w:r>
          </w:p>
        </w:tc>
        <w:tc>
          <w:tcPr>
            <w:tcW w:w="1701" w:type="dxa"/>
            <w:noWrap/>
            <w:vAlign w:val="bottom"/>
          </w:tcPr>
          <w:p w14:paraId="73F9481C" w14:textId="77777777" w:rsidR="001E655A"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-0.00444444</w:t>
            </w:r>
          </w:p>
        </w:tc>
      </w:tr>
      <w:tr w:rsidR="001E655A" w:rsidRPr="00F547EA" w14:paraId="2308669E" w14:textId="77777777" w:rsidTr="0060742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4A975570" w14:textId="77777777" w:rsidR="001E655A" w:rsidRPr="00F547EA" w:rsidRDefault="001E655A" w:rsidP="00607429">
            <w:pPr>
              <w:jc w:val="center"/>
              <w:rPr>
                <w:rFonts w:ascii="Times New Roman" w:eastAsia="Times New Roman" w:hAnsi="Times New Roman" w:cs="Times New Roman"/>
                <w:b w:val="0"/>
                <w:bCs w:val="0"/>
                <w:color w:val="000000" w:themeColor="text1"/>
              </w:rPr>
            </w:pPr>
          </w:p>
        </w:tc>
        <w:tc>
          <w:tcPr>
            <w:tcW w:w="1701" w:type="dxa"/>
            <w:tcBorders>
              <w:left w:val="single" w:sz="12" w:space="0" w:color="7BA0CD" w:themeColor="accent1" w:themeTint="BF"/>
            </w:tcBorders>
            <w:noWrap/>
            <w:vAlign w:val="bottom"/>
          </w:tcPr>
          <w:p w14:paraId="2AB585B3" w14:textId="77777777" w:rsidR="001E655A"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0.05375293</w:t>
            </w:r>
          </w:p>
        </w:tc>
        <w:tc>
          <w:tcPr>
            <w:tcW w:w="1701" w:type="dxa"/>
            <w:noWrap/>
            <w:vAlign w:val="bottom"/>
          </w:tcPr>
          <w:p w14:paraId="10D6FFF8" w14:textId="77777777" w:rsidR="001E655A"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0.14324697</w:t>
            </w:r>
          </w:p>
        </w:tc>
        <w:tc>
          <w:tcPr>
            <w:tcW w:w="1701" w:type="dxa"/>
            <w:noWrap/>
            <w:vAlign w:val="bottom"/>
          </w:tcPr>
          <w:p w14:paraId="23267BB4" w14:textId="77777777" w:rsidR="001E655A"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0.11708022</w:t>
            </w:r>
          </w:p>
        </w:tc>
        <w:tc>
          <w:tcPr>
            <w:tcW w:w="1701" w:type="dxa"/>
            <w:noWrap/>
            <w:vAlign w:val="bottom"/>
          </w:tcPr>
          <w:p w14:paraId="16645B1F" w14:textId="77777777" w:rsidR="001E655A"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0.13415442</w:t>
            </w:r>
          </w:p>
        </w:tc>
      </w:tr>
      <w:tr w:rsidR="001E655A" w:rsidRPr="00F547EA" w14:paraId="36E87763" w14:textId="77777777" w:rsidTr="00E15583">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14557146" w14:textId="77777777" w:rsidR="001E655A" w:rsidRPr="00F547EA" w:rsidRDefault="001E655A" w:rsidP="00607429">
            <w:pPr>
              <w:jc w:val="center"/>
              <w:rPr>
                <w:rFonts w:ascii="Times New Roman" w:eastAsia="Times New Roman" w:hAnsi="Times New Roman" w:cs="Times New Roman"/>
                <w:b w:val="0"/>
                <w:bCs w:val="0"/>
                <w:color w:val="000000" w:themeColor="text1"/>
              </w:rPr>
            </w:pPr>
          </w:p>
        </w:tc>
        <w:tc>
          <w:tcPr>
            <w:tcW w:w="1701" w:type="dxa"/>
            <w:tcBorders>
              <w:left w:val="single" w:sz="12" w:space="0" w:color="7BA0CD" w:themeColor="accent1" w:themeTint="BF"/>
            </w:tcBorders>
            <w:noWrap/>
            <w:vAlign w:val="bottom"/>
          </w:tcPr>
          <w:p w14:paraId="2CE754E9" w14:textId="77777777" w:rsidR="001E655A" w:rsidRPr="000635E1"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0635E1">
              <w:rPr>
                <w:rFonts w:ascii="Calibri" w:hAnsi="Calibri"/>
                <w:b/>
                <w:color w:val="000000"/>
              </w:rPr>
              <w:t>0.0001</w:t>
            </w:r>
          </w:p>
        </w:tc>
        <w:tc>
          <w:tcPr>
            <w:tcW w:w="1701" w:type="dxa"/>
            <w:noWrap/>
            <w:vAlign w:val="bottom"/>
          </w:tcPr>
          <w:p w14:paraId="41B13740" w14:textId="77777777" w:rsidR="001E655A"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0.6841</w:t>
            </w:r>
          </w:p>
        </w:tc>
        <w:tc>
          <w:tcPr>
            <w:tcW w:w="1701" w:type="dxa"/>
            <w:noWrap/>
            <w:vAlign w:val="bottom"/>
          </w:tcPr>
          <w:p w14:paraId="46A16C77" w14:textId="77777777" w:rsidR="001E655A"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0.4977</w:t>
            </w:r>
          </w:p>
        </w:tc>
        <w:tc>
          <w:tcPr>
            <w:tcW w:w="1701" w:type="dxa"/>
            <w:noWrap/>
            <w:vAlign w:val="bottom"/>
          </w:tcPr>
          <w:p w14:paraId="39CADF62" w14:textId="77777777" w:rsidR="001E655A"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0.9736</w:t>
            </w:r>
          </w:p>
        </w:tc>
      </w:tr>
      <w:tr w:rsidR="001E655A" w:rsidRPr="00F547EA" w14:paraId="6392A3E0" w14:textId="77777777" w:rsidTr="00E15583">
        <w:trPr>
          <w:cnfStyle w:val="000000010000" w:firstRow="0" w:lastRow="0" w:firstColumn="0" w:lastColumn="0" w:oddVBand="0" w:evenVBand="0" w:oddHBand="0" w:evenHBand="1"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2177" w:type="dxa"/>
            <w:vMerge w:val="restart"/>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0F38E111" w14:textId="77777777" w:rsidR="001E655A" w:rsidRPr="00F547EA" w:rsidRDefault="001E655A" w:rsidP="00607429">
            <w:pPr>
              <w:jc w:val="center"/>
              <w:rPr>
                <w:rFonts w:ascii="Times New Roman" w:eastAsia="Times New Roman" w:hAnsi="Times New Roman" w:cs="Times New Roman"/>
                <w:b w:val="0"/>
                <w:bCs w:val="0"/>
                <w:color w:val="000000" w:themeColor="text1"/>
              </w:rPr>
            </w:pPr>
            <w:r w:rsidRPr="00F547EA">
              <w:rPr>
                <w:rFonts w:ascii="Times New Roman" w:eastAsia="Times New Roman" w:hAnsi="Times New Roman" w:cs="Times New Roman"/>
                <w:color w:val="000000" w:themeColor="text1"/>
              </w:rPr>
              <w:t>Año electoral municipal</w:t>
            </w:r>
          </w:p>
        </w:tc>
        <w:tc>
          <w:tcPr>
            <w:tcW w:w="1701" w:type="dxa"/>
            <w:tcBorders>
              <w:left w:val="single" w:sz="12" w:space="0" w:color="7BA0CD" w:themeColor="accent1" w:themeTint="BF"/>
            </w:tcBorders>
            <w:noWrap/>
            <w:vAlign w:val="bottom"/>
          </w:tcPr>
          <w:p w14:paraId="141F0353" w14:textId="77777777" w:rsidR="001E655A"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-0.06912004</w:t>
            </w:r>
          </w:p>
        </w:tc>
        <w:tc>
          <w:tcPr>
            <w:tcW w:w="1701" w:type="dxa"/>
            <w:noWrap/>
            <w:vAlign w:val="bottom"/>
          </w:tcPr>
          <w:p w14:paraId="04CF38D5" w14:textId="77777777" w:rsidR="001E655A"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0.33395833</w:t>
            </w:r>
          </w:p>
        </w:tc>
        <w:tc>
          <w:tcPr>
            <w:tcW w:w="1701" w:type="dxa"/>
            <w:noWrap/>
            <w:vAlign w:val="bottom"/>
          </w:tcPr>
          <w:p w14:paraId="1CC40744" w14:textId="77777777" w:rsidR="001E655A"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0.04857145</w:t>
            </w:r>
          </w:p>
        </w:tc>
        <w:tc>
          <w:tcPr>
            <w:tcW w:w="1701" w:type="dxa"/>
            <w:noWrap/>
            <w:vAlign w:val="bottom"/>
          </w:tcPr>
          <w:p w14:paraId="275784E9" w14:textId="77777777" w:rsidR="001E655A"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-0.36888889</w:t>
            </w:r>
          </w:p>
        </w:tc>
      </w:tr>
      <w:tr w:rsidR="001E655A" w:rsidRPr="00F547EA" w14:paraId="7A73CBC4" w14:textId="77777777" w:rsidTr="00E15583">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0BA5C249" w14:textId="77777777" w:rsidR="001E655A" w:rsidRPr="00F547EA" w:rsidRDefault="001E655A" w:rsidP="00607429">
            <w:pPr>
              <w:jc w:val="center"/>
              <w:rPr>
                <w:rFonts w:ascii="Times New Roman" w:eastAsia="Times New Roman" w:hAnsi="Times New Roman" w:cs="Times New Roman"/>
                <w:b w:val="0"/>
                <w:bCs w:val="0"/>
                <w:color w:val="000000" w:themeColor="text1"/>
              </w:rPr>
            </w:pPr>
          </w:p>
        </w:tc>
        <w:tc>
          <w:tcPr>
            <w:tcW w:w="1701" w:type="dxa"/>
            <w:tcBorders>
              <w:left w:val="single" w:sz="12" w:space="0" w:color="7BA0CD" w:themeColor="accent1" w:themeTint="BF"/>
            </w:tcBorders>
            <w:noWrap/>
            <w:vAlign w:val="bottom"/>
          </w:tcPr>
          <w:p w14:paraId="711B324C" w14:textId="77777777" w:rsidR="001E655A"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0.05622253</w:t>
            </w:r>
          </w:p>
        </w:tc>
        <w:tc>
          <w:tcPr>
            <w:tcW w:w="1701" w:type="dxa"/>
            <w:noWrap/>
            <w:vAlign w:val="bottom"/>
          </w:tcPr>
          <w:p w14:paraId="3B658E43" w14:textId="77777777" w:rsidR="001E655A"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0.11984929</w:t>
            </w:r>
          </w:p>
        </w:tc>
        <w:tc>
          <w:tcPr>
            <w:tcW w:w="1701" w:type="dxa"/>
            <w:noWrap/>
            <w:vAlign w:val="bottom"/>
          </w:tcPr>
          <w:p w14:paraId="420F7589" w14:textId="77777777" w:rsidR="001E655A"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0.09473964</w:t>
            </w:r>
          </w:p>
        </w:tc>
        <w:tc>
          <w:tcPr>
            <w:tcW w:w="1701" w:type="dxa"/>
            <w:noWrap/>
            <w:vAlign w:val="bottom"/>
          </w:tcPr>
          <w:p w14:paraId="661CD066" w14:textId="77777777" w:rsidR="001E655A"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0.13415442</w:t>
            </w:r>
          </w:p>
        </w:tc>
      </w:tr>
      <w:tr w:rsidR="001E655A" w:rsidRPr="00F547EA" w14:paraId="3B9D72A1" w14:textId="77777777" w:rsidTr="00E15583">
        <w:trPr>
          <w:cnfStyle w:val="000000010000" w:firstRow="0" w:lastRow="0" w:firstColumn="0" w:lastColumn="0" w:oddVBand="0" w:evenVBand="0" w:oddHBand="0" w:evenHBand="1"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475D21ED" w14:textId="77777777" w:rsidR="001E655A" w:rsidRPr="00F547EA" w:rsidRDefault="001E655A" w:rsidP="00607429">
            <w:pPr>
              <w:jc w:val="center"/>
              <w:rPr>
                <w:rFonts w:ascii="Times New Roman" w:eastAsia="Times New Roman" w:hAnsi="Times New Roman" w:cs="Times New Roman"/>
                <w:b w:val="0"/>
                <w:bCs w:val="0"/>
                <w:color w:val="000000" w:themeColor="text1"/>
              </w:rPr>
            </w:pPr>
          </w:p>
        </w:tc>
        <w:tc>
          <w:tcPr>
            <w:tcW w:w="1701" w:type="dxa"/>
            <w:tcBorders>
              <w:left w:val="single" w:sz="12" w:space="0" w:color="7BA0CD" w:themeColor="accent1" w:themeTint="BF"/>
            </w:tcBorders>
            <w:noWrap/>
            <w:vAlign w:val="bottom"/>
          </w:tcPr>
          <w:p w14:paraId="5AEB6786" w14:textId="77777777" w:rsidR="001E655A"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0.2189</w:t>
            </w:r>
          </w:p>
        </w:tc>
        <w:tc>
          <w:tcPr>
            <w:tcW w:w="1701" w:type="dxa"/>
            <w:noWrap/>
            <w:vAlign w:val="bottom"/>
          </w:tcPr>
          <w:p w14:paraId="13EF6523" w14:textId="77777777" w:rsidR="001E655A" w:rsidRPr="000635E1"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0635E1">
              <w:rPr>
                <w:rFonts w:ascii="Calibri" w:hAnsi="Calibri"/>
                <w:b/>
                <w:color w:val="000000"/>
              </w:rPr>
              <w:t>0.0053</w:t>
            </w:r>
          </w:p>
        </w:tc>
        <w:tc>
          <w:tcPr>
            <w:tcW w:w="1701" w:type="dxa"/>
            <w:noWrap/>
            <w:vAlign w:val="bottom"/>
          </w:tcPr>
          <w:p w14:paraId="6207A0F1" w14:textId="77777777" w:rsidR="001E655A"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0.6082</w:t>
            </w:r>
          </w:p>
        </w:tc>
        <w:tc>
          <w:tcPr>
            <w:tcW w:w="1701" w:type="dxa"/>
            <w:noWrap/>
            <w:vAlign w:val="bottom"/>
          </w:tcPr>
          <w:p w14:paraId="59B6245A" w14:textId="77777777" w:rsidR="001E655A" w:rsidRPr="000635E1"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0635E1">
              <w:rPr>
                <w:rFonts w:ascii="Calibri" w:hAnsi="Calibri"/>
                <w:b/>
                <w:color w:val="000000"/>
              </w:rPr>
              <w:t>0.006</w:t>
            </w:r>
          </w:p>
        </w:tc>
      </w:tr>
      <w:tr w:rsidR="001E655A" w:rsidRPr="00F547EA" w14:paraId="56AFD04E" w14:textId="77777777" w:rsidTr="00E15583">
        <w:trPr>
          <w:cnfStyle w:val="000000100000" w:firstRow="0" w:lastRow="0" w:firstColumn="0" w:lastColumn="0" w:oddVBand="0" w:evenVBand="0" w:oddHBand="1" w:evenHBand="0"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2177" w:type="dxa"/>
            <w:vMerge w:val="restart"/>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22434D7A" w14:textId="77777777" w:rsidR="001E655A" w:rsidRPr="00F547EA" w:rsidRDefault="001E655A" w:rsidP="00607429">
            <w:pPr>
              <w:jc w:val="center"/>
              <w:rPr>
                <w:rFonts w:ascii="Times New Roman" w:eastAsia="Times New Roman" w:hAnsi="Times New Roman" w:cs="Times New Roman"/>
                <w:b w:val="0"/>
                <w:bCs w:val="0"/>
                <w:color w:val="000000" w:themeColor="text1"/>
              </w:rPr>
            </w:pPr>
            <w:r w:rsidRPr="00F547EA">
              <w:rPr>
                <w:rFonts w:ascii="Times New Roman" w:eastAsia="Times New Roman" w:hAnsi="Times New Roman" w:cs="Times New Roman"/>
                <w:color w:val="000000" w:themeColor="text1"/>
              </w:rPr>
              <w:t>Año previo a elección de gobernador</w:t>
            </w:r>
          </w:p>
        </w:tc>
        <w:tc>
          <w:tcPr>
            <w:tcW w:w="1701" w:type="dxa"/>
            <w:tcBorders>
              <w:left w:val="single" w:sz="12" w:space="0" w:color="7BA0CD" w:themeColor="accent1" w:themeTint="BF"/>
            </w:tcBorders>
            <w:noWrap/>
            <w:vAlign w:val="bottom"/>
          </w:tcPr>
          <w:p w14:paraId="0B0003A3" w14:textId="77777777" w:rsidR="001E655A"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0.21177401</w:t>
            </w:r>
          </w:p>
        </w:tc>
        <w:tc>
          <w:tcPr>
            <w:tcW w:w="1701" w:type="dxa"/>
            <w:noWrap/>
            <w:vAlign w:val="bottom"/>
          </w:tcPr>
          <w:p w14:paraId="1A982E2D" w14:textId="77777777" w:rsidR="001E655A"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0.91401718</w:t>
            </w:r>
          </w:p>
        </w:tc>
        <w:tc>
          <w:tcPr>
            <w:tcW w:w="1701" w:type="dxa"/>
            <w:noWrap/>
            <w:vAlign w:val="bottom"/>
          </w:tcPr>
          <w:p w14:paraId="5B304365" w14:textId="77777777" w:rsidR="001E655A"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0.26582829</w:t>
            </w:r>
          </w:p>
        </w:tc>
        <w:tc>
          <w:tcPr>
            <w:tcW w:w="1701" w:type="dxa"/>
            <w:noWrap/>
            <w:vAlign w:val="bottom"/>
          </w:tcPr>
          <w:p w14:paraId="65966BBB" w14:textId="77777777" w:rsidR="001E655A"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-0.24</w:t>
            </w:r>
          </w:p>
        </w:tc>
      </w:tr>
      <w:tr w:rsidR="001E655A" w:rsidRPr="00F547EA" w14:paraId="53D32DB9" w14:textId="77777777" w:rsidTr="00E15583">
        <w:trPr>
          <w:cnfStyle w:val="000000010000" w:firstRow="0" w:lastRow="0" w:firstColumn="0" w:lastColumn="0" w:oddVBand="0" w:evenVBand="0" w:oddHBand="0" w:evenHBand="1"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31D72557" w14:textId="77777777" w:rsidR="001E655A" w:rsidRPr="00F547EA" w:rsidRDefault="001E655A" w:rsidP="00607429">
            <w:pPr>
              <w:jc w:val="center"/>
              <w:rPr>
                <w:rFonts w:ascii="Times New Roman" w:eastAsia="Times New Roman" w:hAnsi="Times New Roman" w:cs="Times New Roman"/>
                <w:b w:val="0"/>
                <w:bCs w:val="0"/>
                <w:color w:val="000000" w:themeColor="text1"/>
              </w:rPr>
            </w:pPr>
          </w:p>
        </w:tc>
        <w:tc>
          <w:tcPr>
            <w:tcW w:w="1701" w:type="dxa"/>
            <w:tcBorders>
              <w:left w:val="single" w:sz="12" w:space="0" w:color="7BA0CD" w:themeColor="accent1" w:themeTint="BF"/>
            </w:tcBorders>
            <w:noWrap/>
            <w:vAlign w:val="bottom"/>
          </w:tcPr>
          <w:p w14:paraId="25C04EC0" w14:textId="77777777" w:rsidR="001E655A"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0.06022639</w:t>
            </w:r>
          </w:p>
        </w:tc>
        <w:tc>
          <w:tcPr>
            <w:tcW w:w="1701" w:type="dxa"/>
            <w:noWrap/>
            <w:vAlign w:val="bottom"/>
          </w:tcPr>
          <w:p w14:paraId="5D99F4EA" w14:textId="77777777" w:rsidR="001E655A"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0.19218642</w:t>
            </w:r>
          </w:p>
        </w:tc>
        <w:tc>
          <w:tcPr>
            <w:tcW w:w="1701" w:type="dxa"/>
            <w:noWrap/>
            <w:vAlign w:val="bottom"/>
          </w:tcPr>
          <w:p w14:paraId="765594B0" w14:textId="77777777" w:rsidR="001E655A"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0.1082341</w:t>
            </w:r>
          </w:p>
        </w:tc>
        <w:tc>
          <w:tcPr>
            <w:tcW w:w="1701" w:type="dxa"/>
            <w:noWrap/>
            <w:vAlign w:val="bottom"/>
          </w:tcPr>
          <w:p w14:paraId="4C36226B" w14:textId="77777777" w:rsidR="001E655A"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0.15785908</w:t>
            </w:r>
          </w:p>
        </w:tc>
      </w:tr>
      <w:tr w:rsidR="001E655A" w:rsidRPr="00F547EA" w14:paraId="672296FF" w14:textId="77777777" w:rsidTr="00E15583">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678DFDA7" w14:textId="77777777" w:rsidR="001E655A" w:rsidRPr="00F547EA" w:rsidRDefault="001E655A" w:rsidP="00607429">
            <w:pPr>
              <w:jc w:val="center"/>
              <w:rPr>
                <w:rFonts w:ascii="Times New Roman" w:eastAsia="Times New Roman" w:hAnsi="Times New Roman" w:cs="Times New Roman"/>
                <w:b w:val="0"/>
                <w:bCs w:val="0"/>
                <w:color w:val="000000" w:themeColor="text1"/>
              </w:rPr>
            </w:pPr>
          </w:p>
        </w:tc>
        <w:tc>
          <w:tcPr>
            <w:tcW w:w="1701" w:type="dxa"/>
            <w:tcBorders>
              <w:left w:val="single" w:sz="12" w:space="0" w:color="7BA0CD" w:themeColor="accent1" w:themeTint="BF"/>
            </w:tcBorders>
            <w:noWrap/>
            <w:vAlign w:val="bottom"/>
          </w:tcPr>
          <w:p w14:paraId="4D48DBA4" w14:textId="77777777" w:rsidR="001E655A" w:rsidRPr="000635E1"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0635E1">
              <w:rPr>
                <w:rFonts w:ascii="Calibri" w:hAnsi="Calibri"/>
                <w:b/>
                <w:color w:val="000000"/>
              </w:rPr>
              <w:t>0.0004</w:t>
            </w:r>
          </w:p>
        </w:tc>
        <w:tc>
          <w:tcPr>
            <w:tcW w:w="1701" w:type="dxa"/>
            <w:noWrap/>
            <w:vAlign w:val="bottom"/>
          </w:tcPr>
          <w:p w14:paraId="7F1EF299" w14:textId="77777777" w:rsidR="001E655A" w:rsidRPr="000635E1"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0635E1">
              <w:rPr>
                <w:rFonts w:ascii="Calibri" w:hAnsi="Calibri"/>
                <w:b/>
                <w:color w:val="000000"/>
              </w:rPr>
              <w:t>0</w:t>
            </w:r>
          </w:p>
        </w:tc>
        <w:tc>
          <w:tcPr>
            <w:tcW w:w="1701" w:type="dxa"/>
            <w:noWrap/>
            <w:vAlign w:val="bottom"/>
          </w:tcPr>
          <w:p w14:paraId="614DD77C" w14:textId="77777777" w:rsidR="001E655A" w:rsidRPr="000635E1"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0635E1">
              <w:rPr>
                <w:rFonts w:ascii="Calibri" w:hAnsi="Calibri"/>
                <w:b/>
                <w:color w:val="000000"/>
              </w:rPr>
              <w:t>0.014</w:t>
            </w:r>
          </w:p>
        </w:tc>
        <w:tc>
          <w:tcPr>
            <w:tcW w:w="1701" w:type="dxa"/>
            <w:noWrap/>
            <w:vAlign w:val="bottom"/>
          </w:tcPr>
          <w:p w14:paraId="02508C4A" w14:textId="77777777" w:rsidR="001E655A"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0.1284</w:t>
            </w:r>
          </w:p>
        </w:tc>
      </w:tr>
      <w:tr w:rsidR="001E655A" w:rsidRPr="00F547EA" w14:paraId="08283A11" w14:textId="77777777" w:rsidTr="00E15583">
        <w:trPr>
          <w:cnfStyle w:val="000000010000" w:firstRow="0" w:lastRow="0" w:firstColumn="0" w:lastColumn="0" w:oddVBand="0" w:evenVBand="0" w:oddHBand="0" w:evenHBand="1"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2177" w:type="dxa"/>
            <w:vMerge w:val="restart"/>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3507A39C" w14:textId="77777777" w:rsidR="001E655A" w:rsidRPr="00F547EA" w:rsidRDefault="001E655A" w:rsidP="00607429">
            <w:pPr>
              <w:jc w:val="center"/>
              <w:rPr>
                <w:rFonts w:ascii="Times New Roman" w:eastAsia="Times New Roman" w:hAnsi="Times New Roman" w:cs="Times New Roman"/>
                <w:b w:val="0"/>
                <w:bCs w:val="0"/>
                <w:color w:val="000000" w:themeColor="text1"/>
              </w:rPr>
            </w:pPr>
            <w:r w:rsidRPr="00F547EA">
              <w:rPr>
                <w:rFonts w:ascii="Times New Roman" w:eastAsia="Times New Roman" w:hAnsi="Times New Roman" w:cs="Times New Roman"/>
                <w:color w:val="000000" w:themeColor="text1"/>
              </w:rPr>
              <w:t>Año electoral para gobernador</w:t>
            </w:r>
          </w:p>
        </w:tc>
        <w:tc>
          <w:tcPr>
            <w:tcW w:w="1701" w:type="dxa"/>
            <w:tcBorders>
              <w:left w:val="single" w:sz="12" w:space="0" w:color="7BA0CD" w:themeColor="accent1" w:themeTint="BF"/>
            </w:tcBorders>
            <w:noWrap/>
            <w:vAlign w:val="bottom"/>
          </w:tcPr>
          <w:p w14:paraId="011C6288" w14:textId="77777777" w:rsidR="001E655A"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-0.08694453</w:t>
            </w:r>
          </w:p>
        </w:tc>
        <w:tc>
          <w:tcPr>
            <w:tcW w:w="1701" w:type="dxa"/>
            <w:noWrap/>
            <w:vAlign w:val="bottom"/>
          </w:tcPr>
          <w:p w14:paraId="38FC9A21" w14:textId="77777777" w:rsidR="001E655A"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0.04445196</w:t>
            </w:r>
          </w:p>
        </w:tc>
        <w:tc>
          <w:tcPr>
            <w:tcW w:w="1701" w:type="dxa"/>
            <w:noWrap/>
            <w:vAlign w:val="bottom"/>
          </w:tcPr>
          <w:p w14:paraId="4DB1A999" w14:textId="77777777" w:rsidR="001E655A"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0.25638519</w:t>
            </w:r>
          </w:p>
        </w:tc>
        <w:tc>
          <w:tcPr>
            <w:tcW w:w="1701" w:type="dxa"/>
            <w:noWrap/>
            <w:vAlign w:val="bottom"/>
          </w:tcPr>
          <w:p w14:paraId="33C42E12" w14:textId="77777777" w:rsidR="001E655A"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0.12666667</w:t>
            </w:r>
          </w:p>
        </w:tc>
      </w:tr>
      <w:tr w:rsidR="001E655A" w:rsidRPr="00F547EA" w14:paraId="18160294" w14:textId="77777777" w:rsidTr="00E15583">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0A484345" w14:textId="77777777" w:rsidR="001E655A" w:rsidRPr="00F547EA" w:rsidRDefault="001E655A" w:rsidP="00607429">
            <w:pPr>
              <w:jc w:val="center"/>
              <w:rPr>
                <w:rFonts w:ascii="Times New Roman" w:eastAsia="Times New Roman" w:hAnsi="Times New Roman" w:cs="Times New Roman"/>
                <w:b w:val="0"/>
                <w:bCs w:val="0"/>
                <w:color w:val="000000" w:themeColor="text1"/>
              </w:rPr>
            </w:pPr>
          </w:p>
        </w:tc>
        <w:tc>
          <w:tcPr>
            <w:tcW w:w="1701" w:type="dxa"/>
            <w:tcBorders>
              <w:left w:val="single" w:sz="12" w:space="0" w:color="7BA0CD" w:themeColor="accent1" w:themeTint="BF"/>
            </w:tcBorders>
            <w:noWrap/>
            <w:vAlign w:val="bottom"/>
          </w:tcPr>
          <w:p w14:paraId="11495E2C" w14:textId="77777777" w:rsidR="001E655A"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0.06519218</w:t>
            </w:r>
          </w:p>
        </w:tc>
        <w:tc>
          <w:tcPr>
            <w:tcW w:w="1701" w:type="dxa"/>
            <w:noWrap/>
            <w:vAlign w:val="bottom"/>
          </w:tcPr>
          <w:p w14:paraId="46AE88FD" w14:textId="77777777" w:rsidR="001E655A"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0.19218642</w:t>
            </w:r>
          </w:p>
        </w:tc>
        <w:tc>
          <w:tcPr>
            <w:tcW w:w="1701" w:type="dxa"/>
            <w:noWrap/>
            <w:vAlign w:val="bottom"/>
          </w:tcPr>
          <w:p w14:paraId="30CA24EF" w14:textId="77777777" w:rsidR="001E655A"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0.14819302</w:t>
            </w:r>
          </w:p>
        </w:tc>
        <w:tc>
          <w:tcPr>
            <w:tcW w:w="1701" w:type="dxa"/>
            <w:noWrap/>
            <w:vAlign w:val="bottom"/>
          </w:tcPr>
          <w:p w14:paraId="55F7A231" w14:textId="77777777" w:rsidR="001E655A"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0.15785908</w:t>
            </w:r>
          </w:p>
        </w:tc>
      </w:tr>
      <w:tr w:rsidR="001E655A" w:rsidRPr="00F547EA" w14:paraId="7ED49892" w14:textId="77777777" w:rsidTr="00E15583">
        <w:trPr>
          <w:cnfStyle w:val="000000010000" w:firstRow="0" w:lastRow="0" w:firstColumn="0" w:lastColumn="0" w:oddVBand="0" w:evenVBand="0" w:oddHBand="0" w:evenHBand="1"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1F6D93E7" w14:textId="77777777" w:rsidR="001E655A" w:rsidRPr="00F547EA" w:rsidRDefault="001E655A" w:rsidP="00607429">
            <w:pPr>
              <w:jc w:val="center"/>
              <w:rPr>
                <w:rFonts w:ascii="Times New Roman" w:eastAsia="Times New Roman" w:hAnsi="Times New Roman" w:cs="Times New Roman"/>
                <w:b w:val="0"/>
                <w:bCs w:val="0"/>
                <w:color w:val="000000" w:themeColor="text1"/>
              </w:rPr>
            </w:pPr>
          </w:p>
        </w:tc>
        <w:tc>
          <w:tcPr>
            <w:tcW w:w="1701" w:type="dxa"/>
            <w:tcBorders>
              <w:left w:val="single" w:sz="12" w:space="0" w:color="7BA0CD" w:themeColor="accent1" w:themeTint="BF"/>
            </w:tcBorders>
            <w:noWrap/>
            <w:vAlign w:val="bottom"/>
          </w:tcPr>
          <w:p w14:paraId="49CFB7DE" w14:textId="77777777" w:rsidR="001E655A"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0.1823</w:t>
            </w:r>
          </w:p>
        </w:tc>
        <w:tc>
          <w:tcPr>
            <w:tcW w:w="1701" w:type="dxa"/>
            <w:noWrap/>
            <w:vAlign w:val="bottom"/>
          </w:tcPr>
          <w:p w14:paraId="40CDAD45" w14:textId="77777777" w:rsidR="001E655A"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0.8171</w:t>
            </w:r>
          </w:p>
        </w:tc>
        <w:tc>
          <w:tcPr>
            <w:tcW w:w="1701" w:type="dxa"/>
            <w:noWrap/>
            <w:vAlign w:val="bottom"/>
          </w:tcPr>
          <w:p w14:paraId="2D7CFFF1" w14:textId="77777777" w:rsidR="001E655A" w:rsidRPr="00E15583"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sidRPr="00E15583">
              <w:rPr>
                <w:rFonts w:ascii="Calibri" w:hAnsi="Calibri"/>
                <w:color w:val="000000"/>
              </w:rPr>
              <w:t>0.0836</w:t>
            </w:r>
          </w:p>
        </w:tc>
        <w:tc>
          <w:tcPr>
            <w:tcW w:w="1701" w:type="dxa"/>
            <w:noWrap/>
            <w:vAlign w:val="bottom"/>
          </w:tcPr>
          <w:p w14:paraId="2F738C28" w14:textId="77777777" w:rsidR="001E655A"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0.4223</w:t>
            </w:r>
          </w:p>
        </w:tc>
      </w:tr>
      <w:tr w:rsidR="001E655A" w:rsidRPr="00F547EA" w14:paraId="720F3396" w14:textId="77777777" w:rsidTr="00E15583">
        <w:trPr>
          <w:cnfStyle w:val="000000100000" w:firstRow="0" w:lastRow="0" w:firstColumn="0" w:lastColumn="0" w:oddVBand="0" w:evenVBand="0" w:oddHBand="1" w:evenHBand="0"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2177" w:type="dxa"/>
            <w:vMerge w:val="restart"/>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vAlign w:val="center"/>
          </w:tcPr>
          <w:p w14:paraId="3CEE022A" w14:textId="77777777" w:rsidR="001E655A" w:rsidRPr="00F547EA" w:rsidRDefault="001E655A" w:rsidP="00607429">
            <w:pPr>
              <w:jc w:val="center"/>
              <w:rPr>
                <w:rFonts w:ascii="Times New Roman" w:eastAsia="Times New Roman" w:hAnsi="Times New Roman" w:cs="Times New Roman"/>
                <w:b w:val="0"/>
                <w:bCs w:val="0"/>
                <w:color w:val="000000" w:themeColor="text1"/>
              </w:rPr>
            </w:pPr>
            <w:r w:rsidRPr="00F547EA">
              <w:rPr>
                <w:rFonts w:ascii="Times New Roman" w:eastAsia="Times New Roman" w:hAnsi="Times New Roman" w:cs="Times New Roman"/>
                <w:color w:val="000000" w:themeColor="text1"/>
              </w:rPr>
              <w:t>Constante</w:t>
            </w:r>
          </w:p>
        </w:tc>
        <w:tc>
          <w:tcPr>
            <w:tcW w:w="1701" w:type="dxa"/>
            <w:tcBorders>
              <w:left w:val="single" w:sz="12" w:space="0" w:color="7BA0CD" w:themeColor="accent1" w:themeTint="BF"/>
            </w:tcBorders>
            <w:noWrap/>
            <w:vAlign w:val="bottom"/>
          </w:tcPr>
          <w:p w14:paraId="11D5D91B" w14:textId="77777777" w:rsidR="001E655A"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-135.94784</w:t>
            </w:r>
          </w:p>
        </w:tc>
        <w:tc>
          <w:tcPr>
            <w:tcW w:w="1701" w:type="dxa"/>
            <w:noWrap/>
            <w:vAlign w:val="bottom"/>
          </w:tcPr>
          <w:p w14:paraId="53F69E19" w14:textId="77777777" w:rsidR="001E655A"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-23.378056</w:t>
            </w:r>
          </w:p>
        </w:tc>
        <w:tc>
          <w:tcPr>
            <w:tcW w:w="1701" w:type="dxa"/>
            <w:noWrap/>
            <w:vAlign w:val="bottom"/>
          </w:tcPr>
          <w:p w14:paraId="371C1540" w14:textId="77777777" w:rsidR="001E655A"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-46.965335</w:t>
            </w:r>
          </w:p>
        </w:tc>
        <w:tc>
          <w:tcPr>
            <w:tcW w:w="1701" w:type="dxa"/>
            <w:noWrap/>
            <w:vAlign w:val="bottom"/>
          </w:tcPr>
          <w:p w14:paraId="4B680EDE" w14:textId="77777777" w:rsidR="001E655A"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17.145798</w:t>
            </w:r>
          </w:p>
        </w:tc>
      </w:tr>
      <w:tr w:rsidR="001E655A" w:rsidRPr="00F547EA" w14:paraId="532E6556" w14:textId="77777777" w:rsidTr="00E15583">
        <w:trPr>
          <w:cnfStyle w:val="000000010000" w:firstRow="0" w:lastRow="0" w:firstColumn="0" w:lastColumn="0" w:oddVBand="0" w:evenVBand="0" w:oddHBand="0" w:evenHBand="1"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tcPr>
          <w:p w14:paraId="4C3AF2A2" w14:textId="77777777" w:rsidR="001E655A" w:rsidRPr="00F547EA" w:rsidRDefault="001E655A" w:rsidP="00607429">
            <w:pPr>
              <w:rPr>
                <w:rFonts w:ascii="Times New Roman" w:eastAsia="Times New Roman" w:hAnsi="Times New Roman" w:cs="Times New Roman"/>
                <w:b w:val="0"/>
                <w:bCs w:val="0"/>
              </w:rPr>
            </w:pPr>
          </w:p>
        </w:tc>
        <w:tc>
          <w:tcPr>
            <w:tcW w:w="1701" w:type="dxa"/>
            <w:tcBorders>
              <w:left w:val="single" w:sz="12" w:space="0" w:color="7BA0CD" w:themeColor="accent1" w:themeTint="BF"/>
            </w:tcBorders>
            <w:noWrap/>
            <w:vAlign w:val="bottom"/>
          </w:tcPr>
          <w:p w14:paraId="0C7B157C" w14:textId="77777777" w:rsidR="001E655A"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28.188836</w:t>
            </w:r>
          </w:p>
        </w:tc>
        <w:tc>
          <w:tcPr>
            <w:tcW w:w="1701" w:type="dxa"/>
            <w:noWrap/>
            <w:vAlign w:val="bottom"/>
          </w:tcPr>
          <w:p w14:paraId="68F3E759" w14:textId="77777777" w:rsidR="001E655A"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90.960733</w:t>
            </w:r>
          </w:p>
        </w:tc>
        <w:tc>
          <w:tcPr>
            <w:tcW w:w="1701" w:type="dxa"/>
            <w:noWrap/>
            <w:vAlign w:val="bottom"/>
          </w:tcPr>
          <w:p w14:paraId="6FFF2F19" w14:textId="77777777" w:rsidR="001E655A"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52.583209</w:t>
            </w:r>
          </w:p>
        </w:tc>
        <w:tc>
          <w:tcPr>
            <w:tcW w:w="1701" w:type="dxa"/>
            <w:noWrap/>
            <w:vAlign w:val="bottom"/>
          </w:tcPr>
          <w:p w14:paraId="2BBED642" w14:textId="77777777" w:rsidR="001E655A" w:rsidRDefault="001E655A">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74.773062</w:t>
            </w:r>
          </w:p>
        </w:tc>
      </w:tr>
      <w:tr w:rsidR="001E655A" w:rsidRPr="00F547EA" w14:paraId="333AC178" w14:textId="77777777" w:rsidTr="00E15583">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2177" w:type="dxa"/>
            <w:vMerge/>
            <w:tcBorders>
              <w:top w:val="single" w:sz="12" w:space="0" w:color="7BA0CD" w:themeColor="accent1" w:themeTint="BF"/>
              <w:left w:val="single" w:sz="12" w:space="0" w:color="7BA0CD" w:themeColor="accent1" w:themeTint="BF"/>
              <w:bottom w:val="single" w:sz="12" w:space="0" w:color="7BA0CD" w:themeColor="accent1" w:themeTint="BF"/>
              <w:right w:val="single" w:sz="12" w:space="0" w:color="7BA0CD" w:themeColor="accent1" w:themeTint="BF"/>
            </w:tcBorders>
            <w:noWrap/>
          </w:tcPr>
          <w:p w14:paraId="35F27965" w14:textId="77777777" w:rsidR="001E655A" w:rsidRPr="00F547EA" w:rsidRDefault="001E655A" w:rsidP="00607429">
            <w:pPr>
              <w:rPr>
                <w:rFonts w:ascii="Times New Roman" w:eastAsia="Times New Roman" w:hAnsi="Times New Roman" w:cs="Times New Roman"/>
                <w:b w:val="0"/>
                <w:bCs w:val="0"/>
              </w:rPr>
            </w:pPr>
          </w:p>
        </w:tc>
        <w:tc>
          <w:tcPr>
            <w:tcW w:w="1701" w:type="dxa"/>
            <w:tcBorders>
              <w:left w:val="single" w:sz="12" w:space="0" w:color="7BA0CD" w:themeColor="accent1" w:themeTint="BF"/>
              <w:bottom w:val="single" w:sz="8" w:space="0" w:color="7F7F7F" w:themeColor="text1" w:themeTint="80"/>
            </w:tcBorders>
            <w:noWrap/>
            <w:vAlign w:val="bottom"/>
          </w:tcPr>
          <w:p w14:paraId="3227F9C6" w14:textId="77777777" w:rsidR="001E655A"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1701" w:type="dxa"/>
            <w:tcBorders>
              <w:bottom w:val="single" w:sz="8" w:space="0" w:color="7F7F7F" w:themeColor="text1" w:themeTint="80"/>
            </w:tcBorders>
            <w:noWrap/>
            <w:vAlign w:val="bottom"/>
          </w:tcPr>
          <w:p w14:paraId="42A5F1DA" w14:textId="77777777" w:rsidR="001E655A"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0.7972</w:t>
            </w:r>
          </w:p>
        </w:tc>
        <w:tc>
          <w:tcPr>
            <w:tcW w:w="1701" w:type="dxa"/>
            <w:tcBorders>
              <w:bottom w:val="single" w:sz="8" w:space="0" w:color="7F7F7F" w:themeColor="text1" w:themeTint="80"/>
            </w:tcBorders>
            <w:noWrap/>
            <w:vAlign w:val="bottom"/>
          </w:tcPr>
          <w:p w14:paraId="733C18A0" w14:textId="77777777" w:rsidR="001E655A"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0.3718</w:t>
            </w:r>
          </w:p>
        </w:tc>
        <w:tc>
          <w:tcPr>
            <w:tcW w:w="1701" w:type="dxa"/>
            <w:tcBorders>
              <w:bottom w:val="single" w:sz="8" w:space="0" w:color="7F7F7F" w:themeColor="text1" w:themeTint="80"/>
            </w:tcBorders>
            <w:noWrap/>
            <w:vAlign w:val="bottom"/>
          </w:tcPr>
          <w:p w14:paraId="6389A98F" w14:textId="77777777" w:rsidR="001E655A" w:rsidRDefault="001E65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0.8186</w:t>
            </w:r>
          </w:p>
        </w:tc>
      </w:tr>
      <w:tr w:rsidR="00D22BF7" w:rsidRPr="00F547EA" w14:paraId="4B8F82CE" w14:textId="77777777" w:rsidTr="0060742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7" w:type="dxa"/>
            <w:tcBorders>
              <w:top w:val="single" w:sz="12" w:space="0" w:color="7BA0CD" w:themeColor="accent1" w:themeTint="BF"/>
              <w:left w:val="single" w:sz="8" w:space="0" w:color="7F7F7F" w:themeColor="text1" w:themeTint="80"/>
              <w:bottom w:val="single" w:sz="8" w:space="0" w:color="7F7F7F" w:themeColor="text1" w:themeTint="80"/>
              <w:right w:val="single" w:sz="8" w:space="0" w:color="7F7F7F" w:themeColor="text1" w:themeTint="80"/>
            </w:tcBorders>
            <w:shd w:val="clear" w:color="auto" w:fill="BFBFBF" w:themeFill="background1" w:themeFillShade="BF"/>
            <w:noWrap/>
          </w:tcPr>
          <w:p w14:paraId="701CEF5C" w14:textId="77777777" w:rsidR="00D22BF7" w:rsidRPr="00F547EA" w:rsidRDefault="00D22BF7" w:rsidP="00607429">
            <w:pPr>
              <w:rPr>
                <w:rFonts w:ascii="Times New Roman" w:eastAsia="Times New Roman" w:hAnsi="Times New Roman" w:cs="Times New Roman"/>
                <w:b w:val="0"/>
                <w:bCs w:val="0"/>
              </w:rPr>
            </w:pPr>
            <w:r w:rsidRPr="00F547EA">
              <w:rPr>
                <w:rFonts w:ascii="Times New Roman" w:eastAsia="Times New Roman" w:hAnsi="Times New Roman" w:cs="Times New Roman"/>
              </w:rPr>
              <w:t>Rho</w:t>
            </w:r>
          </w:p>
        </w:tc>
        <w:tc>
          <w:tcPr>
            <w:tcW w:w="1701"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BFBFBF" w:themeFill="background1" w:themeFillShade="BF"/>
            <w:noWrap/>
          </w:tcPr>
          <w:p w14:paraId="2117834D" w14:textId="77777777" w:rsidR="00D22BF7" w:rsidRPr="00F547EA" w:rsidRDefault="00D22BF7" w:rsidP="00607429">
            <w:pPr>
              <w:jc w:val="righ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rPr>
            </w:pPr>
            <w:r w:rsidRPr="00F547EA">
              <w:rPr>
                <w:rFonts w:ascii="Times New Roman" w:eastAsia="Times New Roman" w:hAnsi="Times New Roman" w:cs="Times New Roman"/>
              </w:rPr>
              <w:t>0.</w:t>
            </w:r>
            <w:r w:rsidR="006376F7">
              <w:t xml:space="preserve"> </w:t>
            </w:r>
            <w:r w:rsidR="006376F7" w:rsidRPr="006376F7">
              <w:rPr>
                <w:rFonts w:ascii="Times New Roman" w:eastAsia="Times New Roman" w:hAnsi="Times New Roman" w:cs="Times New Roman"/>
              </w:rPr>
              <w:t>3290106</w:t>
            </w:r>
          </w:p>
        </w:tc>
        <w:tc>
          <w:tcPr>
            <w:tcW w:w="1701"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BFBFBF" w:themeFill="background1" w:themeFillShade="BF"/>
            <w:noWrap/>
          </w:tcPr>
          <w:p w14:paraId="1E14E396" w14:textId="77777777" w:rsidR="00D22BF7" w:rsidRPr="00F547EA" w:rsidRDefault="00D22BF7" w:rsidP="00607429">
            <w:pPr>
              <w:jc w:val="righ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rPr>
            </w:pPr>
            <w:r w:rsidRPr="00F547EA">
              <w:rPr>
                <w:rFonts w:ascii="Times New Roman" w:eastAsia="Times New Roman" w:hAnsi="Times New Roman" w:cs="Times New Roman"/>
              </w:rPr>
              <w:t>0</w:t>
            </w:r>
          </w:p>
        </w:tc>
        <w:tc>
          <w:tcPr>
            <w:tcW w:w="1701"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BFBFBF" w:themeFill="background1" w:themeFillShade="BF"/>
            <w:noWrap/>
          </w:tcPr>
          <w:p w14:paraId="226BB754" w14:textId="77777777" w:rsidR="00D22BF7" w:rsidRPr="00F547EA" w:rsidRDefault="00D22BF7" w:rsidP="00607429">
            <w:pPr>
              <w:jc w:val="righ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rPr>
            </w:pPr>
            <w:r w:rsidRPr="00F547EA">
              <w:rPr>
                <w:rFonts w:ascii="Times New Roman" w:eastAsia="Times New Roman" w:hAnsi="Times New Roman" w:cs="Times New Roman"/>
              </w:rPr>
              <w:t>0.</w:t>
            </w:r>
            <w:r w:rsidR="006376F7">
              <w:t xml:space="preserve"> </w:t>
            </w:r>
            <w:r w:rsidR="006376F7" w:rsidRPr="006376F7">
              <w:rPr>
                <w:rFonts w:ascii="Times New Roman" w:eastAsia="Times New Roman" w:hAnsi="Times New Roman" w:cs="Times New Roman"/>
              </w:rPr>
              <w:t>24460599</w:t>
            </w:r>
          </w:p>
        </w:tc>
        <w:tc>
          <w:tcPr>
            <w:tcW w:w="1701"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BFBFBF" w:themeFill="background1" w:themeFillShade="BF"/>
            <w:noWrap/>
          </w:tcPr>
          <w:p w14:paraId="1964D015" w14:textId="77777777" w:rsidR="00D22BF7" w:rsidRPr="00F547EA" w:rsidRDefault="00D22BF7" w:rsidP="00607429">
            <w:pPr>
              <w:jc w:val="righ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w:t>
            </w:r>
            <w:r w:rsidRPr="00661320">
              <w:rPr>
                <w:rFonts w:ascii="Times New Roman" w:eastAsia="Times New Roman" w:hAnsi="Times New Roman" w:cs="Times New Roman"/>
              </w:rPr>
              <w:t>.</w:t>
            </w:r>
            <w:r>
              <w:t xml:space="preserve"> </w:t>
            </w:r>
            <w:r w:rsidR="006F5952" w:rsidRPr="006F5952">
              <w:rPr>
                <w:rFonts w:ascii="Times New Roman" w:eastAsia="Times New Roman" w:hAnsi="Times New Roman" w:cs="Times New Roman"/>
              </w:rPr>
              <w:t>17227455</w:t>
            </w:r>
          </w:p>
        </w:tc>
      </w:tr>
      <w:tr w:rsidR="00D22BF7" w:rsidRPr="00F547EA" w14:paraId="1A0EB0DD" w14:textId="77777777" w:rsidTr="006074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7"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BFBFBF" w:themeFill="background1" w:themeFillShade="BF"/>
            <w:noWrap/>
          </w:tcPr>
          <w:p w14:paraId="5B99F61F" w14:textId="77777777" w:rsidR="00D22BF7" w:rsidRPr="00F547EA" w:rsidRDefault="00D22BF7" w:rsidP="00607429">
            <w:pPr>
              <w:rPr>
                <w:rFonts w:ascii="Times New Roman" w:eastAsia="Times New Roman" w:hAnsi="Times New Roman" w:cs="Times New Roman"/>
                <w:b w:val="0"/>
                <w:bCs w:val="0"/>
              </w:rPr>
            </w:pPr>
            <w:r w:rsidRPr="00F547EA">
              <w:rPr>
                <w:rFonts w:ascii="Times New Roman" w:eastAsia="Times New Roman" w:hAnsi="Times New Roman" w:cs="Times New Roman"/>
              </w:rPr>
              <w:t>Observaciones</w:t>
            </w:r>
          </w:p>
        </w:tc>
        <w:tc>
          <w:tcPr>
            <w:tcW w:w="1701"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BFBFBF" w:themeFill="background1" w:themeFillShade="BF"/>
            <w:noWrap/>
          </w:tcPr>
          <w:p w14:paraId="3C83E292" w14:textId="77777777" w:rsidR="00D22BF7" w:rsidRPr="00F547EA" w:rsidRDefault="00D22BF7" w:rsidP="0060742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547EA">
              <w:rPr>
                <w:rFonts w:ascii="Times New Roman" w:eastAsia="Times New Roman" w:hAnsi="Times New Roman" w:cs="Times New Roman"/>
              </w:rPr>
              <w:t> </w:t>
            </w:r>
            <w:r>
              <w:rPr>
                <w:rFonts w:ascii="Times New Roman" w:eastAsia="Times New Roman" w:hAnsi="Times New Roman" w:cs="Times New Roman"/>
              </w:rPr>
              <w:t>2045</w:t>
            </w:r>
          </w:p>
        </w:tc>
        <w:tc>
          <w:tcPr>
            <w:tcW w:w="1701"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BFBFBF" w:themeFill="background1" w:themeFillShade="BF"/>
            <w:noWrap/>
          </w:tcPr>
          <w:p w14:paraId="2A97D6AE" w14:textId="77777777" w:rsidR="00D22BF7" w:rsidRPr="00F547EA" w:rsidRDefault="00D22BF7" w:rsidP="0060742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547EA">
              <w:rPr>
                <w:rFonts w:ascii="Times New Roman" w:eastAsia="Times New Roman" w:hAnsi="Times New Roman" w:cs="Times New Roman"/>
              </w:rPr>
              <w:t>6</w:t>
            </w:r>
            <w:r>
              <w:rPr>
                <w:rFonts w:ascii="Times New Roman" w:eastAsia="Times New Roman" w:hAnsi="Times New Roman" w:cs="Times New Roman"/>
              </w:rPr>
              <w:t>90</w:t>
            </w:r>
          </w:p>
        </w:tc>
        <w:tc>
          <w:tcPr>
            <w:tcW w:w="1701"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BFBFBF" w:themeFill="background1" w:themeFillShade="BF"/>
            <w:noWrap/>
          </w:tcPr>
          <w:p w14:paraId="1E138A4F" w14:textId="77777777" w:rsidR="00D22BF7" w:rsidRPr="00F547EA" w:rsidRDefault="00D22BF7" w:rsidP="0060742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547EA">
              <w:rPr>
                <w:rFonts w:ascii="Times New Roman" w:eastAsia="Times New Roman" w:hAnsi="Times New Roman" w:cs="Times New Roman"/>
              </w:rPr>
              <w:t>4</w:t>
            </w:r>
            <w:r>
              <w:rPr>
                <w:rFonts w:ascii="Times New Roman" w:eastAsia="Times New Roman" w:hAnsi="Times New Roman" w:cs="Times New Roman"/>
              </w:rPr>
              <w:t>5</w:t>
            </w:r>
            <w:r w:rsidRPr="00F547EA">
              <w:rPr>
                <w:rFonts w:ascii="Times New Roman" w:eastAsia="Times New Roman" w:hAnsi="Times New Roman" w:cs="Times New Roman"/>
              </w:rPr>
              <w:t>5</w:t>
            </w:r>
          </w:p>
        </w:tc>
        <w:tc>
          <w:tcPr>
            <w:tcW w:w="1701"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BFBFBF" w:themeFill="background1" w:themeFillShade="BF"/>
            <w:noWrap/>
          </w:tcPr>
          <w:p w14:paraId="6EADBBE8" w14:textId="77777777" w:rsidR="00D22BF7" w:rsidRPr="00F547EA" w:rsidRDefault="00D22BF7" w:rsidP="0060742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900</w:t>
            </w:r>
          </w:p>
        </w:tc>
      </w:tr>
      <w:tr w:rsidR="00D22BF7" w:rsidRPr="00F547EA" w14:paraId="64AD09F2" w14:textId="77777777" w:rsidTr="00607429">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77"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BFBFBF" w:themeFill="background1" w:themeFillShade="BF"/>
            <w:noWrap/>
          </w:tcPr>
          <w:p w14:paraId="40A3D23F" w14:textId="77777777" w:rsidR="00D22BF7" w:rsidRPr="00F547EA" w:rsidRDefault="00D22BF7" w:rsidP="00607429">
            <w:pPr>
              <w:rPr>
                <w:rFonts w:ascii="Times New Roman" w:eastAsia="Times New Roman" w:hAnsi="Times New Roman" w:cs="Times New Roman"/>
                <w:b w:val="0"/>
                <w:bCs w:val="0"/>
              </w:rPr>
            </w:pPr>
            <w:r w:rsidRPr="00F547EA">
              <w:rPr>
                <w:rFonts w:ascii="Times New Roman" w:eastAsia="Times New Roman" w:hAnsi="Times New Roman" w:cs="Times New Roman"/>
              </w:rPr>
              <w:t> </w:t>
            </w:r>
          </w:p>
        </w:tc>
        <w:tc>
          <w:tcPr>
            <w:tcW w:w="1701"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BFBFBF" w:themeFill="background1" w:themeFillShade="BF"/>
            <w:noWrap/>
          </w:tcPr>
          <w:p w14:paraId="67C58B0F" w14:textId="77777777" w:rsidR="00D22BF7" w:rsidRPr="00F547EA" w:rsidRDefault="00D22BF7" w:rsidP="00607429">
            <w:pPr>
              <w:jc w:val="righ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rPr>
            </w:pPr>
          </w:p>
        </w:tc>
        <w:tc>
          <w:tcPr>
            <w:tcW w:w="1701"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BFBFBF" w:themeFill="background1" w:themeFillShade="BF"/>
            <w:noWrap/>
          </w:tcPr>
          <w:p w14:paraId="2074A5ED" w14:textId="77777777" w:rsidR="00D22BF7" w:rsidRPr="00F547EA" w:rsidRDefault="00D22BF7" w:rsidP="00607429">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rPr>
            </w:pPr>
            <w:r w:rsidRPr="00F547EA">
              <w:rPr>
                <w:rFonts w:ascii="Times New Roman" w:eastAsia="Times New Roman" w:hAnsi="Times New Roman" w:cs="Times New Roman"/>
              </w:rPr>
              <w:t> </w:t>
            </w:r>
          </w:p>
        </w:tc>
        <w:tc>
          <w:tcPr>
            <w:tcW w:w="1701"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BFBFBF" w:themeFill="background1" w:themeFillShade="BF"/>
            <w:noWrap/>
          </w:tcPr>
          <w:p w14:paraId="360E4905" w14:textId="77777777" w:rsidR="00D22BF7" w:rsidRPr="00F547EA" w:rsidRDefault="00D22BF7" w:rsidP="00607429">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rPr>
            </w:pPr>
            <w:r w:rsidRPr="00F547EA">
              <w:rPr>
                <w:rFonts w:ascii="Times New Roman" w:eastAsia="Times New Roman" w:hAnsi="Times New Roman" w:cs="Times New Roman"/>
              </w:rPr>
              <w:t> </w:t>
            </w:r>
          </w:p>
        </w:tc>
        <w:tc>
          <w:tcPr>
            <w:tcW w:w="1701"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BFBFBF" w:themeFill="background1" w:themeFillShade="BF"/>
            <w:noWrap/>
          </w:tcPr>
          <w:p w14:paraId="5D140913" w14:textId="77777777" w:rsidR="00D22BF7" w:rsidRPr="00F547EA" w:rsidRDefault="00D22BF7" w:rsidP="00607429">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bCs/>
              </w:rPr>
            </w:pPr>
            <w:r w:rsidRPr="00F547EA">
              <w:rPr>
                <w:rFonts w:ascii="Times New Roman" w:eastAsia="Times New Roman" w:hAnsi="Times New Roman" w:cs="Times New Roman"/>
                <w:b/>
                <w:bCs/>
              </w:rPr>
              <w:t>filas: b/de/p</w:t>
            </w:r>
          </w:p>
        </w:tc>
      </w:tr>
    </w:tbl>
    <w:p w14:paraId="2A24A396" w14:textId="77777777" w:rsidR="00A170DF" w:rsidRPr="00AC6F8A" w:rsidRDefault="00170F4C" w:rsidP="00610F80">
      <w:pPr>
        <w:pStyle w:val="Prrafodelista"/>
        <w:numPr>
          <w:ilvl w:val="0"/>
          <w:numId w:val="1"/>
        </w:numPr>
        <w:spacing w:after="0" w:line="480" w:lineRule="auto"/>
        <w:jc w:val="both"/>
        <w:outlineLvl w:val="0"/>
        <w:rPr>
          <w:rFonts w:ascii="Times New Roman" w:eastAsia="Times New Roman" w:hAnsi="Times New Roman" w:cs="Times New Roman"/>
          <w:i/>
          <w:sz w:val="24"/>
          <w:szCs w:val="24"/>
          <w:u w:val="single"/>
        </w:rPr>
      </w:pPr>
      <w:r w:rsidRPr="00AC6F8A">
        <w:rPr>
          <w:rFonts w:ascii="Times New Roman" w:eastAsia="Times New Roman" w:hAnsi="Times New Roman" w:cs="Times New Roman"/>
          <w:i/>
          <w:sz w:val="24"/>
          <w:szCs w:val="24"/>
          <w:u w:val="single"/>
        </w:rPr>
        <w:lastRenderedPageBreak/>
        <w:t xml:space="preserve"> </w:t>
      </w:r>
      <w:bookmarkStart w:id="8" w:name="_Toc382321804"/>
      <w:r w:rsidR="00A170DF" w:rsidRPr="00AC6F8A">
        <w:rPr>
          <w:rFonts w:ascii="Times New Roman" w:eastAsia="Times New Roman" w:hAnsi="Times New Roman" w:cs="Times New Roman"/>
          <w:i/>
          <w:sz w:val="24"/>
          <w:szCs w:val="24"/>
          <w:u w:val="single"/>
        </w:rPr>
        <w:t>Conclusiones</w:t>
      </w:r>
      <w:bookmarkEnd w:id="8"/>
    </w:p>
    <w:p w14:paraId="5AA4717B" w14:textId="19CAF270" w:rsidR="00E331CB" w:rsidRDefault="00E331CB" w:rsidP="00064F0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En </w:t>
      </w:r>
      <w:r w:rsidR="00C80D19">
        <w:rPr>
          <w:rFonts w:ascii="Times New Roman" w:hAnsi="Times New Roman" w:cs="Times New Roman"/>
          <w:sz w:val="24"/>
          <w:szCs w:val="24"/>
        </w:rPr>
        <w:t>esta</w:t>
      </w:r>
      <w:r>
        <w:rPr>
          <w:rFonts w:ascii="Times New Roman" w:hAnsi="Times New Roman" w:cs="Times New Roman"/>
          <w:sz w:val="24"/>
          <w:szCs w:val="24"/>
        </w:rPr>
        <w:t xml:space="preserve"> tesina se llevó a cabo un análisis sobre las posibles distorsiones en la asignación de proyectos y recursos federales que se transfieren a las entidades federativas</w:t>
      </w:r>
      <w:r w:rsidR="00CA614A">
        <w:rPr>
          <w:rFonts w:ascii="Times New Roman" w:hAnsi="Times New Roman" w:cs="Times New Roman"/>
          <w:sz w:val="24"/>
          <w:szCs w:val="24"/>
        </w:rPr>
        <w:t>,</w:t>
      </w:r>
      <w:r w:rsidR="00E84157">
        <w:rPr>
          <w:rFonts w:ascii="Times New Roman" w:hAnsi="Times New Roman" w:cs="Times New Roman"/>
          <w:sz w:val="24"/>
          <w:szCs w:val="24"/>
        </w:rPr>
        <w:t xml:space="preserve"> con el fin de mitigar el grave problema de desigualdad que se tiene en el país. En específico, el estudio se enfocó en el Fondo Regional. La elección se basó en que, a pesar de ser un fondo que transfiere recursos a las diez entidades federativas con menor IDH para fomentar su desarrollo, en realidad la falta de lineamientos claros hace que se vuelva un fondo discrecional que otorga gran poder sobre las asignaciones a los gobiernos estatales.</w:t>
      </w:r>
    </w:p>
    <w:p w14:paraId="71A25A2A" w14:textId="6E5F72AA" w:rsidR="00E84157" w:rsidRDefault="00E84157" w:rsidP="00064F02">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El marco de referencia utilizado para estudiar el fenómeno de las posibles distorsiones distributivas se basó precisamente en las teorías de distribución de recursos, cuyas principales vertientes las encontramos en la teoría de los votantes duros y de votantes indecisos. </w:t>
      </w:r>
      <w:r w:rsidR="009709DD">
        <w:rPr>
          <w:rFonts w:ascii="Times New Roman" w:hAnsi="Times New Roman" w:cs="Times New Roman"/>
          <w:sz w:val="24"/>
          <w:szCs w:val="24"/>
        </w:rPr>
        <w:t>Así pues, en la presente tesina se puso a prueba si la lógica de asignación de recursos respondía a incentivos electorales y, de ser así, si premiaba a los votantes leales de un partido o, más bien, con las asignaciones de proyectos y recursos se buscaba capturar el voto de los votantes indecisos que permitirían ganar una elección cerrada.</w:t>
      </w:r>
      <w:r>
        <w:rPr>
          <w:rFonts w:ascii="Times New Roman" w:hAnsi="Times New Roman" w:cs="Times New Roman"/>
          <w:sz w:val="24"/>
          <w:szCs w:val="24"/>
        </w:rPr>
        <w:t xml:space="preserve"> </w:t>
      </w:r>
      <w:r w:rsidR="005B4816">
        <w:rPr>
          <w:rFonts w:ascii="Times New Roman" w:hAnsi="Times New Roman" w:cs="Times New Roman"/>
          <w:sz w:val="24"/>
          <w:szCs w:val="24"/>
        </w:rPr>
        <w:t xml:space="preserve">Aunado a estas dos teorías, también se puso a prueba la hipótesis de una asignación de proyectos y recursos con base </w:t>
      </w:r>
      <w:r w:rsidR="00541887">
        <w:rPr>
          <w:rFonts w:ascii="Times New Roman" w:hAnsi="Times New Roman" w:cs="Times New Roman"/>
          <w:sz w:val="24"/>
          <w:szCs w:val="24"/>
        </w:rPr>
        <w:t>en el poder de negociación de los municipios, por lo que no prevalecería una lógica electoral en las asignaciones, sino de mitigación de las presiones políticas.</w:t>
      </w:r>
    </w:p>
    <w:p w14:paraId="7C69FF54" w14:textId="7E496504" w:rsidR="00E84157" w:rsidRDefault="009709DD" w:rsidP="00064F02">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Para probar lo anterior se llevó a cabo un estudio multinivel con base en los proyectos asignados a los municipios de Chiapas, Guerrero y Oaxaca, desde 2007, año en que surgió el </w:t>
      </w:r>
      <w:proofErr w:type="spellStart"/>
      <w:r>
        <w:rPr>
          <w:rFonts w:ascii="Times New Roman" w:hAnsi="Times New Roman" w:cs="Times New Roman"/>
          <w:sz w:val="24"/>
          <w:szCs w:val="24"/>
        </w:rPr>
        <w:t>Fonregión</w:t>
      </w:r>
      <w:proofErr w:type="spellEnd"/>
      <w:r>
        <w:rPr>
          <w:rFonts w:ascii="Times New Roman" w:hAnsi="Times New Roman" w:cs="Times New Roman"/>
          <w:sz w:val="24"/>
          <w:szCs w:val="24"/>
        </w:rPr>
        <w:t>, hasta 2012. Decidí enfocarme en tales entidades</w:t>
      </w:r>
      <w:r w:rsidR="00BB1CBD">
        <w:rPr>
          <w:rFonts w:ascii="Times New Roman" w:hAnsi="Times New Roman" w:cs="Times New Roman"/>
          <w:sz w:val="24"/>
          <w:szCs w:val="24"/>
        </w:rPr>
        <w:t xml:space="preserve"> federativas, dado que cuentan con</w:t>
      </w:r>
      <w:r>
        <w:rPr>
          <w:rFonts w:ascii="Times New Roman" w:hAnsi="Times New Roman" w:cs="Times New Roman"/>
          <w:sz w:val="24"/>
          <w:szCs w:val="24"/>
        </w:rPr>
        <w:t xml:space="preserve"> los niveles más bajos de desarrollo económico en el país y, a su vez, presentan </w:t>
      </w:r>
      <w:r w:rsidR="005B4816">
        <w:rPr>
          <w:rFonts w:ascii="Times New Roman" w:hAnsi="Times New Roman" w:cs="Times New Roman"/>
          <w:sz w:val="24"/>
          <w:szCs w:val="24"/>
        </w:rPr>
        <w:t xml:space="preserve">problemas importantes de desigualdad al interior de las mismas. Otro de los </w:t>
      </w:r>
      <w:r w:rsidR="005B4816">
        <w:rPr>
          <w:rFonts w:ascii="Times New Roman" w:hAnsi="Times New Roman" w:cs="Times New Roman"/>
          <w:sz w:val="24"/>
          <w:szCs w:val="24"/>
        </w:rPr>
        <w:lastRenderedPageBreak/>
        <w:t xml:space="preserve">factores que tomé en cuenta para centrarme exclusivamente en estas entidades fue que son las que mayores recursos reciben del </w:t>
      </w:r>
      <w:proofErr w:type="spellStart"/>
      <w:r w:rsidR="005B4816">
        <w:rPr>
          <w:rFonts w:ascii="Times New Roman" w:hAnsi="Times New Roman" w:cs="Times New Roman"/>
          <w:sz w:val="24"/>
          <w:szCs w:val="24"/>
        </w:rPr>
        <w:t>Fonregión</w:t>
      </w:r>
      <w:proofErr w:type="spellEnd"/>
      <w:r w:rsidR="005B4816">
        <w:rPr>
          <w:rFonts w:ascii="Times New Roman" w:hAnsi="Times New Roman" w:cs="Times New Roman"/>
          <w:sz w:val="24"/>
          <w:szCs w:val="24"/>
        </w:rPr>
        <w:t xml:space="preserve"> y, por tanto, permiten llevar a cabo el análisis estadístico necesario para arrojar los resultados de esta tesina.</w:t>
      </w:r>
    </w:p>
    <w:p w14:paraId="0975464F" w14:textId="77777777" w:rsidR="00541887" w:rsidRDefault="005B4816" w:rsidP="00064F02">
      <w:pPr>
        <w:spacing w:line="480" w:lineRule="auto"/>
        <w:jc w:val="both"/>
        <w:rPr>
          <w:rFonts w:ascii="Times New Roman" w:hAnsi="Times New Roman" w:cs="Times New Roman"/>
          <w:sz w:val="24"/>
          <w:szCs w:val="24"/>
        </w:rPr>
      </w:pPr>
      <w:r>
        <w:rPr>
          <w:rFonts w:ascii="Times New Roman" w:hAnsi="Times New Roman" w:cs="Times New Roman"/>
          <w:sz w:val="24"/>
          <w:szCs w:val="24"/>
        </w:rPr>
        <w:tab/>
        <w:t>De esta forma se llevaron a cabo dos modelos distintos para probar si las variables de asignación política tenían un impacto sobre el monto per cápita recibido por cada municipio, así como sobre el número de proyectos asignados a cada uno. La distinción resulta una de las principales aportaciones de la tesina, dado que existe una lógica política distinta entre asignar mayores recursos a determinados proyectos y asignar un mayor número de proyectos. El principal resultado fue que las variables que se utilizaron para poner a prueba las distintas teorías distributivas</w:t>
      </w:r>
      <w:r w:rsidR="00541887">
        <w:rPr>
          <w:rFonts w:ascii="Times New Roman" w:hAnsi="Times New Roman" w:cs="Times New Roman"/>
          <w:sz w:val="24"/>
          <w:szCs w:val="24"/>
        </w:rPr>
        <w:t xml:space="preserve"> encontraron un mayor poder predictivo sobre el número de proyectos que sobre los montos asignados. </w:t>
      </w:r>
      <w:r w:rsidR="00B5138F">
        <w:rPr>
          <w:rFonts w:ascii="Times New Roman" w:hAnsi="Times New Roman" w:cs="Times New Roman"/>
          <w:sz w:val="24"/>
          <w:szCs w:val="24"/>
        </w:rPr>
        <w:t>Lo anterior quiere decir que los gobernadores, al manejar los fondos discrecionales del Fondo, privilegian su presencia electoral en los municipios a través de la asignación de un gran número de proyectos, en vez de financiar grandes proyectos en lugares aislados.</w:t>
      </w:r>
    </w:p>
    <w:p w14:paraId="731703DC" w14:textId="3327C8E5" w:rsidR="00B5138F" w:rsidRDefault="00B5138F" w:rsidP="00064F02">
      <w:pPr>
        <w:spacing w:line="480" w:lineRule="auto"/>
        <w:jc w:val="both"/>
        <w:rPr>
          <w:rFonts w:ascii="Times New Roman" w:hAnsi="Times New Roman" w:cs="Times New Roman"/>
          <w:sz w:val="24"/>
          <w:szCs w:val="24"/>
        </w:rPr>
      </w:pPr>
      <w:r>
        <w:rPr>
          <w:rFonts w:ascii="Times New Roman" w:hAnsi="Times New Roman" w:cs="Times New Roman"/>
          <w:sz w:val="24"/>
          <w:szCs w:val="24"/>
        </w:rPr>
        <w:tab/>
        <w:t>A pesar de que ninguna de las teorías se cumplió totalmente</w:t>
      </w:r>
      <w:r w:rsidR="00DD2A1D">
        <w:rPr>
          <w:rFonts w:ascii="Times New Roman" w:hAnsi="Times New Roman" w:cs="Times New Roman"/>
          <w:sz w:val="24"/>
          <w:szCs w:val="24"/>
        </w:rPr>
        <w:t>,</w:t>
      </w:r>
      <w:r>
        <w:rPr>
          <w:rFonts w:ascii="Times New Roman" w:hAnsi="Times New Roman" w:cs="Times New Roman"/>
          <w:sz w:val="24"/>
          <w:szCs w:val="24"/>
        </w:rPr>
        <w:t xml:space="preserve"> </w:t>
      </w:r>
      <w:r w:rsidR="00A423A4">
        <w:rPr>
          <w:rFonts w:ascii="Times New Roman" w:hAnsi="Times New Roman" w:cs="Times New Roman"/>
          <w:sz w:val="24"/>
          <w:szCs w:val="24"/>
        </w:rPr>
        <w:t xml:space="preserve">sí fue posible observar una lógica detrás de las asignaciones de proyectos. Dicha lógica retoma parte de las tres teorías, por lo que </w:t>
      </w:r>
      <w:r w:rsidR="00FA1290">
        <w:rPr>
          <w:rFonts w:ascii="Times New Roman" w:hAnsi="Times New Roman" w:cs="Times New Roman"/>
          <w:sz w:val="24"/>
          <w:szCs w:val="24"/>
        </w:rPr>
        <w:t xml:space="preserve">podemos afirmar que los gobernadores utilizan los recursos que tienen disponibles dependiendo de las necesidades de control político que se tengan en el estado, así como del período del ciclo electoral en el que se encuentren. </w:t>
      </w:r>
      <w:r w:rsidR="00B2179D">
        <w:rPr>
          <w:rFonts w:ascii="Times New Roman" w:hAnsi="Times New Roman" w:cs="Times New Roman"/>
          <w:sz w:val="24"/>
          <w:szCs w:val="24"/>
        </w:rPr>
        <w:t>Lo que encontramos en los modelos multinivel que se llevaron a cabo para el caso de número de proyectos es que los gobernadores se enfocan en los municipios más competitivos y que se han mantenido constantemente en condiciones de desarrollo favorables. Además</w:t>
      </w:r>
      <w:r w:rsidR="00B20F23">
        <w:rPr>
          <w:rFonts w:ascii="Times New Roman" w:hAnsi="Times New Roman" w:cs="Times New Roman"/>
          <w:sz w:val="24"/>
          <w:szCs w:val="24"/>
        </w:rPr>
        <w:t>,</w:t>
      </w:r>
      <w:r w:rsidR="00B2179D">
        <w:rPr>
          <w:rFonts w:ascii="Times New Roman" w:hAnsi="Times New Roman" w:cs="Times New Roman"/>
          <w:sz w:val="24"/>
          <w:szCs w:val="24"/>
        </w:rPr>
        <w:t xml:space="preserve"> respecto a la lógica de ciclo electoral</w:t>
      </w:r>
      <w:r w:rsidR="00DD2A1D">
        <w:rPr>
          <w:rFonts w:ascii="Times New Roman" w:hAnsi="Times New Roman" w:cs="Times New Roman"/>
          <w:sz w:val="24"/>
          <w:szCs w:val="24"/>
        </w:rPr>
        <w:t>,</w:t>
      </w:r>
      <w:r w:rsidR="00B2179D">
        <w:rPr>
          <w:rFonts w:ascii="Times New Roman" w:hAnsi="Times New Roman" w:cs="Times New Roman"/>
          <w:sz w:val="24"/>
          <w:szCs w:val="24"/>
        </w:rPr>
        <w:t xml:space="preserve"> lo que vemos es que suele concentrarse el gasto de nuevos proyectos en los </w:t>
      </w:r>
      <w:r w:rsidR="00B2179D">
        <w:rPr>
          <w:rFonts w:ascii="Times New Roman" w:hAnsi="Times New Roman" w:cs="Times New Roman"/>
          <w:sz w:val="24"/>
          <w:szCs w:val="24"/>
        </w:rPr>
        <w:lastRenderedPageBreak/>
        <w:t>años previos a elecciones de gobernador, por lo que en el año de la elección ya no se tienen tantos recursos</w:t>
      </w:r>
      <w:r w:rsidR="00535A1F">
        <w:rPr>
          <w:rFonts w:ascii="Times New Roman" w:hAnsi="Times New Roman" w:cs="Times New Roman"/>
          <w:sz w:val="24"/>
          <w:szCs w:val="24"/>
        </w:rPr>
        <w:t xml:space="preserve"> para finan</w:t>
      </w:r>
      <w:r w:rsidR="00BB1CBD">
        <w:rPr>
          <w:rFonts w:ascii="Times New Roman" w:hAnsi="Times New Roman" w:cs="Times New Roman"/>
          <w:sz w:val="24"/>
          <w:szCs w:val="24"/>
        </w:rPr>
        <w:t xml:space="preserve">ciar nuevos proyectos, </w:t>
      </w:r>
      <w:r w:rsidR="00DD2A1D">
        <w:rPr>
          <w:rFonts w:ascii="Times New Roman" w:hAnsi="Times New Roman" w:cs="Times New Roman"/>
          <w:sz w:val="24"/>
          <w:szCs w:val="24"/>
        </w:rPr>
        <w:t>lo que ocasiona</w:t>
      </w:r>
      <w:r w:rsidR="00535A1F">
        <w:rPr>
          <w:rFonts w:ascii="Times New Roman" w:hAnsi="Times New Roman" w:cs="Times New Roman"/>
          <w:sz w:val="24"/>
          <w:szCs w:val="24"/>
        </w:rPr>
        <w:t xml:space="preserve"> que las asignaciones de número de pr</w:t>
      </w:r>
      <w:r w:rsidR="00DD2A1D">
        <w:rPr>
          <w:rFonts w:ascii="Times New Roman" w:hAnsi="Times New Roman" w:cs="Times New Roman"/>
          <w:sz w:val="24"/>
          <w:szCs w:val="24"/>
        </w:rPr>
        <w:t>oyectos por municipio se reduzcan</w:t>
      </w:r>
      <w:r w:rsidR="00535A1F">
        <w:rPr>
          <w:rFonts w:ascii="Times New Roman" w:hAnsi="Times New Roman" w:cs="Times New Roman"/>
          <w:sz w:val="24"/>
          <w:szCs w:val="24"/>
        </w:rPr>
        <w:t>.</w:t>
      </w:r>
    </w:p>
    <w:p w14:paraId="54FC13D8" w14:textId="776AC0DC" w:rsidR="00535A1F" w:rsidRDefault="00535A1F" w:rsidP="00535A1F">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Algo muy importante que hay que notar es que existen diferencias significativas entre las tres entidades federativas que se estudiaron en esta tesina. A pesar de contar con características de desarrollo similares, es posible observar que las lógicas de distribución varían considerablemente. </w:t>
      </w:r>
      <w:r w:rsidR="00A80822">
        <w:rPr>
          <w:rFonts w:ascii="Times New Roman" w:hAnsi="Times New Roman" w:cs="Times New Roman"/>
          <w:sz w:val="24"/>
          <w:szCs w:val="24"/>
        </w:rPr>
        <w:t>Mientras que en el caso de Oaxaca observamos un uso más político de los recursos, en Gue</w:t>
      </w:r>
      <w:r w:rsidR="00C827EF">
        <w:rPr>
          <w:rFonts w:ascii="Times New Roman" w:hAnsi="Times New Roman" w:cs="Times New Roman"/>
          <w:sz w:val="24"/>
          <w:szCs w:val="24"/>
        </w:rPr>
        <w:t>rrero y Chiapas lo que prevalece</w:t>
      </w:r>
      <w:r w:rsidR="00A80822">
        <w:rPr>
          <w:rFonts w:ascii="Times New Roman" w:hAnsi="Times New Roman" w:cs="Times New Roman"/>
          <w:sz w:val="24"/>
          <w:szCs w:val="24"/>
        </w:rPr>
        <w:t xml:space="preserve"> es que</w:t>
      </w:r>
      <w:r w:rsidR="00DD2A1D">
        <w:rPr>
          <w:rFonts w:ascii="Times New Roman" w:hAnsi="Times New Roman" w:cs="Times New Roman"/>
          <w:sz w:val="24"/>
          <w:szCs w:val="24"/>
        </w:rPr>
        <w:t>,</w:t>
      </w:r>
      <w:r w:rsidR="00C827EF">
        <w:rPr>
          <w:rFonts w:ascii="Times New Roman" w:hAnsi="Times New Roman" w:cs="Times New Roman"/>
          <w:sz w:val="24"/>
          <w:szCs w:val="24"/>
        </w:rPr>
        <w:t xml:space="preserve"> si bien </w:t>
      </w:r>
      <w:r w:rsidR="00A80822">
        <w:rPr>
          <w:rFonts w:ascii="Times New Roman" w:hAnsi="Times New Roman" w:cs="Times New Roman"/>
          <w:sz w:val="24"/>
          <w:szCs w:val="24"/>
        </w:rPr>
        <w:t>se dispara el número de proyectos cuando es un año previo a elec</w:t>
      </w:r>
      <w:r w:rsidR="003118BC">
        <w:rPr>
          <w:rFonts w:ascii="Times New Roman" w:hAnsi="Times New Roman" w:cs="Times New Roman"/>
          <w:sz w:val="24"/>
          <w:szCs w:val="24"/>
        </w:rPr>
        <w:t>ción de gobernador, en realidad</w:t>
      </w:r>
      <w:r w:rsidR="00A80822">
        <w:rPr>
          <w:rFonts w:ascii="Times New Roman" w:hAnsi="Times New Roman" w:cs="Times New Roman"/>
          <w:sz w:val="24"/>
          <w:szCs w:val="24"/>
        </w:rPr>
        <w:t>, no encontramos muestras de una planeación electoral más organizada del ejercicio de lo</w:t>
      </w:r>
      <w:r w:rsidR="003118BC">
        <w:rPr>
          <w:rFonts w:ascii="Times New Roman" w:hAnsi="Times New Roman" w:cs="Times New Roman"/>
          <w:sz w:val="24"/>
          <w:szCs w:val="24"/>
        </w:rPr>
        <w:t>s recursos. A pesar de ello, resulta necesario</w:t>
      </w:r>
      <w:r w:rsidR="00A80822">
        <w:rPr>
          <w:rFonts w:ascii="Times New Roman" w:hAnsi="Times New Roman" w:cs="Times New Roman"/>
          <w:sz w:val="24"/>
          <w:szCs w:val="24"/>
        </w:rPr>
        <w:t xml:space="preserve"> </w:t>
      </w:r>
      <w:r w:rsidR="003118BC">
        <w:rPr>
          <w:rFonts w:ascii="Times New Roman" w:hAnsi="Times New Roman" w:cs="Times New Roman"/>
          <w:sz w:val="24"/>
          <w:szCs w:val="24"/>
        </w:rPr>
        <w:t xml:space="preserve">remarcar </w:t>
      </w:r>
      <w:r w:rsidR="00A80822">
        <w:rPr>
          <w:rFonts w:ascii="Times New Roman" w:hAnsi="Times New Roman" w:cs="Times New Roman"/>
          <w:sz w:val="24"/>
          <w:szCs w:val="24"/>
        </w:rPr>
        <w:t>que el año previo a elección de gobernador haya sido la única variable que resultó significativa en cada uno de los</w:t>
      </w:r>
      <w:r w:rsidR="00B05E76">
        <w:rPr>
          <w:rFonts w:ascii="Times New Roman" w:hAnsi="Times New Roman" w:cs="Times New Roman"/>
          <w:sz w:val="24"/>
          <w:szCs w:val="24"/>
        </w:rPr>
        <w:t xml:space="preserve"> modelos de número de proyectos, aunque en el caso de Oaxaca se revirtió el signo de la relación, pues</w:t>
      </w:r>
      <w:r w:rsidR="00C906A6">
        <w:rPr>
          <w:rFonts w:ascii="Times New Roman" w:hAnsi="Times New Roman" w:cs="Times New Roman"/>
          <w:sz w:val="24"/>
          <w:szCs w:val="24"/>
        </w:rPr>
        <w:t>,</w:t>
      </w:r>
      <w:r w:rsidR="00B05E76">
        <w:rPr>
          <w:rFonts w:ascii="Times New Roman" w:hAnsi="Times New Roman" w:cs="Times New Roman"/>
          <w:sz w:val="24"/>
          <w:szCs w:val="24"/>
        </w:rPr>
        <w:t xml:space="preserve"> a diferencia de los modelos generales en los que prevalece una lógica de conseguir votos a través de los votantes indecisos, en dicha entidad más bien lo que se busca es mitigar las presiones políticas con los recursos del Fondo.</w:t>
      </w:r>
    </w:p>
    <w:p w14:paraId="6592284C" w14:textId="05C96AC5" w:rsidR="00541887" w:rsidRDefault="00E16AA7" w:rsidP="00064F02">
      <w:pPr>
        <w:spacing w:line="480" w:lineRule="auto"/>
        <w:jc w:val="both"/>
        <w:rPr>
          <w:rFonts w:ascii="Times New Roman" w:hAnsi="Times New Roman" w:cs="Times New Roman"/>
          <w:sz w:val="24"/>
          <w:szCs w:val="24"/>
        </w:rPr>
      </w:pPr>
      <w:r>
        <w:rPr>
          <w:rFonts w:ascii="Times New Roman" w:hAnsi="Times New Roman" w:cs="Times New Roman"/>
          <w:sz w:val="24"/>
          <w:szCs w:val="24"/>
        </w:rPr>
        <w:tab/>
        <w:t>Resulta importante aclarar que se requirió llevar a cabo</w:t>
      </w:r>
      <w:r w:rsidR="003F341D">
        <w:rPr>
          <w:rFonts w:ascii="Times New Roman" w:hAnsi="Times New Roman" w:cs="Times New Roman"/>
          <w:sz w:val="24"/>
          <w:szCs w:val="24"/>
        </w:rPr>
        <w:t xml:space="preserve"> una serie de modelos en los que se excluyó a los municipios de usos y costumbres para poder incluir las variables de ciclo electoral municipal. De incluir dichos municipios, más de la mitad de las observaciones se eliminab</w:t>
      </w:r>
      <w:r w:rsidR="00F307A1">
        <w:rPr>
          <w:rFonts w:ascii="Times New Roman" w:hAnsi="Times New Roman" w:cs="Times New Roman"/>
          <w:sz w:val="24"/>
          <w:szCs w:val="24"/>
        </w:rPr>
        <w:t xml:space="preserve">a y se perdía significancia en los modelos. Por tanto, se corrió un modelo para número de proyectos y otro para monto per cápita en los que se excluyó a más de la mitad de los municipios, pero se incluyeron dos variables más. El resultado fue que, mientras en monto per cápita no hubo cambios significativos, en los modelos de número de </w:t>
      </w:r>
      <w:r w:rsidR="00F307A1">
        <w:rPr>
          <w:rFonts w:ascii="Times New Roman" w:hAnsi="Times New Roman" w:cs="Times New Roman"/>
          <w:sz w:val="24"/>
          <w:szCs w:val="24"/>
        </w:rPr>
        <w:lastRenderedPageBreak/>
        <w:t>proyectos se perdió significancia de algunas de las variables. A pesar de ello</w:t>
      </w:r>
      <w:r w:rsidR="007471E3">
        <w:rPr>
          <w:rFonts w:ascii="Times New Roman" w:hAnsi="Times New Roman" w:cs="Times New Roman"/>
          <w:sz w:val="24"/>
          <w:szCs w:val="24"/>
        </w:rPr>
        <w:t>,</w:t>
      </w:r>
      <w:r w:rsidR="00F307A1">
        <w:rPr>
          <w:rFonts w:ascii="Times New Roman" w:hAnsi="Times New Roman" w:cs="Times New Roman"/>
          <w:sz w:val="24"/>
          <w:szCs w:val="24"/>
        </w:rPr>
        <w:t xml:space="preserve"> se mantuvo el impacto de IDH, año, año previo a elección de gobernador y </w:t>
      </w:r>
      <w:r w:rsidR="003118BC">
        <w:rPr>
          <w:rFonts w:ascii="Times New Roman" w:hAnsi="Times New Roman" w:cs="Times New Roman"/>
          <w:sz w:val="24"/>
          <w:szCs w:val="24"/>
        </w:rPr>
        <w:t>resultó</w:t>
      </w:r>
      <w:r w:rsidR="00373338">
        <w:rPr>
          <w:rFonts w:ascii="Times New Roman" w:hAnsi="Times New Roman" w:cs="Times New Roman"/>
          <w:sz w:val="24"/>
          <w:szCs w:val="24"/>
        </w:rPr>
        <w:t xml:space="preserve"> significativa la variable de </w:t>
      </w:r>
      <w:r w:rsidR="00F307A1">
        <w:rPr>
          <w:rFonts w:ascii="Times New Roman" w:hAnsi="Times New Roman" w:cs="Times New Roman"/>
          <w:sz w:val="24"/>
          <w:szCs w:val="24"/>
        </w:rPr>
        <w:t>año previo a elección municipal. Por tanto, a pesar de reducir variables</w:t>
      </w:r>
      <w:r w:rsidR="007471E3">
        <w:rPr>
          <w:rFonts w:ascii="Times New Roman" w:hAnsi="Times New Roman" w:cs="Times New Roman"/>
          <w:sz w:val="24"/>
          <w:szCs w:val="24"/>
        </w:rPr>
        <w:t>,</w:t>
      </w:r>
      <w:r w:rsidR="00F307A1">
        <w:rPr>
          <w:rFonts w:ascii="Times New Roman" w:hAnsi="Times New Roman" w:cs="Times New Roman"/>
          <w:sz w:val="24"/>
          <w:szCs w:val="24"/>
        </w:rPr>
        <w:t xml:space="preserve"> es posible observar que sigue prevaleciendo una lógica mixta en la asignación de proyectos, dependiendo del tiempo político que corresponda.</w:t>
      </w:r>
    </w:p>
    <w:p w14:paraId="3320DBDA" w14:textId="78E04ECD" w:rsidR="008F36DE" w:rsidRDefault="008A2D56" w:rsidP="00555368">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Como hemos podido observar, </w:t>
      </w:r>
      <w:r w:rsidR="008F36DE">
        <w:rPr>
          <w:rFonts w:ascii="Times New Roman" w:hAnsi="Times New Roman" w:cs="Times New Roman"/>
          <w:sz w:val="24"/>
          <w:szCs w:val="24"/>
        </w:rPr>
        <w:t xml:space="preserve">a pesar de que </w:t>
      </w:r>
      <w:r w:rsidR="00555368">
        <w:rPr>
          <w:rFonts w:ascii="Times New Roman" w:hAnsi="Times New Roman" w:cs="Times New Roman"/>
          <w:sz w:val="24"/>
          <w:szCs w:val="24"/>
        </w:rPr>
        <w:t>l</w:t>
      </w:r>
      <w:r w:rsidR="008F36DE">
        <w:rPr>
          <w:rFonts w:ascii="Times New Roman" w:hAnsi="Times New Roman" w:cs="Times New Roman"/>
          <w:sz w:val="24"/>
          <w:szCs w:val="24"/>
        </w:rPr>
        <w:t xml:space="preserve">a literatura sostiene que los modelos de votantes indecisos y duros serían la mejor apuesta para un gobernador racional si tiene recursos discrecionales a su disposición, en el caso del </w:t>
      </w:r>
      <w:proofErr w:type="spellStart"/>
      <w:r w:rsidR="008F36DE">
        <w:rPr>
          <w:rFonts w:ascii="Times New Roman" w:hAnsi="Times New Roman" w:cs="Times New Roman"/>
          <w:sz w:val="24"/>
          <w:szCs w:val="24"/>
        </w:rPr>
        <w:t>Fonregión</w:t>
      </w:r>
      <w:proofErr w:type="spellEnd"/>
      <w:r w:rsidR="008F36DE">
        <w:rPr>
          <w:rFonts w:ascii="Times New Roman" w:hAnsi="Times New Roman" w:cs="Times New Roman"/>
          <w:sz w:val="24"/>
          <w:szCs w:val="24"/>
        </w:rPr>
        <w:t xml:space="preserve">, </w:t>
      </w:r>
      <w:r w:rsidR="00F307A1">
        <w:rPr>
          <w:rFonts w:ascii="Times New Roman" w:hAnsi="Times New Roman" w:cs="Times New Roman"/>
          <w:sz w:val="24"/>
          <w:szCs w:val="24"/>
        </w:rPr>
        <w:t xml:space="preserve">encontramos evidencia mixta sobre el uso de los recursos para mitigar presiones políticas momentáneas y apoyar las campañas de los gobernadores. </w:t>
      </w:r>
      <w:r w:rsidR="007A0263">
        <w:rPr>
          <w:rFonts w:ascii="Times New Roman" w:hAnsi="Times New Roman" w:cs="Times New Roman"/>
          <w:sz w:val="24"/>
          <w:szCs w:val="24"/>
        </w:rPr>
        <w:t xml:space="preserve">Así pues, el </w:t>
      </w:r>
      <w:proofErr w:type="spellStart"/>
      <w:r w:rsidR="007A0263">
        <w:rPr>
          <w:rFonts w:ascii="Times New Roman" w:hAnsi="Times New Roman" w:cs="Times New Roman"/>
          <w:sz w:val="24"/>
          <w:szCs w:val="24"/>
        </w:rPr>
        <w:t>Fonregión</w:t>
      </w:r>
      <w:proofErr w:type="spellEnd"/>
      <w:r w:rsidR="007A0263">
        <w:rPr>
          <w:rFonts w:ascii="Times New Roman" w:hAnsi="Times New Roman" w:cs="Times New Roman"/>
          <w:sz w:val="24"/>
          <w:szCs w:val="24"/>
        </w:rPr>
        <w:t xml:space="preserve"> es una concesión política que no </w:t>
      </w:r>
      <w:r w:rsidR="00F307A1">
        <w:rPr>
          <w:rFonts w:ascii="Times New Roman" w:hAnsi="Times New Roman" w:cs="Times New Roman"/>
          <w:sz w:val="24"/>
          <w:szCs w:val="24"/>
        </w:rPr>
        <w:t xml:space="preserve">sólo </w:t>
      </w:r>
      <w:r w:rsidR="007A0263">
        <w:rPr>
          <w:rFonts w:ascii="Times New Roman" w:hAnsi="Times New Roman" w:cs="Times New Roman"/>
          <w:sz w:val="24"/>
          <w:szCs w:val="24"/>
        </w:rPr>
        <w:t>se utiliza para generar ganancias electorales, sino</w:t>
      </w:r>
      <w:r w:rsidR="00F307A1">
        <w:rPr>
          <w:rFonts w:ascii="Times New Roman" w:hAnsi="Times New Roman" w:cs="Times New Roman"/>
          <w:sz w:val="24"/>
          <w:szCs w:val="24"/>
        </w:rPr>
        <w:t xml:space="preserve"> también</w:t>
      </w:r>
      <w:r w:rsidR="007A0263">
        <w:rPr>
          <w:rFonts w:ascii="Times New Roman" w:hAnsi="Times New Roman" w:cs="Times New Roman"/>
          <w:sz w:val="24"/>
          <w:szCs w:val="24"/>
        </w:rPr>
        <w:t xml:space="preserve"> para </w:t>
      </w:r>
      <w:r w:rsidR="00F85240">
        <w:rPr>
          <w:rFonts w:ascii="Times New Roman" w:hAnsi="Times New Roman" w:cs="Times New Roman"/>
          <w:sz w:val="24"/>
          <w:szCs w:val="24"/>
        </w:rPr>
        <w:t>mitigar presiones de municipios, primordialmente en el caso de Oaxaca, en donde sí se aplica una lógica política de distribución de recursos.</w:t>
      </w:r>
    </w:p>
    <w:p w14:paraId="0E9F17C9" w14:textId="1B11C60F" w:rsidR="00D87D1C" w:rsidRDefault="00F307A1" w:rsidP="00D87D1C">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Por último</w:t>
      </w:r>
      <w:r w:rsidR="00D964F8">
        <w:rPr>
          <w:rFonts w:ascii="Times New Roman" w:hAnsi="Times New Roman" w:cs="Times New Roman"/>
          <w:sz w:val="24"/>
          <w:szCs w:val="24"/>
        </w:rPr>
        <w:t>,</w:t>
      </w:r>
      <w:r>
        <w:rPr>
          <w:rFonts w:ascii="Times New Roman" w:hAnsi="Times New Roman" w:cs="Times New Roman"/>
          <w:sz w:val="24"/>
          <w:szCs w:val="24"/>
        </w:rPr>
        <w:t xml:space="preserve"> cabe mencionar a</w:t>
      </w:r>
      <w:r w:rsidR="00D87D1C">
        <w:rPr>
          <w:rFonts w:ascii="Times New Roman" w:hAnsi="Times New Roman" w:cs="Times New Roman"/>
          <w:sz w:val="24"/>
          <w:szCs w:val="24"/>
        </w:rPr>
        <w:t>lgunas limitaciones de esta tesina</w:t>
      </w:r>
      <w:r>
        <w:rPr>
          <w:rFonts w:ascii="Times New Roman" w:hAnsi="Times New Roman" w:cs="Times New Roman"/>
          <w:sz w:val="24"/>
          <w:szCs w:val="24"/>
        </w:rPr>
        <w:t>, las cuales</w:t>
      </w:r>
      <w:r w:rsidR="00D87D1C">
        <w:rPr>
          <w:rFonts w:ascii="Times New Roman" w:hAnsi="Times New Roman" w:cs="Times New Roman"/>
          <w:sz w:val="24"/>
          <w:szCs w:val="24"/>
        </w:rPr>
        <w:t xml:space="preserve"> tienen que ver con que los gobernadores tienen muchos otros recursos a repartir además del Fondo Regional. Es decir, el </w:t>
      </w:r>
      <w:proofErr w:type="spellStart"/>
      <w:r w:rsidR="00D87D1C">
        <w:rPr>
          <w:rFonts w:ascii="Times New Roman" w:hAnsi="Times New Roman" w:cs="Times New Roman"/>
          <w:sz w:val="24"/>
          <w:szCs w:val="24"/>
        </w:rPr>
        <w:t>Fonregión</w:t>
      </w:r>
      <w:proofErr w:type="spellEnd"/>
      <w:r w:rsidR="00D87D1C">
        <w:rPr>
          <w:rFonts w:ascii="Times New Roman" w:hAnsi="Times New Roman" w:cs="Times New Roman"/>
          <w:sz w:val="24"/>
          <w:szCs w:val="24"/>
        </w:rPr>
        <w:t xml:space="preserve"> es pequeño en términos presupuestarios. Quizá la lógica que </w:t>
      </w:r>
      <w:r w:rsidR="00F85240">
        <w:rPr>
          <w:rFonts w:ascii="Times New Roman" w:hAnsi="Times New Roman" w:cs="Times New Roman"/>
          <w:sz w:val="24"/>
          <w:szCs w:val="24"/>
        </w:rPr>
        <w:t>se sigue</w:t>
      </w:r>
      <w:r w:rsidR="00D87D1C">
        <w:rPr>
          <w:rFonts w:ascii="Times New Roman" w:hAnsi="Times New Roman" w:cs="Times New Roman"/>
          <w:sz w:val="24"/>
          <w:szCs w:val="24"/>
        </w:rPr>
        <w:t xml:space="preserve"> tiene que ver con admin</w:t>
      </w:r>
      <w:r w:rsidR="00F85240">
        <w:rPr>
          <w:rFonts w:ascii="Times New Roman" w:hAnsi="Times New Roman" w:cs="Times New Roman"/>
          <w:sz w:val="24"/>
          <w:szCs w:val="24"/>
        </w:rPr>
        <w:t>istrar todos los</w:t>
      </w:r>
      <w:r w:rsidR="00D87D1C">
        <w:rPr>
          <w:rFonts w:ascii="Times New Roman" w:hAnsi="Times New Roman" w:cs="Times New Roman"/>
          <w:sz w:val="24"/>
          <w:szCs w:val="24"/>
        </w:rPr>
        <w:t xml:space="preserve"> recursos dispon</w:t>
      </w:r>
      <w:r w:rsidR="00373338">
        <w:rPr>
          <w:rFonts w:ascii="Times New Roman" w:hAnsi="Times New Roman" w:cs="Times New Roman"/>
          <w:sz w:val="24"/>
          <w:szCs w:val="24"/>
        </w:rPr>
        <w:t>ibles, por lo que en realidad</w:t>
      </w:r>
      <w:r w:rsidR="00D87D1C">
        <w:rPr>
          <w:rFonts w:ascii="Times New Roman" w:hAnsi="Times New Roman" w:cs="Times New Roman"/>
          <w:sz w:val="24"/>
          <w:szCs w:val="24"/>
        </w:rPr>
        <w:t xml:space="preserve"> la utilización de los recursos del Fondo Regional</w:t>
      </w:r>
      <w:r w:rsidR="00373338">
        <w:rPr>
          <w:rFonts w:ascii="Times New Roman" w:hAnsi="Times New Roman" w:cs="Times New Roman"/>
          <w:sz w:val="24"/>
          <w:szCs w:val="24"/>
        </w:rPr>
        <w:t xml:space="preserve"> forma parte de un esquema discrecional más amplio</w:t>
      </w:r>
      <w:r w:rsidR="00D87D1C">
        <w:rPr>
          <w:rFonts w:ascii="Times New Roman" w:hAnsi="Times New Roman" w:cs="Times New Roman"/>
          <w:sz w:val="24"/>
          <w:szCs w:val="24"/>
        </w:rPr>
        <w:t xml:space="preserve">. </w:t>
      </w:r>
      <w:r>
        <w:rPr>
          <w:rFonts w:ascii="Times New Roman" w:hAnsi="Times New Roman" w:cs="Times New Roman"/>
          <w:sz w:val="24"/>
          <w:szCs w:val="24"/>
        </w:rPr>
        <w:t>Especialmente esto lo podemos ver con los casos</w:t>
      </w:r>
      <w:r w:rsidR="00F85240">
        <w:rPr>
          <w:rFonts w:ascii="Times New Roman" w:hAnsi="Times New Roman" w:cs="Times New Roman"/>
          <w:sz w:val="24"/>
          <w:szCs w:val="24"/>
        </w:rPr>
        <w:t xml:space="preserve"> de Chiapas y Guerrero</w:t>
      </w:r>
      <w:r w:rsidR="007471E3">
        <w:rPr>
          <w:rFonts w:ascii="Times New Roman" w:hAnsi="Times New Roman" w:cs="Times New Roman"/>
          <w:sz w:val="24"/>
          <w:szCs w:val="24"/>
        </w:rPr>
        <w:t>,</w:t>
      </w:r>
      <w:r w:rsidR="00F85240">
        <w:rPr>
          <w:rFonts w:ascii="Times New Roman" w:hAnsi="Times New Roman" w:cs="Times New Roman"/>
          <w:sz w:val="24"/>
          <w:szCs w:val="24"/>
        </w:rPr>
        <w:t xml:space="preserve"> en los cuales</w:t>
      </w:r>
      <w:r>
        <w:rPr>
          <w:rFonts w:ascii="Times New Roman" w:hAnsi="Times New Roman" w:cs="Times New Roman"/>
          <w:sz w:val="24"/>
          <w:szCs w:val="24"/>
        </w:rPr>
        <w:t xml:space="preserve"> observamos que los proyectos aumentan si es año previo a elección de gobernador, pero no podemos identificar una estrategia específicamente electoral con la asignación de dichos recursos. </w:t>
      </w:r>
      <w:r w:rsidR="00D87D1C">
        <w:rPr>
          <w:rFonts w:ascii="Times New Roman" w:hAnsi="Times New Roman" w:cs="Times New Roman"/>
          <w:sz w:val="24"/>
          <w:szCs w:val="24"/>
        </w:rPr>
        <w:t xml:space="preserve">Sin embargo, incluso con esta gran limitante, </w:t>
      </w:r>
      <w:r>
        <w:rPr>
          <w:rFonts w:ascii="Times New Roman" w:hAnsi="Times New Roman" w:cs="Times New Roman"/>
          <w:sz w:val="24"/>
          <w:szCs w:val="24"/>
        </w:rPr>
        <w:t>fue posible</w:t>
      </w:r>
      <w:r w:rsidR="00D87D1C">
        <w:rPr>
          <w:rFonts w:ascii="Times New Roman" w:hAnsi="Times New Roman" w:cs="Times New Roman"/>
          <w:sz w:val="24"/>
          <w:szCs w:val="24"/>
        </w:rPr>
        <w:t xml:space="preserve"> comprobar distintas lógicas políticas que operan en el manejo de este Fondo, no obstante </w:t>
      </w:r>
      <w:r w:rsidR="00D87D1C">
        <w:rPr>
          <w:rFonts w:ascii="Times New Roman" w:hAnsi="Times New Roman" w:cs="Times New Roman"/>
          <w:sz w:val="24"/>
          <w:szCs w:val="24"/>
        </w:rPr>
        <w:lastRenderedPageBreak/>
        <w:t>que lo mejor sería expandir el trabajo para abarcar en su conjunto las transferencias federales a entidades federativas.</w:t>
      </w:r>
    </w:p>
    <w:p w14:paraId="7B46E3A0" w14:textId="77777777" w:rsidR="00027BA1" w:rsidRDefault="00027BA1" w:rsidP="00D87D1C">
      <w:pPr>
        <w:spacing w:line="480" w:lineRule="auto"/>
        <w:ind w:firstLine="708"/>
        <w:jc w:val="both"/>
        <w:rPr>
          <w:rFonts w:ascii="Times New Roman" w:hAnsi="Times New Roman" w:cs="Times New Roman"/>
          <w:sz w:val="24"/>
          <w:szCs w:val="24"/>
        </w:rPr>
      </w:pPr>
    </w:p>
    <w:p w14:paraId="6BFD9B79" w14:textId="5FF5FF33" w:rsidR="009418D5" w:rsidRPr="00120BF5" w:rsidRDefault="001C0289" w:rsidP="00610F80">
      <w:pPr>
        <w:pStyle w:val="Prrafodelista"/>
        <w:numPr>
          <w:ilvl w:val="0"/>
          <w:numId w:val="1"/>
        </w:numPr>
        <w:spacing w:after="0" w:line="480" w:lineRule="auto"/>
        <w:jc w:val="both"/>
        <w:outlineLvl w:val="0"/>
        <w:rPr>
          <w:rFonts w:ascii="Times New Roman" w:eastAsia="Times New Roman" w:hAnsi="Times New Roman" w:cs="Times New Roman"/>
          <w:i/>
          <w:sz w:val="24"/>
          <w:szCs w:val="24"/>
          <w:u w:val="single"/>
        </w:rPr>
      </w:pPr>
      <w:bookmarkStart w:id="9" w:name="_Toc382321805"/>
      <w:r w:rsidRPr="00120BF5">
        <w:rPr>
          <w:rFonts w:ascii="Times New Roman" w:eastAsia="Times New Roman" w:hAnsi="Times New Roman" w:cs="Times New Roman"/>
          <w:i/>
          <w:sz w:val="24"/>
          <w:szCs w:val="24"/>
          <w:u w:val="single"/>
        </w:rPr>
        <w:t>Epílogo</w:t>
      </w:r>
      <w:bookmarkEnd w:id="9"/>
      <w:r w:rsidRPr="00120BF5">
        <w:rPr>
          <w:rFonts w:ascii="Times New Roman" w:eastAsia="Times New Roman" w:hAnsi="Times New Roman" w:cs="Times New Roman"/>
          <w:i/>
          <w:sz w:val="24"/>
          <w:szCs w:val="24"/>
          <w:u w:val="single"/>
        </w:rPr>
        <w:t xml:space="preserve"> </w:t>
      </w:r>
    </w:p>
    <w:p w14:paraId="3D81300A" w14:textId="3A011DA1" w:rsidR="004737BB" w:rsidRDefault="009418D5" w:rsidP="00C53B56">
      <w:pPr>
        <w:spacing w:line="480" w:lineRule="auto"/>
        <w:jc w:val="both"/>
        <w:rPr>
          <w:rFonts w:ascii="Times New Roman" w:hAnsi="Times New Roman" w:cs="Times New Roman"/>
          <w:sz w:val="24"/>
          <w:szCs w:val="24"/>
        </w:rPr>
      </w:pPr>
      <w:r>
        <w:rPr>
          <w:rFonts w:ascii="Times New Roman" w:hAnsi="Times New Roman" w:cs="Times New Roman"/>
          <w:sz w:val="24"/>
          <w:szCs w:val="24"/>
        </w:rPr>
        <w:t>A</w:t>
      </w:r>
      <w:r w:rsidR="00C53B56">
        <w:rPr>
          <w:rFonts w:ascii="Times New Roman" w:hAnsi="Times New Roman" w:cs="Times New Roman"/>
          <w:sz w:val="24"/>
          <w:szCs w:val="24"/>
        </w:rPr>
        <w:t>ntes de dar fin al análisis presentado en esta tesina, a</w:t>
      </w:r>
      <w:r>
        <w:rPr>
          <w:rFonts w:ascii="Times New Roman" w:hAnsi="Times New Roman" w:cs="Times New Roman"/>
          <w:sz w:val="24"/>
          <w:szCs w:val="24"/>
        </w:rPr>
        <w:t>lgo que quiero resaltar es que, si bien el Fon</w:t>
      </w:r>
      <w:r w:rsidR="003F346F">
        <w:rPr>
          <w:rFonts w:ascii="Times New Roman" w:hAnsi="Times New Roman" w:cs="Times New Roman"/>
          <w:sz w:val="24"/>
          <w:szCs w:val="24"/>
        </w:rPr>
        <w:t>d</w:t>
      </w:r>
      <w:r>
        <w:rPr>
          <w:rFonts w:ascii="Times New Roman" w:hAnsi="Times New Roman" w:cs="Times New Roman"/>
          <w:sz w:val="24"/>
          <w:szCs w:val="24"/>
        </w:rPr>
        <w:t xml:space="preserve">o Regional funcionó por seis años como un fondo discrecional, los nuevos </w:t>
      </w:r>
      <w:r w:rsidR="00C906A6">
        <w:rPr>
          <w:rFonts w:ascii="Times New Roman" w:hAnsi="Times New Roman" w:cs="Times New Roman"/>
          <w:sz w:val="24"/>
          <w:szCs w:val="24"/>
        </w:rPr>
        <w:t>lineamientos de febrero de 2013</w:t>
      </w:r>
      <w:r>
        <w:rPr>
          <w:rFonts w:ascii="Times New Roman" w:hAnsi="Times New Roman" w:cs="Times New Roman"/>
          <w:sz w:val="24"/>
          <w:szCs w:val="24"/>
        </w:rPr>
        <w:t xml:space="preserve"> imponen más constreñimientos al ejercicio de tales recursos. </w:t>
      </w:r>
      <w:r w:rsidR="0088194A">
        <w:rPr>
          <w:rFonts w:ascii="Times New Roman" w:hAnsi="Times New Roman" w:cs="Times New Roman"/>
          <w:sz w:val="24"/>
          <w:szCs w:val="24"/>
        </w:rPr>
        <w:t>Actualmente</w:t>
      </w:r>
      <w:r>
        <w:rPr>
          <w:rFonts w:ascii="Times New Roman" w:hAnsi="Times New Roman" w:cs="Times New Roman"/>
          <w:sz w:val="24"/>
          <w:szCs w:val="24"/>
        </w:rPr>
        <w:t xml:space="preserve"> los objetivos de gasto son más claros y existe un mayor control sobre las ministraciones, aunque sin duda falta mucho por hacer.</w:t>
      </w:r>
      <w:r w:rsidR="00FB1A6E">
        <w:rPr>
          <w:rStyle w:val="Refdenotaalpie"/>
          <w:rFonts w:ascii="Times New Roman" w:hAnsi="Times New Roman" w:cs="Times New Roman"/>
          <w:sz w:val="24"/>
          <w:szCs w:val="24"/>
        </w:rPr>
        <w:footnoteReference w:id="46"/>
      </w:r>
      <w:r>
        <w:rPr>
          <w:rFonts w:ascii="Times New Roman" w:hAnsi="Times New Roman" w:cs="Times New Roman"/>
          <w:sz w:val="24"/>
          <w:szCs w:val="24"/>
        </w:rPr>
        <w:t xml:space="preserve"> Habrá que ver si en realidad estos cambios cierran las puertas a la discrecionalidad, aunque es plausible pensar </w:t>
      </w:r>
      <w:r w:rsidR="0088194A">
        <w:rPr>
          <w:rFonts w:ascii="Times New Roman" w:hAnsi="Times New Roman" w:cs="Times New Roman"/>
          <w:sz w:val="24"/>
          <w:szCs w:val="24"/>
        </w:rPr>
        <w:t xml:space="preserve">que, </w:t>
      </w:r>
      <w:r w:rsidR="00DF5ED4">
        <w:rPr>
          <w:rFonts w:ascii="Times New Roman" w:hAnsi="Times New Roman" w:cs="Times New Roman"/>
          <w:sz w:val="24"/>
          <w:szCs w:val="24"/>
        </w:rPr>
        <w:t xml:space="preserve">por distintas razones, el Fondo Regional no haya quedado del todo blindado. </w:t>
      </w:r>
    </w:p>
    <w:p w14:paraId="422EC206" w14:textId="0A591241" w:rsidR="009418D5" w:rsidRDefault="00DF5ED4" w:rsidP="004737BB">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En principio, </w:t>
      </w:r>
      <w:r w:rsidR="0088194A">
        <w:rPr>
          <w:rFonts w:ascii="Times New Roman" w:hAnsi="Times New Roman" w:cs="Times New Roman"/>
          <w:sz w:val="24"/>
          <w:szCs w:val="24"/>
        </w:rPr>
        <w:t>al continuar en el Ramo 23</w:t>
      </w:r>
      <w:r>
        <w:rPr>
          <w:rFonts w:ascii="Times New Roman" w:hAnsi="Times New Roman" w:cs="Times New Roman"/>
          <w:sz w:val="24"/>
          <w:szCs w:val="24"/>
        </w:rPr>
        <w:t>, los mecanismos de control sobre la discrecionalidad son más reducidos a si se encontraran en un Ramo con criterios más específico</w:t>
      </w:r>
      <w:r w:rsidR="001D64A9">
        <w:rPr>
          <w:rFonts w:ascii="Times New Roman" w:hAnsi="Times New Roman" w:cs="Times New Roman"/>
          <w:sz w:val="24"/>
          <w:szCs w:val="24"/>
        </w:rPr>
        <w:t>s</w:t>
      </w:r>
      <w:r>
        <w:rPr>
          <w:rFonts w:ascii="Times New Roman" w:hAnsi="Times New Roman" w:cs="Times New Roman"/>
          <w:sz w:val="24"/>
          <w:szCs w:val="24"/>
        </w:rPr>
        <w:t>. En segundo lugar,</w:t>
      </w:r>
      <w:r w:rsidR="0088194A">
        <w:rPr>
          <w:rFonts w:ascii="Times New Roman" w:hAnsi="Times New Roman" w:cs="Times New Roman"/>
          <w:sz w:val="24"/>
          <w:szCs w:val="24"/>
        </w:rPr>
        <w:t xml:space="preserve"> </w:t>
      </w:r>
      <w:r>
        <w:rPr>
          <w:rFonts w:ascii="Times New Roman" w:hAnsi="Times New Roman" w:cs="Times New Roman"/>
          <w:sz w:val="24"/>
          <w:szCs w:val="24"/>
        </w:rPr>
        <w:t xml:space="preserve">en los nuevos lineamientos se </w:t>
      </w:r>
      <w:r w:rsidR="0088194A">
        <w:rPr>
          <w:rFonts w:ascii="Times New Roman" w:hAnsi="Times New Roman" w:cs="Times New Roman"/>
          <w:sz w:val="24"/>
          <w:szCs w:val="24"/>
        </w:rPr>
        <w:t>sug</w:t>
      </w:r>
      <w:r>
        <w:rPr>
          <w:rFonts w:ascii="Times New Roman" w:hAnsi="Times New Roman" w:cs="Times New Roman"/>
          <w:sz w:val="24"/>
          <w:szCs w:val="24"/>
        </w:rPr>
        <w:t>i</w:t>
      </w:r>
      <w:r w:rsidR="0088194A">
        <w:rPr>
          <w:rFonts w:ascii="Times New Roman" w:hAnsi="Times New Roman" w:cs="Times New Roman"/>
          <w:sz w:val="24"/>
          <w:szCs w:val="24"/>
        </w:rPr>
        <w:t>er</w:t>
      </w:r>
      <w:r>
        <w:rPr>
          <w:rFonts w:ascii="Times New Roman" w:hAnsi="Times New Roman" w:cs="Times New Roman"/>
          <w:sz w:val="24"/>
          <w:szCs w:val="24"/>
        </w:rPr>
        <w:t>e</w:t>
      </w:r>
      <w:r w:rsidR="0088194A">
        <w:rPr>
          <w:rFonts w:ascii="Times New Roman" w:hAnsi="Times New Roman" w:cs="Times New Roman"/>
          <w:sz w:val="24"/>
          <w:szCs w:val="24"/>
        </w:rPr>
        <w:t xml:space="preserve"> que preferentemente los recursos deberán destinarse a los municipios con mayores carencias</w:t>
      </w:r>
      <w:r>
        <w:rPr>
          <w:rFonts w:ascii="Times New Roman" w:hAnsi="Times New Roman" w:cs="Times New Roman"/>
          <w:sz w:val="24"/>
          <w:szCs w:val="24"/>
        </w:rPr>
        <w:t xml:space="preserve">; sin embargo, no se cuenta con un mandato claro ni criterios de asignación </w:t>
      </w:r>
      <w:r w:rsidR="0088194A">
        <w:rPr>
          <w:rFonts w:ascii="Times New Roman" w:hAnsi="Times New Roman" w:cs="Times New Roman"/>
          <w:sz w:val="24"/>
          <w:szCs w:val="24"/>
        </w:rPr>
        <w:t>específico</w:t>
      </w:r>
      <w:r>
        <w:rPr>
          <w:rFonts w:ascii="Times New Roman" w:hAnsi="Times New Roman" w:cs="Times New Roman"/>
          <w:sz w:val="24"/>
          <w:szCs w:val="24"/>
        </w:rPr>
        <w:t>s. En tercer lugar, al</w:t>
      </w:r>
      <w:r w:rsidR="0088194A">
        <w:rPr>
          <w:rFonts w:ascii="Times New Roman" w:hAnsi="Times New Roman" w:cs="Times New Roman"/>
          <w:sz w:val="24"/>
          <w:szCs w:val="24"/>
        </w:rPr>
        <w:t xml:space="preserve"> seguir recibiendo las carteras de proyectos en físico, </w:t>
      </w:r>
      <w:r>
        <w:rPr>
          <w:rFonts w:ascii="Times New Roman" w:hAnsi="Times New Roman" w:cs="Times New Roman"/>
          <w:sz w:val="24"/>
          <w:szCs w:val="24"/>
        </w:rPr>
        <w:t xml:space="preserve">se complica en gran medida el seguimiento de los recursos, así como su revisión, para saber si cumplen con las especificaciones requeridas. Por último, </w:t>
      </w:r>
      <w:r w:rsidR="0088194A">
        <w:rPr>
          <w:rFonts w:ascii="Times New Roman" w:hAnsi="Times New Roman" w:cs="Times New Roman"/>
          <w:sz w:val="24"/>
          <w:szCs w:val="24"/>
        </w:rPr>
        <w:t>todavía n</w:t>
      </w:r>
      <w:r>
        <w:rPr>
          <w:rFonts w:ascii="Times New Roman" w:hAnsi="Times New Roman" w:cs="Times New Roman"/>
          <w:sz w:val="24"/>
          <w:szCs w:val="24"/>
        </w:rPr>
        <w:t>o existe alg</w:t>
      </w:r>
      <w:r w:rsidR="001D64A9">
        <w:rPr>
          <w:rFonts w:ascii="Times New Roman" w:hAnsi="Times New Roman" w:cs="Times New Roman"/>
          <w:sz w:val="24"/>
          <w:szCs w:val="24"/>
        </w:rPr>
        <w:t>ún manual</w:t>
      </w:r>
      <w:r>
        <w:rPr>
          <w:rFonts w:ascii="Times New Roman" w:hAnsi="Times New Roman" w:cs="Times New Roman"/>
          <w:sz w:val="24"/>
          <w:szCs w:val="24"/>
        </w:rPr>
        <w:t xml:space="preserve"> que permita a la SHCP conocer el</w:t>
      </w:r>
      <w:r w:rsidR="0088194A">
        <w:rPr>
          <w:rFonts w:ascii="Times New Roman" w:hAnsi="Times New Roman" w:cs="Times New Roman"/>
          <w:sz w:val="24"/>
          <w:szCs w:val="24"/>
        </w:rPr>
        <w:t xml:space="preserve"> </w:t>
      </w:r>
      <w:r w:rsidR="0088194A">
        <w:rPr>
          <w:rFonts w:ascii="Times New Roman" w:hAnsi="Times New Roman" w:cs="Times New Roman"/>
          <w:sz w:val="24"/>
          <w:szCs w:val="24"/>
        </w:rPr>
        <w:lastRenderedPageBreak/>
        <w:t>impacto de los proyectos sobre el IDH</w:t>
      </w:r>
      <w:r>
        <w:rPr>
          <w:rFonts w:ascii="Times New Roman" w:hAnsi="Times New Roman" w:cs="Times New Roman"/>
          <w:sz w:val="24"/>
          <w:szCs w:val="24"/>
        </w:rPr>
        <w:t xml:space="preserve"> de los municipios beneficiarios. En este sentido, sería recomendable que sea otra dependencia la que revise y decida sobre las asignaciones de recursos, pues, aunque los funcionarios de la SHCP puedan ser expertos en materia presupuestaria, en realidad no cuentan con la información necesaria o algún procedimiento establecido para conocer si algún proyecto puede tener impacto sobre la variable que se busca afectar, el IDH.</w:t>
      </w:r>
      <w:r w:rsidR="009418D5">
        <w:rPr>
          <w:rFonts w:ascii="Times New Roman" w:hAnsi="Times New Roman" w:cs="Times New Roman"/>
          <w:sz w:val="24"/>
          <w:szCs w:val="24"/>
        </w:rPr>
        <w:t xml:space="preserve"> </w:t>
      </w:r>
    </w:p>
    <w:p w14:paraId="1C563A77" w14:textId="28A1C6E4" w:rsidR="003F346F" w:rsidRDefault="009418D5" w:rsidP="00D964F8">
      <w:pPr>
        <w:spacing w:line="480" w:lineRule="auto"/>
        <w:ind w:firstLine="708"/>
        <w:jc w:val="both"/>
        <w:rPr>
          <w:rFonts w:ascii="Times New Roman" w:hAnsi="Times New Roman" w:cs="Times New Roman"/>
          <w:sz w:val="24"/>
          <w:szCs w:val="24"/>
        </w:rPr>
      </w:pPr>
      <w:r w:rsidRPr="00D87D1C">
        <w:rPr>
          <w:rFonts w:ascii="Times New Roman" w:hAnsi="Times New Roman" w:cs="Times New Roman"/>
          <w:sz w:val="24"/>
          <w:szCs w:val="24"/>
        </w:rPr>
        <w:t>Ahora bien, con base en las conclusiones de este estudio</w:t>
      </w:r>
      <w:r w:rsidR="00D964F8">
        <w:rPr>
          <w:rFonts w:ascii="Times New Roman" w:hAnsi="Times New Roman" w:cs="Times New Roman"/>
          <w:sz w:val="24"/>
          <w:szCs w:val="24"/>
        </w:rPr>
        <w:t xml:space="preserve">, resulta imperativo mejorar los mecanismos de asignación del </w:t>
      </w:r>
      <w:proofErr w:type="spellStart"/>
      <w:r w:rsidR="00D964F8">
        <w:rPr>
          <w:rFonts w:ascii="Times New Roman" w:hAnsi="Times New Roman" w:cs="Times New Roman"/>
          <w:sz w:val="24"/>
          <w:szCs w:val="24"/>
        </w:rPr>
        <w:t>Fonregión</w:t>
      </w:r>
      <w:proofErr w:type="spellEnd"/>
      <w:r w:rsidR="00D964F8">
        <w:rPr>
          <w:rFonts w:ascii="Times New Roman" w:hAnsi="Times New Roman" w:cs="Times New Roman"/>
          <w:sz w:val="24"/>
          <w:szCs w:val="24"/>
        </w:rPr>
        <w:t xml:space="preserve">, con la finalidad de que cumpla sus objetivos de combate a la desigualdad. </w:t>
      </w:r>
      <w:r w:rsidRPr="00D87D1C">
        <w:rPr>
          <w:rFonts w:ascii="Times New Roman" w:hAnsi="Times New Roman" w:cs="Times New Roman"/>
          <w:sz w:val="24"/>
          <w:szCs w:val="24"/>
        </w:rPr>
        <w:t>Lo que propongo</w:t>
      </w:r>
      <w:r w:rsidR="00D964F8">
        <w:rPr>
          <w:rFonts w:ascii="Times New Roman" w:hAnsi="Times New Roman" w:cs="Times New Roman"/>
          <w:sz w:val="24"/>
          <w:szCs w:val="24"/>
        </w:rPr>
        <w:t>, entonces,</w:t>
      </w:r>
      <w:r w:rsidR="00E45667">
        <w:rPr>
          <w:rFonts w:ascii="Times New Roman" w:hAnsi="Times New Roman" w:cs="Times New Roman"/>
          <w:sz w:val="24"/>
          <w:szCs w:val="24"/>
        </w:rPr>
        <w:t xml:space="preserve"> </w:t>
      </w:r>
      <w:r w:rsidRPr="00D87D1C">
        <w:rPr>
          <w:rFonts w:ascii="Times New Roman" w:hAnsi="Times New Roman" w:cs="Times New Roman"/>
          <w:sz w:val="24"/>
          <w:szCs w:val="24"/>
        </w:rPr>
        <w:t xml:space="preserve">es </w:t>
      </w:r>
      <w:r w:rsidR="00C53B56">
        <w:rPr>
          <w:rFonts w:ascii="Times New Roman" w:hAnsi="Times New Roman" w:cs="Times New Roman"/>
          <w:sz w:val="24"/>
          <w:szCs w:val="24"/>
        </w:rPr>
        <w:t xml:space="preserve">que se tomen en cuenta los criterios que deberían fundamentar la asignación de recursos del </w:t>
      </w:r>
      <w:proofErr w:type="spellStart"/>
      <w:r w:rsidR="00C53B56">
        <w:rPr>
          <w:rFonts w:ascii="Times New Roman" w:hAnsi="Times New Roman" w:cs="Times New Roman"/>
          <w:sz w:val="24"/>
          <w:szCs w:val="24"/>
        </w:rPr>
        <w:t>Fonregión</w:t>
      </w:r>
      <w:proofErr w:type="spellEnd"/>
      <w:r w:rsidR="00C53B56">
        <w:rPr>
          <w:rFonts w:ascii="Times New Roman" w:hAnsi="Times New Roman" w:cs="Times New Roman"/>
          <w:sz w:val="24"/>
          <w:szCs w:val="24"/>
        </w:rPr>
        <w:t>, es decir, el IDH de los municipios. Sin embargo, no sólo deberá buscarse que se asignen recursos a los municipios con IDH más bajo, pues esto genera incentivos incorrectos para permanecer con b</w:t>
      </w:r>
      <w:r w:rsidR="00E41004">
        <w:rPr>
          <w:rFonts w:ascii="Times New Roman" w:hAnsi="Times New Roman" w:cs="Times New Roman"/>
          <w:sz w:val="24"/>
          <w:szCs w:val="24"/>
        </w:rPr>
        <w:t>ajos niveles de desarrollo. Así</w:t>
      </w:r>
      <w:r w:rsidR="00C53B56">
        <w:rPr>
          <w:rFonts w:ascii="Times New Roman" w:hAnsi="Times New Roman" w:cs="Times New Roman"/>
          <w:sz w:val="24"/>
          <w:szCs w:val="24"/>
        </w:rPr>
        <w:t>, deberá tomarse en cuenta también el avance o la mejora que tengan los municipios en dicho indicador</w:t>
      </w:r>
      <w:r w:rsidR="00E41004">
        <w:rPr>
          <w:rFonts w:ascii="Times New Roman" w:hAnsi="Times New Roman" w:cs="Times New Roman"/>
          <w:sz w:val="24"/>
          <w:szCs w:val="24"/>
        </w:rPr>
        <w:t>, a fin de generar incentivos reales de combate a la desigualdad</w:t>
      </w:r>
      <w:r w:rsidR="00C53B56">
        <w:rPr>
          <w:rFonts w:ascii="Times New Roman" w:hAnsi="Times New Roman" w:cs="Times New Roman"/>
          <w:sz w:val="24"/>
          <w:szCs w:val="24"/>
        </w:rPr>
        <w:t>.</w:t>
      </w:r>
      <w:r w:rsidR="00146E96">
        <w:rPr>
          <w:rFonts w:ascii="Times New Roman" w:hAnsi="Times New Roman" w:cs="Times New Roman"/>
          <w:sz w:val="24"/>
          <w:szCs w:val="24"/>
        </w:rPr>
        <w:t xml:space="preserve"> </w:t>
      </w:r>
    </w:p>
    <w:p w14:paraId="16D6330E" w14:textId="330D9D54" w:rsidR="00C53B56" w:rsidRDefault="00905F92" w:rsidP="003F346F">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En este </w:t>
      </w:r>
      <w:r w:rsidR="007212A6">
        <w:rPr>
          <w:rFonts w:ascii="Times New Roman" w:hAnsi="Times New Roman" w:cs="Times New Roman"/>
          <w:sz w:val="24"/>
          <w:szCs w:val="24"/>
        </w:rPr>
        <w:t>sentido, se plantea una</w:t>
      </w:r>
      <w:r>
        <w:rPr>
          <w:rFonts w:ascii="Times New Roman" w:hAnsi="Times New Roman" w:cs="Times New Roman"/>
          <w:sz w:val="24"/>
          <w:szCs w:val="24"/>
        </w:rPr>
        <w:t xml:space="preserve"> fórmula de asignación que tome en cuenta los criterios ya mencionados para tratar de elimin</w:t>
      </w:r>
      <w:r w:rsidR="007212A6">
        <w:rPr>
          <w:rFonts w:ascii="Times New Roman" w:hAnsi="Times New Roman" w:cs="Times New Roman"/>
          <w:sz w:val="24"/>
          <w:szCs w:val="24"/>
        </w:rPr>
        <w:t>ar los criterios discrecionales. Antes de presentar dicha propuesta conviene aclarar que la fórmula es meramente una propuesta conceptual, pues para corroborar las ponderaciones sugeridas resulta necesario llevar a cabo un análisis detallado del impacto que las mismas podrían tener en el desarrollo municipal</w:t>
      </w:r>
      <w:r w:rsidR="00F920F7">
        <w:rPr>
          <w:rFonts w:ascii="Times New Roman" w:hAnsi="Times New Roman" w:cs="Times New Roman"/>
          <w:sz w:val="24"/>
          <w:szCs w:val="24"/>
        </w:rPr>
        <w:t>. Una vez aclarado lo anterior, a continuaci</w:t>
      </w:r>
      <w:r w:rsidR="00010D15">
        <w:rPr>
          <w:rFonts w:ascii="Times New Roman" w:hAnsi="Times New Roman" w:cs="Times New Roman"/>
          <w:sz w:val="24"/>
          <w:szCs w:val="24"/>
        </w:rPr>
        <w:t>ón presento</w:t>
      </w:r>
      <w:r w:rsidR="00F920F7">
        <w:rPr>
          <w:rFonts w:ascii="Times New Roman" w:hAnsi="Times New Roman" w:cs="Times New Roman"/>
          <w:sz w:val="24"/>
          <w:szCs w:val="24"/>
        </w:rPr>
        <w:t xml:space="preserve"> la fórmula de asignación referida:</w:t>
      </w:r>
    </w:p>
    <w:p w14:paraId="32714F84" w14:textId="77777777" w:rsidR="00DC5825" w:rsidRPr="00B76005" w:rsidRDefault="00C53B56" w:rsidP="009418D5">
      <w:pPr>
        <w:spacing w:line="480" w:lineRule="auto"/>
        <w:jc w:val="both"/>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d>
          <m:dPr>
            <m:ctrlPr>
              <w:rPr>
                <w:rFonts w:ascii="Cambria Math" w:hAnsi="Cambria Math" w:cs="Times New Roman"/>
                <w:i/>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d>
          <m:dPr>
            <m:ctrlPr>
              <w:rPr>
                <w:rFonts w:ascii="Cambria Math" w:hAnsi="Cambria Math" w:cs="Times New Roman"/>
                <w:i/>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r>
          <w:rPr>
            <w:rFonts w:ascii="Cambria Math" w:hAnsi="Cambria Math" w:cs="Times New Roman"/>
            <w:sz w:val="24"/>
            <w:szCs w:val="24"/>
          </w:rPr>
          <m:t>]</m:t>
        </m:r>
      </m:oMath>
    </w:p>
    <w:p w14:paraId="400453F8" w14:textId="77777777" w:rsidR="00B76005" w:rsidRDefault="00146E96" w:rsidP="009418D5">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D</w:t>
      </w:r>
      <w:r w:rsidR="00B76005">
        <w:rPr>
          <w:rFonts w:ascii="Times New Roman" w:hAnsi="Times New Roman" w:cs="Times New Roman"/>
          <w:sz w:val="24"/>
          <w:szCs w:val="24"/>
        </w:rPr>
        <w:t>onde</w:t>
      </w:r>
    </w:p>
    <w:p w14:paraId="011622D8" w14:textId="77777777" w:rsidR="006A63FE" w:rsidRPr="006A63FE" w:rsidRDefault="00481210" w:rsidP="009418D5">
      <w:pPr>
        <w:spacing w:line="480"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num>
            <m:den>
              <m:r>
                <w:rPr>
                  <w:rFonts w:ascii="Cambria Math" w:hAnsi="Cambria Math" w:cs="Times New Roman"/>
                  <w:sz w:val="24"/>
                  <w:szCs w:val="24"/>
                </w:rPr>
                <m:t>n</m:t>
              </m:r>
            </m:den>
          </m:f>
        </m:oMath>
      </m:oMathPara>
    </w:p>
    <w:p w14:paraId="49437277" w14:textId="77777777" w:rsidR="00B76005" w:rsidRPr="00B76005" w:rsidRDefault="00B76005" w:rsidP="009418D5">
      <w:pPr>
        <w:spacing w:line="48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bar>
                <m:barPr>
                  <m:pos m:val="top"/>
                  <m:ctrlPr>
                    <w:rPr>
                      <w:rFonts w:ascii="Cambria Math" w:hAnsi="Cambria Math" w:cs="Times New Roman"/>
                      <w:i/>
                      <w:sz w:val="24"/>
                      <w:szCs w:val="24"/>
                    </w:rPr>
                  </m:ctrlPr>
                </m:barPr>
                <m:e>
                  <m:r>
                    <w:rPr>
                      <w:rFonts w:ascii="Cambria Math" w:hAnsi="Cambria Math" w:cs="Times New Roman"/>
                      <w:sz w:val="24"/>
                      <w:szCs w:val="24"/>
                    </w:rPr>
                    <m:t>x</m:t>
                  </m:r>
                </m:e>
              </m:bar>
            </m:num>
            <m:den>
              <m:bar>
                <m:barPr>
                  <m:pos m:val="top"/>
                  <m:ctrlPr>
                    <w:rPr>
                      <w:rFonts w:ascii="Cambria Math" w:hAnsi="Cambria Math" w:cs="Times New Roman"/>
                      <w:i/>
                      <w:sz w:val="24"/>
                      <w:szCs w:val="24"/>
                    </w:rPr>
                  </m:ctrlPr>
                </m:barPr>
                <m:e>
                  <m:r>
                    <w:rPr>
                      <w:rFonts w:ascii="Cambria Math" w:hAnsi="Cambria Math" w:cs="Times New Roman"/>
                      <w:sz w:val="24"/>
                      <w:szCs w:val="24"/>
                    </w:rPr>
                    <m:t>x</m:t>
                  </m:r>
                </m:e>
              </m:bar>
            </m:den>
          </m:f>
        </m:oMath>
      </m:oMathPara>
    </w:p>
    <w:p w14:paraId="3B8B0956" w14:textId="77777777" w:rsidR="00B76005" w:rsidRPr="00B76005" w:rsidRDefault="00481210" w:rsidP="009418D5">
      <w:pPr>
        <w:spacing w:line="480" w:lineRule="auto"/>
        <w:jc w:val="both"/>
        <w:rPr>
          <w:rFonts w:ascii="Times New Roman" w:hAnsi="Times New Roman" w:cs="Times New Roman"/>
          <w:sz w:val="24"/>
          <w:szCs w:val="24"/>
        </w:rPr>
      </w:pPr>
      <m:oMathPara>
        <m:oMathParaPr>
          <m:jc m:val="left"/>
        </m:oMathParaPr>
        <m:oMath>
          <m:bar>
            <m:barPr>
              <m:pos m:val="top"/>
              <m:ctrlPr>
                <w:rPr>
                  <w:rFonts w:ascii="Cambria Math" w:hAnsi="Cambria Math" w:cs="Times New Roman"/>
                  <w:i/>
                  <w:sz w:val="24"/>
                  <w:szCs w:val="24"/>
                </w:rPr>
              </m:ctrlPr>
            </m:barPr>
            <m:e>
              <m:r>
                <w:rPr>
                  <w:rFonts w:ascii="Cambria Math" w:hAnsi="Cambria Math" w:cs="Times New Roman"/>
                  <w:sz w:val="24"/>
                  <w:szCs w:val="24"/>
                </w:rPr>
                <m:t>x</m:t>
              </m:r>
            </m:e>
          </m:bar>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num>
            <m:den>
              <m:r>
                <w:rPr>
                  <w:rFonts w:ascii="Cambria Math" w:hAnsi="Cambria Math" w:cs="Times New Roman"/>
                  <w:sz w:val="24"/>
                  <w:szCs w:val="24"/>
                </w:rPr>
                <m:t>n</m:t>
              </m:r>
            </m:den>
          </m:f>
        </m:oMath>
      </m:oMathPara>
    </w:p>
    <w:p w14:paraId="5FF1FFD5" w14:textId="77777777" w:rsidR="00B006F4" w:rsidRPr="00AF12D7" w:rsidRDefault="00481210" w:rsidP="009418D5">
      <w:pPr>
        <w:spacing w:line="480"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=0.6</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IDH</m:t>
                  </m:r>
                </m:den>
              </m:f>
            </m:e>
          </m:d>
          <m:r>
            <w:rPr>
              <w:rFonts w:ascii="Cambria Math" w:hAnsi="Cambria Math" w:cs="Times New Roman"/>
              <w:sz w:val="24"/>
              <w:szCs w:val="24"/>
            </w:rPr>
            <m:t>+0.4</m:t>
          </m:r>
          <m:d>
            <m:dPr>
              <m:ctrlPr>
                <w:rPr>
                  <w:rFonts w:ascii="Cambria Math" w:hAnsi="Cambria Math" w:cs="Times New Roman"/>
                  <w:i/>
                  <w:sz w:val="24"/>
                  <w:szCs w:val="24"/>
                </w:rPr>
              </m:ctrlPr>
            </m:dPr>
            <m:e>
              <m:r>
                <w:rPr>
                  <w:rFonts w:ascii="Cambria Math" w:hAnsi="Cambria Math" w:cs="Times New Roman"/>
                  <w:sz w:val="24"/>
                  <w:szCs w:val="24"/>
                </w:rPr>
                <m:t>∆ IDH</m:t>
              </m:r>
            </m:e>
          </m:d>
        </m:oMath>
      </m:oMathPara>
    </w:p>
    <w:p w14:paraId="61F0752E" w14:textId="77777777" w:rsidR="00AF12D7" w:rsidRPr="006A63FE" w:rsidRDefault="00AF12D7" w:rsidP="009418D5">
      <w:pPr>
        <w:spacing w:line="48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∆IDH=</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IDH</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IDH</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ID</m:t>
                  </m:r>
                  <m:r>
                    <w:rPr>
                      <w:rFonts w:ascii="Cambria Math" w:hAnsi="Cambria Math" w:cs="Times New Roman"/>
                      <w:sz w:val="24"/>
                      <w:szCs w:val="24"/>
                    </w:rPr>
                    <m:t>H</m:t>
                  </m:r>
                </m:e>
                <m:sub>
                  <m:r>
                    <w:rPr>
                      <w:rFonts w:ascii="Cambria Math" w:hAnsi="Cambria Math" w:cs="Times New Roman"/>
                      <w:sz w:val="24"/>
                      <w:szCs w:val="24"/>
                    </w:rPr>
                    <m:t>0</m:t>
                  </m:r>
                </m:sub>
              </m:sSub>
            </m:den>
          </m:f>
        </m:oMath>
      </m:oMathPara>
    </w:p>
    <w:p w14:paraId="60CC47A4" w14:textId="4CC40CD7" w:rsidR="00905F92" w:rsidRDefault="006A63FE" w:rsidP="009418D5">
      <w:pPr>
        <w:spacing w:line="480" w:lineRule="auto"/>
        <w:jc w:val="both"/>
        <w:rPr>
          <w:rFonts w:ascii="Times New Roman" w:hAnsi="Times New Roman" w:cs="Times New Roman"/>
          <w:sz w:val="24"/>
          <w:szCs w:val="24"/>
        </w:rPr>
      </w:pPr>
      <m:oMath>
        <m:r>
          <w:rPr>
            <w:rFonts w:ascii="Cambria Math" w:hAnsi="Cambria Math" w:cs="Times New Roman"/>
            <w:sz w:val="24"/>
            <w:szCs w:val="24"/>
          </w:rPr>
          <m:t>n</m:t>
        </m:r>
      </m:oMath>
      <w:r w:rsidR="003F2F5C" w:rsidRPr="00FA7C4D">
        <w:rPr>
          <w:rFonts w:ascii="Times New Roman" w:hAnsi="Times New Roman" w:cs="Times New Roman"/>
          <w:sz w:val="24"/>
          <w:szCs w:val="24"/>
        </w:rPr>
        <w:t xml:space="preserve"> </w:t>
      </w:r>
      <w:proofErr w:type="gramStart"/>
      <w:r w:rsidR="00D6577F">
        <w:rPr>
          <w:rFonts w:ascii="Times New Roman" w:hAnsi="Times New Roman" w:cs="Times New Roman"/>
          <w:sz w:val="24"/>
          <w:szCs w:val="24"/>
        </w:rPr>
        <w:t>es</w:t>
      </w:r>
      <w:proofErr w:type="gramEnd"/>
      <w:r w:rsidR="00D6577F">
        <w:rPr>
          <w:rFonts w:ascii="Times New Roman" w:hAnsi="Times New Roman" w:cs="Times New Roman"/>
          <w:sz w:val="24"/>
          <w:szCs w:val="24"/>
        </w:rPr>
        <w:t xml:space="preserve"> el número de municipios beneficiarios. El número debe garantizar que el municipio menos beneficiado reciba al menos </w:t>
      </w:r>
      <w:r w:rsidR="00FA7C4D">
        <w:rPr>
          <w:rFonts w:ascii="Times New Roman" w:hAnsi="Times New Roman" w:cs="Times New Roman"/>
          <w:sz w:val="24"/>
          <w:szCs w:val="24"/>
        </w:rPr>
        <w:t>1</w:t>
      </w:r>
      <w:r w:rsidR="00D6577F">
        <w:rPr>
          <w:rFonts w:ascii="Times New Roman" w:hAnsi="Times New Roman" w:cs="Times New Roman"/>
          <w:sz w:val="24"/>
          <w:szCs w:val="24"/>
        </w:rPr>
        <w:t>% del presupuesto destinado para la entidad federativa</w:t>
      </w:r>
      <w:r w:rsidR="00F85240">
        <w:rPr>
          <w:rFonts w:ascii="Times New Roman" w:hAnsi="Times New Roman" w:cs="Times New Roman"/>
          <w:sz w:val="24"/>
          <w:szCs w:val="24"/>
        </w:rPr>
        <w:t xml:space="preserve"> y comprobar que todos los municipios beneficiarios</w:t>
      </w:r>
      <w:r w:rsidR="00FA7C4D">
        <w:rPr>
          <w:rFonts w:ascii="Times New Roman" w:hAnsi="Times New Roman" w:cs="Times New Roman"/>
          <w:sz w:val="24"/>
          <w:szCs w:val="24"/>
        </w:rPr>
        <w:t xml:space="preserve"> se encuentre</w:t>
      </w:r>
      <w:r w:rsidR="00F85240">
        <w:rPr>
          <w:rFonts w:ascii="Times New Roman" w:hAnsi="Times New Roman" w:cs="Times New Roman"/>
          <w:sz w:val="24"/>
          <w:szCs w:val="24"/>
        </w:rPr>
        <w:t>n</w:t>
      </w:r>
      <w:r w:rsidR="00FA7C4D">
        <w:rPr>
          <w:rFonts w:ascii="Times New Roman" w:hAnsi="Times New Roman" w:cs="Times New Roman"/>
          <w:sz w:val="24"/>
          <w:szCs w:val="24"/>
        </w:rPr>
        <w:t xml:space="preserve"> ubicado</w:t>
      </w:r>
      <w:r w:rsidR="00F85240">
        <w:rPr>
          <w:rFonts w:ascii="Times New Roman" w:hAnsi="Times New Roman" w:cs="Times New Roman"/>
          <w:sz w:val="24"/>
          <w:szCs w:val="24"/>
        </w:rPr>
        <w:t>s</w:t>
      </w:r>
      <w:r w:rsidR="00FA7C4D">
        <w:rPr>
          <w:rFonts w:ascii="Times New Roman" w:hAnsi="Times New Roman" w:cs="Times New Roman"/>
          <w:sz w:val="24"/>
          <w:szCs w:val="24"/>
        </w:rPr>
        <w:t xml:space="preserve"> dentro del último cuartil nacional en términos de IDH.</w:t>
      </w:r>
    </w:p>
    <w:p w14:paraId="17E547EE" w14:textId="77777777" w:rsidR="001120A5" w:rsidRPr="001120A5" w:rsidRDefault="00481210" w:rsidP="009418D5">
      <w:pPr>
        <w:spacing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oMath>
      <w:r w:rsidR="001120A5">
        <w:rPr>
          <w:rFonts w:ascii="Times New Roman" w:hAnsi="Times New Roman" w:cs="Times New Roman"/>
          <w:sz w:val="24"/>
          <w:szCs w:val="24"/>
        </w:rPr>
        <w:t xml:space="preserve"> </w:t>
      </w:r>
      <w:proofErr w:type="gramStart"/>
      <w:r w:rsidR="001120A5">
        <w:rPr>
          <w:rFonts w:ascii="Times New Roman" w:hAnsi="Times New Roman" w:cs="Times New Roman"/>
          <w:sz w:val="24"/>
          <w:szCs w:val="24"/>
        </w:rPr>
        <w:t>son</w:t>
      </w:r>
      <w:proofErr w:type="gramEnd"/>
      <w:r w:rsidR="001120A5">
        <w:rPr>
          <w:rFonts w:ascii="Times New Roman" w:hAnsi="Times New Roman" w:cs="Times New Roman"/>
          <w:sz w:val="24"/>
          <w:szCs w:val="24"/>
        </w:rPr>
        <w:t xml:space="preserve"> los recursos totales a repartir entre los municipios por la fórmula</w:t>
      </w:r>
    </w:p>
    <w:p w14:paraId="520537C6" w14:textId="77777777" w:rsidR="00BE2B00" w:rsidRDefault="00481210" w:rsidP="009418D5">
      <w:pPr>
        <w:spacing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oMath>
      <w:r w:rsidR="001120A5">
        <w:rPr>
          <w:rFonts w:ascii="Times New Roman" w:hAnsi="Times New Roman" w:cs="Times New Roman"/>
          <w:sz w:val="24"/>
          <w:szCs w:val="24"/>
        </w:rPr>
        <w:t xml:space="preserve"> </w:t>
      </w:r>
      <w:proofErr w:type="gramStart"/>
      <w:r w:rsidR="001120A5">
        <w:rPr>
          <w:rFonts w:ascii="Times New Roman" w:hAnsi="Times New Roman" w:cs="Times New Roman"/>
          <w:sz w:val="24"/>
          <w:szCs w:val="24"/>
        </w:rPr>
        <w:t>son</w:t>
      </w:r>
      <w:proofErr w:type="gramEnd"/>
      <w:r w:rsidR="001120A5">
        <w:rPr>
          <w:rFonts w:ascii="Times New Roman" w:hAnsi="Times New Roman" w:cs="Times New Roman"/>
          <w:sz w:val="24"/>
          <w:szCs w:val="24"/>
        </w:rPr>
        <w:t xml:space="preserve"> los recursos parciales que recibiría cada municipio de hacer una distribución sin ponderaciones socioeconómicas.</w:t>
      </w:r>
    </w:p>
    <w:p w14:paraId="2D397741" w14:textId="77777777" w:rsidR="00E92643" w:rsidRDefault="00481210" w:rsidP="009418D5">
      <w:pPr>
        <w:spacing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E92643">
        <w:rPr>
          <w:rFonts w:ascii="Times New Roman" w:hAnsi="Times New Roman" w:cs="Times New Roman"/>
          <w:sz w:val="24"/>
          <w:szCs w:val="24"/>
        </w:rPr>
        <w:t xml:space="preserve"> </w:t>
      </w:r>
      <w:proofErr w:type="gramStart"/>
      <w:r w:rsidR="00E92643">
        <w:rPr>
          <w:rFonts w:ascii="Times New Roman" w:hAnsi="Times New Roman" w:cs="Times New Roman"/>
          <w:sz w:val="24"/>
          <w:szCs w:val="24"/>
        </w:rPr>
        <w:t>es</w:t>
      </w:r>
      <w:proofErr w:type="gramEnd"/>
      <w:r w:rsidR="00E92643">
        <w:rPr>
          <w:rFonts w:ascii="Times New Roman" w:hAnsi="Times New Roman" w:cs="Times New Roman"/>
          <w:sz w:val="24"/>
          <w:szCs w:val="24"/>
        </w:rPr>
        <w:t xml:space="preserve"> la ponderación socioeconómica de los municipios</w:t>
      </w:r>
    </w:p>
    <w:p w14:paraId="10A0C7AA" w14:textId="77777777" w:rsidR="00E92643" w:rsidRDefault="00481210" w:rsidP="009418D5">
      <w:pPr>
        <w:spacing w:line="480" w:lineRule="auto"/>
        <w:jc w:val="both"/>
        <w:rPr>
          <w:rFonts w:ascii="Times New Roman" w:hAnsi="Times New Roman" w:cs="Times New Roman"/>
          <w:sz w:val="24"/>
          <w:szCs w:val="24"/>
        </w:rPr>
      </w:pPr>
      <m:oMath>
        <m:bar>
          <m:barPr>
            <m:pos m:val="top"/>
            <m:ctrlPr>
              <w:rPr>
                <w:rFonts w:ascii="Cambria Math" w:hAnsi="Cambria Math" w:cs="Times New Roman"/>
                <w:i/>
                <w:sz w:val="24"/>
                <w:szCs w:val="24"/>
              </w:rPr>
            </m:ctrlPr>
          </m:barPr>
          <m:e>
            <m:r>
              <w:rPr>
                <w:rFonts w:ascii="Cambria Math" w:hAnsi="Cambria Math" w:cs="Times New Roman"/>
                <w:sz w:val="24"/>
                <w:szCs w:val="24"/>
              </w:rPr>
              <m:t>x</m:t>
            </m:r>
          </m:e>
        </m:bar>
      </m:oMath>
      <w:r w:rsidR="00E92643">
        <w:rPr>
          <w:rFonts w:ascii="Times New Roman" w:hAnsi="Times New Roman" w:cs="Times New Roman"/>
          <w:sz w:val="24"/>
          <w:szCs w:val="24"/>
        </w:rPr>
        <w:t xml:space="preserve"> </w:t>
      </w:r>
      <w:proofErr w:type="gramStart"/>
      <w:r w:rsidR="00E92643">
        <w:rPr>
          <w:rFonts w:ascii="Times New Roman" w:hAnsi="Times New Roman" w:cs="Times New Roman"/>
          <w:sz w:val="24"/>
          <w:szCs w:val="24"/>
        </w:rPr>
        <w:t>es</w:t>
      </w:r>
      <w:proofErr w:type="gramEnd"/>
      <w:r w:rsidR="00E92643">
        <w:rPr>
          <w:rFonts w:ascii="Times New Roman" w:hAnsi="Times New Roman" w:cs="Times New Roman"/>
          <w:sz w:val="24"/>
          <w:szCs w:val="24"/>
        </w:rPr>
        <w:t xml:space="preserve"> la media de las ponderaciones socioeconómicas de los municipios beneficiarios</w:t>
      </w:r>
    </w:p>
    <w:p w14:paraId="03189070" w14:textId="77777777" w:rsidR="00F136C8" w:rsidRDefault="00F136C8" w:rsidP="009418D5">
      <w:pPr>
        <w:spacing w:line="480" w:lineRule="auto"/>
        <w:jc w:val="both"/>
        <w:rPr>
          <w:rFonts w:ascii="Times New Roman" w:hAnsi="Times New Roman" w:cs="Times New Roman"/>
          <w:sz w:val="24"/>
          <w:szCs w:val="24"/>
        </w:rPr>
      </w:pP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hAnsi="Times New Roman" w:cs="Times New Roman"/>
          <w:sz w:val="24"/>
          <w:szCs w:val="24"/>
        </w:rPr>
        <w:t xml:space="preserve"> </w:t>
      </w:r>
      <w:proofErr w:type="gramStart"/>
      <w:r>
        <w:rPr>
          <w:rFonts w:ascii="Times New Roman" w:hAnsi="Times New Roman" w:cs="Times New Roman"/>
          <w:sz w:val="24"/>
          <w:szCs w:val="24"/>
        </w:rPr>
        <w:t>es</w:t>
      </w:r>
      <w:proofErr w:type="gramEnd"/>
      <w:r>
        <w:rPr>
          <w:rFonts w:ascii="Times New Roman" w:hAnsi="Times New Roman" w:cs="Times New Roman"/>
          <w:sz w:val="24"/>
          <w:szCs w:val="24"/>
        </w:rPr>
        <w:t xml:space="preserve"> la varianza real de cada observación socioeconómica de los municipios respecto de la media</w:t>
      </w:r>
    </w:p>
    <w:p w14:paraId="6069DDB2" w14:textId="77777777" w:rsidR="00F136C8" w:rsidRDefault="00F136C8" w:rsidP="00F136C8">
      <w:pPr>
        <w:spacing w:line="480" w:lineRule="auto"/>
        <w:jc w:val="both"/>
        <w:rPr>
          <w:rFonts w:ascii="Times New Roman" w:hAnsi="Times New Roman" w:cs="Times New Roman"/>
          <w:sz w:val="24"/>
          <w:szCs w:val="24"/>
        </w:rPr>
      </w:pPr>
      <m:oMath>
        <m:r>
          <w:rPr>
            <w:rFonts w:ascii="Cambria Math" w:hAnsi="Cambria Math" w:cs="Times New Roman"/>
            <w:sz w:val="24"/>
            <w:szCs w:val="24"/>
          </w:rPr>
          <w:lastRenderedPageBreak/>
          <m:t>∆IDH</m:t>
        </m:r>
      </m:oMath>
      <w:r>
        <w:rPr>
          <w:rFonts w:ascii="Times New Roman" w:hAnsi="Times New Roman" w:cs="Times New Roman"/>
          <w:sz w:val="24"/>
          <w:szCs w:val="24"/>
        </w:rPr>
        <w:t xml:space="preserve"> </w:t>
      </w:r>
      <w:proofErr w:type="gramStart"/>
      <w:r>
        <w:rPr>
          <w:rFonts w:ascii="Times New Roman" w:hAnsi="Times New Roman" w:cs="Times New Roman"/>
          <w:sz w:val="24"/>
          <w:szCs w:val="24"/>
        </w:rPr>
        <w:t>es</w:t>
      </w:r>
      <w:proofErr w:type="gramEnd"/>
      <w:r>
        <w:rPr>
          <w:rFonts w:ascii="Times New Roman" w:hAnsi="Times New Roman" w:cs="Times New Roman"/>
          <w:sz w:val="24"/>
          <w:szCs w:val="24"/>
        </w:rPr>
        <w:t xml:space="preserve"> el cambio real de cada observación de IDH de los municipios respecto de su medición anterior</w:t>
      </w:r>
    </w:p>
    <w:p w14:paraId="1653BD45" w14:textId="7448BE54" w:rsidR="00776804" w:rsidRDefault="00776804" w:rsidP="00905F9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Por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oMath>
      <w:r>
        <w:rPr>
          <w:rFonts w:ascii="Times New Roman" w:hAnsi="Times New Roman" w:cs="Times New Roman"/>
          <w:sz w:val="24"/>
          <w:szCs w:val="24"/>
        </w:rPr>
        <w:t xml:space="preserve"> hay que entender los recursos totales transferidos a la entidad federativa a través del Fonregión que se asignarán por medio de esta fórmula. Es decir, </w:t>
      </w:r>
      <w:r w:rsidR="00905F92">
        <w:rPr>
          <w:rFonts w:ascii="Times New Roman" w:hAnsi="Times New Roman" w:cs="Times New Roman"/>
          <w:sz w:val="24"/>
          <w:szCs w:val="24"/>
        </w:rPr>
        <w:t xml:space="preserve">dado que es un fondo discrecional que muy difícilmente podrá </w:t>
      </w:r>
      <w:r>
        <w:rPr>
          <w:rFonts w:ascii="Times New Roman" w:hAnsi="Times New Roman" w:cs="Times New Roman"/>
          <w:sz w:val="24"/>
          <w:szCs w:val="24"/>
        </w:rPr>
        <w:t>ajustarse a criterios técnicos</w:t>
      </w:r>
      <w:r w:rsidR="00F85240">
        <w:rPr>
          <w:rFonts w:ascii="Times New Roman" w:hAnsi="Times New Roman" w:cs="Times New Roman"/>
          <w:sz w:val="24"/>
          <w:szCs w:val="24"/>
        </w:rPr>
        <w:t>,</w:t>
      </w:r>
      <w:r>
        <w:rPr>
          <w:rFonts w:ascii="Times New Roman" w:hAnsi="Times New Roman" w:cs="Times New Roman"/>
          <w:sz w:val="24"/>
          <w:szCs w:val="24"/>
        </w:rPr>
        <w:t xml:space="preserve"> se considera que únicamente 70%</w:t>
      </w:r>
      <w:r w:rsidR="0096687D">
        <w:rPr>
          <w:rFonts w:ascii="Times New Roman" w:hAnsi="Times New Roman" w:cs="Times New Roman"/>
          <w:sz w:val="24"/>
          <w:szCs w:val="24"/>
        </w:rPr>
        <w:t xml:space="preserve"> </w:t>
      </w:r>
      <w:r>
        <w:rPr>
          <w:rFonts w:ascii="Times New Roman" w:hAnsi="Times New Roman" w:cs="Times New Roman"/>
          <w:sz w:val="24"/>
          <w:szCs w:val="24"/>
        </w:rPr>
        <w:t>del</w:t>
      </w:r>
      <w:r w:rsidR="00F85240">
        <w:rPr>
          <w:rFonts w:ascii="Times New Roman" w:hAnsi="Times New Roman" w:cs="Times New Roman"/>
          <w:sz w:val="24"/>
          <w:szCs w:val="24"/>
        </w:rPr>
        <w:t xml:space="preserve"> Fondo debe asignarse</w:t>
      </w:r>
      <w:r>
        <w:rPr>
          <w:rFonts w:ascii="Times New Roman" w:hAnsi="Times New Roman" w:cs="Times New Roman"/>
          <w:sz w:val="24"/>
          <w:szCs w:val="24"/>
        </w:rPr>
        <w:t xml:space="preserve"> a través de esta fórmula,</w:t>
      </w:r>
      <w:r w:rsidR="00E41004">
        <w:rPr>
          <w:rFonts w:ascii="Times New Roman" w:hAnsi="Times New Roman" w:cs="Times New Roman"/>
          <w:sz w:val="24"/>
          <w:szCs w:val="24"/>
        </w:rPr>
        <w:t xml:space="preserve"> mientras que el restante 30%</w:t>
      </w:r>
      <w:r>
        <w:rPr>
          <w:rFonts w:ascii="Times New Roman" w:hAnsi="Times New Roman" w:cs="Times New Roman"/>
          <w:sz w:val="24"/>
          <w:szCs w:val="24"/>
        </w:rPr>
        <w:t xml:space="preserve"> pueda utilizar</w:t>
      </w:r>
      <w:r w:rsidR="00E41004">
        <w:rPr>
          <w:rFonts w:ascii="Times New Roman" w:hAnsi="Times New Roman" w:cs="Times New Roman"/>
          <w:sz w:val="24"/>
          <w:szCs w:val="24"/>
        </w:rPr>
        <w:t>se</w:t>
      </w:r>
      <w:r>
        <w:rPr>
          <w:rFonts w:ascii="Times New Roman" w:hAnsi="Times New Roman" w:cs="Times New Roman"/>
          <w:sz w:val="24"/>
          <w:szCs w:val="24"/>
        </w:rPr>
        <w:t xml:space="preserve"> en cualquier municipio, independientemente de su desarrollo humano, pero sí con una justificación para cada proyecto sobre su impacto en el IDH estatal. Es decir, dicha decisión responde también a que probablemente se busque mejorar el IDH total, al centrarse en las regiones más desarrolladas; sin embargo, </w:t>
      </w:r>
      <w:r w:rsidR="007212A6">
        <w:rPr>
          <w:rFonts w:ascii="Times New Roman" w:hAnsi="Times New Roman" w:cs="Times New Roman"/>
          <w:sz w:val="24"/>
          <w:szCs w:val="24"/>
        </w:rPr>
        <w:t>el grueso de los recursos deben apoyar el desarrollo de los municipios menos favorecidos, a fin</w:t>
      </w:r>
      <w:r w:rsidR="00800809">
        <w:rPr>
          <w:rFonts w:ascii="Times New Roman" w:hAnsi="Times New Roman" w:cs="Times New Roman"/>
          <w:sz w:val="24"/>
          <w:szCs w:val="24"/>
        </w:rPr>
        <w:t>,</w:t>
      </w:r>
      <w:r w:rsidR="007212A6">
        <w:rPr>
          <w:rFonts w:ascii="Times New Roman" w:hAnsi="Times New Roman" w:cs="Times New Roman"/>
          <w:sz w:val="24"/>
          <w:szCs w:val="24"/>
        </w:rPr>
        <w:t xml:space="preserve"> no sólo de combatir la desigualdad entre estados, sino al interior de los mismos.</w:t>
      </w:r>
    </w:p>
    <w:p w14:paraId="2590D02B" w14:textId="2362597B" w:rsidR="00BE2B00" w:rsidRDefault="00BE2B00" w:rsidP="00BE2B00">
      <w:pPr>
        <w:spacing w:line="480" w:lineRule="auto"/>
        <w:ind w:firstLine="708"/>
        <w:jc w:val="both"/>
        <w:rPr>
          <w:rFonts w:ascii="Times New Roman" w:hAnsi="Times New Roman" w:cs="Times New Roman"/>
          <w:sz w:val="24"/>
          <w:szCs w:val="24"/>
        </w:rPr>
      </w:pPr>
      <w:r w:rsidRPr="00FA7C4D">
        <w:rPr>
          <w:rFonts w:ascii="Times New Roman" w:hAnsi="Times New Roman" w:cs="Times New Roman"/>
          <w:sz w:val="24"/>
          <w:szCs w:val="24"/>
        </w:rPr>
        <w:t xml:space="preserve">Por su parte,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oMath>
      <w:r w:rsidRPr="00FA7C4D">
        <w:rPr>
          <w:rFonts w:ascii="Times New Roman" w:hAnsi="Times New Roman" w:cs="Times New Roman"/>
          <w:sz w:val="24"/>
          <w:szCs w:val="24"/>
        </w:rPr>
        <w:t xml:space="preserve"> se refiere a dividir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oMath>
      <w:r w:rsidRPr="00FA7C4D">
        <w:rPr>
          <w:rFonts w:ascii="Times New Roman" w:hAnsi="Times New Roman" w:cs="Times New Roman"/>
          <w:sz w:val="24"/>
          <w:szCs w:val="24"/>
        </w:rPr>
        <w:t xml:space="preserve"> entre el número de municipios beneficiarios, los cuales se determinarán</w:t>
      </w:r>
      <w:r>
        <w:rPr>
          <w:rFonts w:ascii="Times New Roman" w:hAnsi="Times New Roman" w:cs="Times New Roman"/>
          <w:sz w:val="24"/>
          <w:szCs w:val="24"/>
        </w:rPr>
        <w:t xml:space="preserve"> </w:t>
      </w:r>
      <w:r w:rsidR="00FA7C4D">
        <w:rPr>
          <w:rFonts w:ascii="Times New Roman" w:hAnsi="Times New Roman" w:cs="Times New Roman"/>
          <w:sz w:val="24"/>
          <w:szCs w:val="24"/>
        </w:rPr>
        <w:t xml:space="preserve">con base en su posición </w:t>
      </w:r>
      <w:r w:rsidR="00F85240">
        <w:rPr>
          <w:rFonts w:ascii="Times New Roman" w:hAnsi="Times New Roman" w:cs="Times New Roman"/>
          <w:sz w:val="24"/>
          <w:szCs w:val="24"/>
        </w:rPr>
        <w:t xml:space="preserve">en la </w:t>
      </w:r>
      <w:r w:rsidR="00FA7C4D">
        <w:rPr>
          <w:rFonts w:ascii="Times New Roman" w:hAnsi="Times New Roman" w:cs="Times New Roman"/>
          <w:sz w:val="24"/>
          <w:szCs w:val="24"/>
        </w:rPr>
        <w:t xml:space="preserve">distribución nacional del IDH y en </w:t>
      </w:r>
      <w:r w:rsidR="00AB62C5">
        <w:rPr>
          <w:rFonts w:ascii="Times New Roman" w:hAnsi="Times New Roman" w:cs="Times New Roman"/>
          <w:sz w:val="24"/>
          <w:szCs w:val="24"/>
        </w:rPr>
        <w:t xml:space="preserve">la consideración de que los municipios beneficiados deben </w:t>
      </w:r>
      <w:r w:rsidR="00FA7C4D">
        <w:rPr>
          <w:rFonts w:ascii="Times New Roman" w:hAnsi="Times New Roman" w:cs="Times New Roman"/>
          <w:sz w:val="24"/>
          <w:szCs w:val="24"/>
        </w:rPr>
        <w:t>obtener suficientes recursos para llevar a cabo al menos un proyecto que impacte en dicho indicador</w:t>
      </w:r>
      <w:r w:rsidR="00DD2893">
        <w:rPr>
          <w:rFonts w:ascii="Times New Roman" w:hAnsi="Times New Roman" w:cs="Times New Roman"/>
          <w:sz w:val="24"/>
          <w:szCs w:val="24"/>
        </w:rPr>
        <w:t xml:space="preserve">. Con ello se obtiene la cantidad de recursos que corresponderían a cada municipio que cumple con las características socioeconómicas necesarias si </w:t>
      </w:r>
      <w:r w:rsidR="00AB62C5">
        <w:rPr>
          <w:rFonts w:ascii="Times New Roman" w:hAnsi="Times New Roman" w:cs="Times New Roman"/>
          <w:sz w:val="24"/>
          <w:szCs w:val="24"/>
        </w:rPr>
        <w:t xml:space="preserve">sólo se </w:t>
      </w:r>
      <w:r w:rsidR="00DD2893">
        <w:rPr>
          <w:rFonts w:ascii="Times New Roman" w:hAnsi="Times New Roman" w:cs="Times New Roman"/>
          <w:sz w:val="24"/>
          <w:szCs w:val="24"/>
        </w:rPr>
        <w:t xml:space="preserve">tomara en cuenta </w:t>
      </w:r>
      <w:r w:rsidR="00AB62C5">
        <w:rPr>
          <w:rFonts w:ascii="Times New Roman" w:hAnsi="Times New Roman" w:cs="Times New Roman"/>
          <w:sz w:val="24"/>
          <w:szCs w:val="24"/>
        </w:rPr>
        <w:t xml:space="preserve">el número de municipios como </w:t>
      </w:r>
      <w:r w:rsidR="00DD2893">
        <w:rPr>
          <w:rFonts w:ascii="Times New Roman" w:hAnsi="Times New Roman" w:cs="Times New Roman"/>
          <w:sz w:val="24"/>
          <w:szCs w:val="24"/>
        </w:rPr>
        <w:t>cri</w:t>
      </w:r>
      <w:r w:rsidR="00AB62C5">
        <w:rPr>
          <w:rFonts w:ascii="Times New Roman" w:hAnsi="Times New Roman" w:cs="Times New Roman"/>
          <w:sz w:val="24"/>
          <w:szCs w:val="24"/>
        </w:rPr>
        <w:t xml:space="preserve">terio para la asignación. </w:t>
      </w:r>
      <w:r w:rsidR="00800809">
        <w:rPr>
          <w:rFonts w:ascii="Times New Roman" w:hAnsi="Times New Roman" w:cs="Times New Roman"/>
          <w:sz w:val="24"/>
          <w:szCs w:val="24"/>
        </w:rPr>
        <w:t>Así pues, esta</w:t>
      </w:r>
      <w:r w:rsidR="00DD2893">
        <w:rPr>
          <w:rFonts w:ascii="Times New Roman" w:hAnsi="Times New Roman" w:cs="Times New Roman"/>
          <w:sz w:val="24"/>
          <w:szCs w:val="24"/>
        </w:rPr>
        <w:t xml:space="preserve"> </w:t>
      </w:r>
      <w:r w:rsidR="00AB62C5">
        <w:rPr>
          <w:rFonts w:ascii="Times New Roman" w:hAnsi="Times New Roman" w:cs="Times New Roman"/>
          <w:sz w:val="24"/>
          <w:szCs w:val="24"/>
        </w:rPr>
        <w:t xml:space="preserve">distribución general será </w:t>
      </w:r>
      <w:r w:rsidR="00DD2893">
        <w:rPr>
          <w:rFonts w:ascii="Times New Roman" w:hAnsi="Times New Roman" w:cs="Times New Roman"/>
          <w:sz w:val="24"/>
          <w:szCs w:val="24"/>
        </w:rPr>
        <w:t>la base para aumentar o reducir recursos</w:t>
      </w:r>
      <w:r w:rsidR="00AB62C5">
        <w:rPr>
          <w:rFonts w:ascii="Times New Roman" w:hAnsi="Times New Roman" w:cs="Times New Roman"/>
          <w:sz w:val="24"/>
          <w:szCs w:val="24"/>
        </w:rPr>
        <w:t>, ahora sí</w:t>
      </w:r>
      <w:r w:rsidR="00DD2893">
        <w:rPr>
          <w:rFonts w:ascii="Times New Roman" w:hAnsi="Times New Roman" w:cs="Times New Roman"/>
          <w:sz w:val="24"/>
          <w:szCs w:val="24"/>
        </w:rPr>
        <w:t xml:space="preserve"> con base en la ponderación socioeconómica propuesta. Dicha ponderación la podemos encontrar en</w:t>
      </w:r>
      <w:r w:rsidR="0096687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AB62C5">
        <w:rPr>
          <w:rFonts w:ascii="Times New Roman" w:hAnsi="Times New Roman" w:cs="Times New Roman"/>
          <w:sz w:val="24"/>
          <w:szCs w:val="24"/>
        </w:rPr>
        <w:t>. En esta variable</w:t>
      </w:r>
      <w:r w:rsidR="00DA398B">
        <w:rPr>
          <w:rFonts w:ascii="Times New Roman" w:hAnsi="Times New Roman" w:cs="Times New Roman"/>
          <w:sz w:val="24"/>
          <w:szCs w:val="24"/>
        </w:rPr>
        <w:t xml:space="preserve"> se asignan recursos con base en el IDH de los municipios, así como las mejoras que hayan tenido en dicho índice. </w:t>
      </w:r>
      <w:r w:rsidR="00D45227">
        <w:rPr>
          <w:rFonts w:ascii="Times New Roman" w:hAnsi="Times New Roman" w:cs="Times New Roman"/>
          <w:sz w:val="24"/>
          <w:szCs w:val="24"/>
        </w:rPr>
        <w:t xml:space="preserve">Es decir, propongo que no sólo debe tomarse en cuenta el IDH como criterio </w:t>
      </w:r>
      <w:r w:rsidR="00D45227">
        <w:rPr>
          <w:rFonts w:ascii="Times New Roman" w:hAnsi="Times New Roman" w:cs="Times New Roman"/>
          <w:sz w:val="24"/>
          <w:szCs w:val="24"/>
        </w:rPr>
        <w:lastRenderedPageBreak/>
        <w:t>de asignación, pues esto generaría incentivos perversos que perpetuarían el bajo desarrollo de las localidades.</w:t>
      </w:r>
      <w:r w:rsidR="004837D0">
        <w:rPr>
          <w:rFonts w:ascii="Times New Roman" w:hAnsi="Times New Roman" w:cs="Times New Roman"/>
          <w:sz w:val="24"/>
          <w:szCs w:val="24"/>
        </w:rPr>
        <w:t xml:space="preserve"> En cambio</w:t>
      </w:r>
      <w:r w:rsidR="00DA00D2">
        <w:rPr>
          <w:rFonts w:ascii="Times New Roman" w:hAnsi="Times New Roman" w:cs="Times New Roman"/>
          <w:sz w:val="24"/>
          <w:szCs w:val="24"/>
        </w:rPr>
        <w:t>,</w:t>
      </w:r>
      <w:r w:rsidR="004837D0">
        <w:rPr>
          <w:rFonts w:ascii="Times New Roman" w:hAnsi="Times New Roman" w:cs="Times New Roman"/>
          <w:sz w:val="24"/>
          <w:szCs w:val="24"/>
        </w:rPr>
        <w:t xml:space="preserve"> hay que premiar también aquellos municipios que están llevando a cabo acciones de mejora efectivas para superar su condición. Así pues, se otorgarán mayores recursos a los municipios con mayores carencias, pero que también estén implementando acciones de mejora efectivas. Como ya se mencionó, los ponderadores deberán ser sometidos a prueba para contar con un análisis detallado y real de las consecuencias distributivas de dicha fórmula.</w:t>
      </w:r>
    </w:p>
    <w:p w14:paraId="3F8EBBC4" w14:textId="5CA58ED4" w:rsidR="004837D0" w:rsidRDefault="00AB62C5" w:rsidP="00BE2B00">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Con base en lo anterior, e</w:t>
      </w:r>
      <w:r w:rsidR="004837D0">
        <w:rPr>
          <w:rFonts w:ascii="Times New Roman" w:hAnsi="Times New Roman" w:cs="Times New Roman"/>
          <w:sz w:val="24"/>
          <w:szCs w:val="24"/>
        </w:rPr>
        <w:t xml:space="preserve">l procedimiento que habría que seguirse para determinar la asignación es, en primer lugar, determinar los municipios </w:t>
      </w:r>
      <w:r>
        <w:rPr>
          <w:rFonts w:ascii="Times New Roman" w:hAnsi="Times New Roman" w:cs="Times New Roman"/>
          <w:sz w:val="24"/>
          <w:szCs w:val="24"/>
        </w:rPr>
        <w:t xml:space="preserve">beneficiarios tomando en consideración </w:t>
      </w:r>
      <w:r w:rsidR="004837D0">
        <w:rPr>
          <w:rFonts w:ascii="Times New Roman" w:hAnsi="Times New Roman" w:cs="Times New Roman"/>
          <w:sz w:val="24"/>
          <w:szCs w:val="24"/>
        </w:rPr>
        <w:t>la media de distribución del desarrollo humano que exista</w:t>
      </w:r>
      <w:r w:rsidR="00FA7C4D">
        <w:rPr>
          <w:rFonts w:ascii="Times New Roman" w:hAnsi="Times New Roman" w:cs="Times New Roman"/>
          <w:sz w:val="24"/>
          <w:szCs w:val="24"/>
        </w:rPr>
        <w:t xml:space="preserve"> a nivel nacional</w:t>
      </w:r>
      <w:r>
        <w:rPr>
          <w:rFonts w:ascii="Times New Roman" w:hAnsi="Times New Roman" w:cs="Times New Roman"/>
          <w:sz w:val="24"/>
          <w:szCs w:val="24"/>
        </w:rPr>
        <w:t xml:space="preserve"> y los recursos que recibiría cada uno de forma general</w:t>
      </w:r>
      <w:r w:rsidR="004837D0">
        <w:rPr>
          <w:rFonts w:ascii="Times New Roman" w:hAnsi="Times New Roman" w:cs="Times New Roman"/>
          <w:sz w:val="24"/>
          <w:szCs w:val="24"/>
        </w:rPr>
        <w:t>.</w:t>
      </w:r>
      <w:r w:rsidR="00FA7C4D">
        <w:rPr>
          <w:rFonts w:ascii="Times New Roman" w:hAnsi="Times New Roman" w:cs="Times New Roman"/>
          <w:sz w:val="24"/>
          <w:szCs w:val="24"/>
        </w:rPr>
        <w:t xml:space="preserve"> Solamente podrán recibir recursos aquellos municipios que se encuentren en el último cuartil de la distribución.</w:t>
      </w:r>
      <w:r w:rsidR="004837D0">
        <w:rPr>
          <w:rFonts w:ascii="Times New Roman" w:hAnsi="Times New Roman" w:cs="Times New Roman"/>
          <w:sz w:val="24"/>
          <w:szCs w:val="24"/>
        </w:rPr>
        <w:t xml:space="preserve"> Una vez seleccionados los beneficiarios, deberá hacerse la ponderación de cada uno en términos socioeconómicos y de acciones de mejora, como se explicó en el párrafo anterior. Con ello, será posible ordenar a los municipios beneficiaros para conocer a cuáles de ellos les corresponderían mayores recursos y a cuáles menos. </w:t>
      </w:r>
      <w:r w:rsidR="008B138E">
        <w:rPr>
          <w:rFonts w:ascii="Times New Roman" w:hAnsi="Times New Roman" w:cs="Times New Roman"/>
          <w:sz w:val="24"/>
          <w:szCs w:val="24"/>
        </w:rPr>
        <w:t>Sin embargo, para tener una medición comparable, deberá tomarse en cuenta la media socioeconómica únicamente de esos municipios y, posteriormente, multiplicar el ponderador resultante por la proporción correspondiente y sumar o restar el resultado del</w:t>
      </w:r>
      <w:r w:rsidR="0096687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oMath>
      <w:r w:rsidR="008B138E">
        <w:rPr>
          <w:rFonts w:ascii="Times New Roman" w:hAnsi="Times New Roman" w:cs="Times New Roman"/>
          <w:sz w:val="24"/>
          <w:szCs w:val="24"/>
        </w:rPr>
        <w:t xml:space="preserve"> que les correspondería de no contar con criterios de distribución socioeconómicos.</w:t>
      </w:r>
    </w:p>
    <w:p w14:paraId="61C6263E" w14:textId="300A82C6" w:rsidR="00905F92" w:rsidRDefault="00E6714A" w:rsidP="00F84E93">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pesar de considerar que una asignación como la propuesta reduciría bastante los criterios discrecionales que caracterizan al Fondo, no hay que perder de vista que el </w:t>
      </w:r>
      <w:proofErr w:type="spellStart"/>
      <w:r>
        <w:rPr>
          <w:rFonts w:ascii="Times New Roman" w:hAnsi="Times New Roman" w:cs="Times New Roman"/>
          <w:sz w:val="24"/>
          <w:szCs w:val="24"/>
        </w:rPr>
        <w:t>Fonregión</w:t>
      </w:r>
      <w:proofErr w:type="spellEnd"/>
      <w:r>
        <w:rPr>
          <w:rFonts w:ascii="Times New Roman" w:hAnsi="Times New Roman" w:cs="Times New Roman"/>
          <w:sz w:val="24"/>
          <w:szCs w:val="24"/>
        </w:rPr>
        <w:t xml:space="preserve"> surgió como pago político, por lo que </w:t>
      </w:r>
      <w:r w:rsidR="00E41004">
        <w:rPr>
          <w:rFonts w:ascii="Times New Roman" w:hAnsi="Times New Roman" w:cs="Times New Roman"/>
          <w:sz w:val="24"/>
          <w:szCs w:val="24"/>
        </w:rPr>
        <w:t xml:space="preserve">se dificultará la generación de reglas de </w:t>
      </w:r>
      <w:r w:rsidR="00E41004">
        <w:rPr>
          <w:rFonts w:ascii="Times New Roman" w:hAnsi="Times New Roman" w:cs="Times New Roman"/>
          <w:sz w:val="24"/>
          <w:szCs w:val="24"/>
        </w:rPr>
        <w:lastRenderedPageBreak/>
        <w:t xml:space="preserve">operación que mejoren los mecanismos de asignación. </w:t>
      </w:r>
      <w:r>
        <w:rPr>
          <w:rFonts w:ascii="Times New Roman" w:hAnsi="Times New Roman" w:cs="Times New Roman"/>
          <w:sz w:val="24"/>
          <w:szCs w:val="24"/>
        </w:rPr>
        <w:t>Una de las medidas que se consideraron fue que no todos los recursos se asignen a través de esta fórmula, como ya fue referido. Sin embargo, todavía existe otra</w:t>
      </w:r>
      <w:r w:rsidR="00F84E93">
        <w:rPr>
          <w:rFonts w:ascii="Times New Roman" w:hAnsi="Times New Roman" w:cs="Times New Roman"/>
          <w:sz w:val="24"/>
          <w:szCs w:val="24"/>
        </w:rPr>
        <w:t xml:space="preserve"> medida</w:t>
      </w:r>
      <w:r>
        <w:rPr>
          <w:rFonts w:ascii="Times New Roman" w:hAnsi="Times New Roman" w:cs="Times New Roman"/>
          <w:sz w:val="24"/>
          <w:szCs w:val="24"/>
        </w:rPr>
        <w:t xml:space="preserve"> que podría co</w:t>
      </w:r>
      <w:r w:rsidR="00F84E93">
        <w:rPr>
          <w:rFonts w:ascii="Times New Roman" w:hAnsi="Times New Roman" w:cs="Times New Roman"/>
          <w:sz w:val="24"/>
          <w:szCs w:val="24"/>
        </w:rPr>
        <w:t>ntribuir</w:t>
      </w:r>
      <w:r>
        <w:rPr>
          <w:rFonts w:ascii="Times New Roman" w:hAnsi="Times New Roman" w:cs="Times New Roman"/>
          <w:sz w:val="24"/>
          <w:szCs w:val="24"/>
        </w:rPr>
        <w:t xml:space="preserve"> a</w:t>
      </w:r>
      <w:r w:rsidR="008D7CAD">
        <w:rPr>
          <w:rFonts w:ascii="Times New Roman" w:hAnsi="Times New Roman" w:cs="Times New Roman"/>
          <w:sz w:val="24"/>
          <w:szCs w:val="24"/>
        </w:rPr>
        <w:t xml:space="preserve"> la implementación del mecanismo de asignación propuesto</w:t>
      </w:r>
      <w:r w:rsidR="00F84E93">
        <w:rPr>
          <w:rFonts w:ascii="Times New Roman" w:hAnsi="Times New Roman" w:cs="Times New Roman"/>
          <w:sz w:val="24"/>
          <w:szCs w:val="24"/>
        </w:rPr>
        <w:t xml:space="preserve">: </w:t>
      </w:r>
      <w:r w:rsidR="00905F92">
        <w:rPr>
          <w:rFonts w:ascii="Times New Roman" w:hAnsi="Times New Roman" w:cs="Times New Roman"/>
          <w:sz w:val="24"/>
          <w:szCs w:val="24"/>
        </w:rPr>
        <w:t>dejar la decisión sobre número de proyectos en manos de los gobiernos estatales. Como se comprobó en esta tesina, el número de proyectos, más allá del monto per cápita, es uno de sus principales el</w:t>
      </w:r>
      <w:r w:rsidR="00F84E93">
        <w:rPr>
          <w:rFonts w:ascii="Times New Roman" w:hAnsi="Times New Roman" w:cs="Times New Roman"/>
          <w:sz w:val="24"/>
          <w:szCs w:val="24"/>
        </w:rPr>
        <w:t xml:space="preserve">ementos de presencia electoral. Luego entonces, a través de la fórmula </w:t>
      </w:r>
      <w:r w:rsidR="00905F92">
        <w:rPr>
          <w:rFonts w:ascii="Times New Roman" w:hAnsi="Times New Roman" w:cs="Times New Roman"/>
          <w:sz w:val="24"/>
          <w:szCs w:val="24"/>
        </w:rPr>
        <w:t xml:space="preserve">se </w:t>
      </w:r>
      <w:r w:rsidR="00F84E93">
        <w:rPr>
          <w:rFonts w:ascii="Times New Roman" w:hAnsi="Times New Roman" w:cs="Times New Roman"/>
          <w:sz w:val="24"/>
          <w:szCs w:val="24"/>
        </w:rPr>
        <w:t>asignarán los recursos</w:t>
      </w:r>
      <w:r w:rsidR="00905F92">
        <w:rPr>
          <w:rFonts w:ascii="Times New Roman" w:hAnsi="Times New Roman" w:cs="Times New Roman"/>
          <w:sz w:val="24"/>
          <w:szCs w:val="24"/>
        </w:rPr>
        <w:t xml:space="preserve"> a cada municipio que cumpla con características de IDH bajo, pero</w:t>
      </w:r>
      <w:r w:rsidR="00EE739F">
        <w:rPr>
          <w:rFonts w:ascii="Times New Roman" w:hAnsi="Times New Roman" w:cs="Times New Roman"/>
          <w:sz w:val="24"/>
          <w:szCs w:val="24"/>
        </w:rPr>
        <w:t xml:space="preserve"> la decisión sobre</w:t>
      </w:r>
      <w:r w:rsidR="00905F92">
        <w:rPr>
          <w:rFonts w:ascii="Times New Roman" w:hAnsi="Times New Roman" w:cs="Times New Roman"/>
          <w:sz w:val="24"/>
          <w:szCs w:val="24"/>
        </w:rPr>
        <w:t xml:space="preserve"> cuántos proyectos construir co</w:t>
      </w:r>
      <w:r w:rsidR="00F84E93">
        <w:rPr>
          <w:rFonts w:ascii="Times New Roman" w:hAnsi="Times New Roman" w:cs="Times New Roman"/>
          <w:sz w:val="24"/>
          <w:szCs w:val="24"/>
        </w:rPr>
        <w:t>n dichos recursos quedará en</w:t>
      </w:r>
      <w:r w:rsidR="00905F92">
        <w:rPr>
          <w:rFonts w:ascii="Times New Roman" w:hAnsi="Times New Roman" w:cs="Times New Roman"/>
          <w:sz w:val="24"/>
          <w:szCs w:val="24"/>
        </w:rPr>
        <w:t xml:space="preserve"> manos</w:t>
      </w:r>
      <w:r w:rsidR="00F84E93">
        <w:rPr>
          <w:rFonts w:ascii="Times New Roman" w:hAnsi="Times New Roman" w:cs="Times New Roman"/>
          <w:sz w:val="24"/>
          <w:szCs w:val="24"/>
        </w:rPr>
        <w:t xml:space="preserve"> de los gobiernos estatales</w:t>
      </w:r>
      <w:r w:rsidR="00905F92">
        <w:rPr>
          <w:rFonts w:ascii="Times New Roman" w:hAnsi="Times New Roman" w:cs="Times New Roman"/>
          <w:sz w:val="24"/>
          <w:szCs w:val="24"/>
        </w:rPr>
        <w:t xml:space="preserve">. </w:t>
      </w:r>
    </w:p>
    <w:p w14:paraId="1D033BD3" w14:textId="7125926A" w:rsidR="009418D5" w:rsidRPr="00D87D1C" w:rsidRDefault="00E45667" w:rsidP="00FA7C4D">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Además de las propuestas sobre asignación</w:t>
      </w:r>
      <w:r w:rsidR="00EE739F">
        <w:rPr>
          <w:rFonts w:ascii="Times New Roman" w:hAnsi="Times New Roman" w:cs="Times New Roman"/>
          <w:sz w:val="24"/>
          <w:szCs w:val="24"/>
        </w:rPr>
        <w:t xml:space="preserve"> referidas, propongo</w:t>
      </w:r>
      <w:r>
        <w:rPr>
          <w:rFonts w:ascii="Times New Roman" w:hAnsi="Times New Roman" w:cs="Times New Roman"/>
          <w:sz w:val="24"/>
          <w:szCs w:val="24"/>
        </w:rPr>
        <w:t xml:space="preserve"> </w:t>
      </w:r>
      <w:r w:rsidR="009418D5" w:rsidRPr="00D87D1C">
        <w:rPr>
          <w:rFonts w:ascii="Times New Roman" w:hAnsi="Times New Roman" w:cs="Times New Roman"/>
          <w:sz w:val="24"/>
          <w:szCs w:val="24"/>
        </w:rPr>
        <w:t xml:space="preserve">que se pueda realizar la calificación de la cartera de proyectos </w:t>
      </w:r>
      <w:r w:rsidR="00EE739F">
        <w:rPr>
          <w:rFonts w:ascii="Times New Roman" w:hAnsi="Times New Roman" w:cs="Times New Roman"/>
          <w:sz w:val="24"/>
          <w:szCs w:val="24"/>
        </w:rPr>
        <w:t xml:space="preserve">que envían las entidades federativas a la SHCP </w:t>
      </w:r>
      <w:r w:rsidR="009418D5" w:rsidRPr="00D87D1C">
        <w:rPr>
          <w:rFonts w:ascii="Times New Roman" w:hAnsi="Times New Roman" w:cs="Times New Roman"/>
          <w:sz w:val="24"/>
          <w:szCs w:val="24"/>
        </w:rPr>
        <w:t xml:space="preserve">por medio del </w:t>
      </w:r>
      <w:r w:rsidR="00EE739F">
        <w:rPr>
          <w:rFonts w:ascii="Times New Roman" w:hAnsi="Times New Roman" w:cs="Times New Roman"/>
          <w:sz w:val="24"/>
          <w:szCs w:val="24"/>
        </w:rPr>
        <w:t>SFU</w:t>
      </w:r>
      <w:r w:rsidR="009418D5" w:rsidRPr="00D87D1C">
        <w:rPr>
          <w:rFonts w:ascii="Times New Roman" w:hAnsi="Times New Roman" w:cs="Times New Roman"/>
          <w:sz w:val="24"/>
          <w:szCs w:val="24"/>
        </w:rPr>
        <w:t>. En dicho sistema se reporta actualmente el ejercicio</w:t>
      </w:r>
      <w:r w:rsidR="00EE739F">
        <w:rPr>
          <w:rFonts w:ascii="Times New Roman" w:hAnsi="Times New Roman" w:cs="Times New Roman"/>
          <w:sz w:val="24"/>
          <w:szCs w:val="24"/>
        </w:rPr>
        <w:t>, destino y resultados</w:t>
      </w:r>
      <w:r w:rsidR="009418D5" w:rsidRPr="00D87D1C">
        <w:rPr>
          <w:rFonts w:ascii="Times New Roman" w:hAnsi="Times New Roman" w:cs="Times New Roman"/>
          <w:sz w:val="24"/>
          <w:szCs w:val="24"/>
        </w:rPr>
        <w:t xml:space="preserve"> de los recursos de aportaciones federales, convenios de de</w:t>
      </w:r>
      <w:r w:rsidR="00EE739F">
        <w:rPr>
          <w:rFonts w:ascii="Times New Roman" w:hAnsi="Times New Roman" w:cs="Times New Roman"/>
          <w:sz w:val="24"/>
          <w:szCs w:val="24"/>
        </w:rPr>
        <w:t>scentralización y reasignación, así como</w:t>
      </w:r>
      <w:r w:rsidR="009418D5" w:rsidRPr="00D87D1C">
        <w:rPr>
          <w:rFonts w:ascii="Times New Roman" w:hAnsi="Times New Roman" w:cs="Times New Roman"/>
          <w:sz w:val="24"/>
          <w:szCs w:val="24"/>
        </w:rPr>
        <w:t xml:space="preserve"> subsidios de gasto federalizado, que por supuesto incluyen los recursos</w:t>
      </w:r>
      <w:r w:rsidR="00EE739F">
        <w:rPr>
          <w:rFonts w:ascii="Times New Roman" w:hAnsi="Times New Roman" w:cs="Times New Roman"/>
          <w:sz w:val="24"/>
          <w:szCs w:val="24"/>
        </w:rPr>
        <w:t xml:space="preserve"> del </w:t>
      </w:r>
      <w:proofErr w:type="spellStart"/>
      <w:r w:rsidR="00EE739F">
        <w:rPr>
          <w:rFonts w:ascii="Times New Roman" w:hAnsi="Times New Roman" w:cs="Times New Roman"/>
          <w:sz w:val="24"/>
          <w:szCs w:val="24"/>
        </w:rPr>
        <w:t>Fonregión</w:t>
      </w:r>
      <w:proofErr w:type="spellEnd"/>
      <w:r w:rsidR="00EE739F">
        <w:rPr>
          <w:rFonts w:ascii="Times New Roman" w:hAnsi="Times New Roman" w:cs="Times New Roman"/>
          <w:sz w:val="24"/>
          <w:szCs w:val="24"/>
        </w:rPr>
        <w:t>.</w:t>
      </w:r>
      <w:r w:rsidR="009418D5" w:rsidRPr="00D87D1C">
        <w:rPr>
          <w:rFonts w:ascii="Times New Roman" w:hAnsi="Times New Roman" w:cs="Times New Roman"/>
          <w:sz w:val="24"/>
          <w:szCs w:val="24"/>
        </w:rPr>
        <w:t xml:space="preserve"> </w:t>
      </w:r>
      <w:r w:rsidR="00EE739F">
        <w:rPr>
          <w:rFonts w:ascii="Times New Roman" w:hAnsi="Times New Roman" w:cs="Times New Roman"/>
          <w:sz w:val="24"/>
          <w:szCs w:val="24"/>
        </w:rPr>
        <w:t xml:space="preserve">Así pues, las entidades federativas y municipios capturan en el SFU </w:t>
      </w:r>
      <w:r w:rsidR="009418D5" w:rsidRPr="00D87D1C">
        <w:rPr>
          <w:rFonts w:ascii="Times New Roman" w:hAnsi="Times New Roman" w:cs="Times New Roman"/>
          <w:sz w:val="24"/>
          <w:szCs w:val="24"/>
        </w:rPr>
        <w:t xml:space="preserve">las obras realizadas con </w:t>
      </w:r>
      <w:r w:rsidR="00EE739F">
        <w:rPr>
          <w:rFonts w:ascii="Times New Roman" w:hAnsi="Times New Roman" w:cs="Times New Roman"/>
          <w:sz w:val="24"/>
          <w:szCs w:val="24"/>
        </w:rPr>
        <w:t>recursos federales, con un detalle considerable, el cual incluye los avances físicos, financieros e incluso</w:t>
      </w:r>
      <w:r w:rsidR="009418D5" w:rsidRPr="00D87D1C">
        <w:rPr>
          <w:rFonts w:ascii="Times New Roman" w:hAnsi="Times New Roman" w:cs="Times New Roman"/>
          <w:sz w:val="24"/>
          <w:szCs w:val="24"/>
        </w:rPr>
        <w:t xml:space="preserve"> georreferenciación</w:t>
      </w:r>
      <w:r w:rsidR="00EE739F">
        <w:rPr>
          <w:rFonts w:ascii="Times New Roman" w:hAnsi="Times New Roman" w:cs="Times New Roman"/>
          <w:sz w:val="24"/>
          <w:szCs w:val="24"/>
        </w:rPr>
        <w:t xml:space="preserve"> de las obras.</w:t>
      </w:r>
      <w:r w:rsidR="009418D5" w:rsidRPr="00D87D1C">
        <w:rPr>
          <w:rFonts w:ascii="Times New Roman" w:hAnsi="Times New Roman" w:cs="Times New Roman"/>
          <w:sz w:val="24"/>
          <w:szCs w:val="24"/>
        </w:rPr>
        <w:t xml:space="preserve"> Si se logra que los municipios envíen </w:t>
      </w:r>
      <w:r w:rsidR="007E0F1C">
        <w:rPr>
          <w:rFonts w:ascii="Times New Roman" w:hAnsi="Times New Roman" w:cs="Times New Roman"/>
          <w:sz w:val="24"/>
          <w:szCs w:val="24"/>
        </w:rPr>
        <w:t>la información de sus proyectos</w:t>
      </w:r>
      <w:r w:rsidR="009418D5" w:rsidRPr="00D87D1C">
        <w:rPr>
          <w:rFonts w:ascii="Times New Roman" w:hAnsi="Times New Roman" w:cs="Times New Roman"/>
          <w:sz w:val="24"/>
          <w:szCs w:val="24"/>
        </w:rPr>
        <w:t xml:space="preserve"> a través del sistema, </w:t>
      </w:r>
      <w:r w:rsidR="007E0F1C">
        <w:rPr>
          <w:rFonts w:ascii="Times New Roman" w:hAnsi="Times New Roman" w:cs="Times New Roman"/>
          <w:sz w:val="24"/>
          <w:szCs w:val="24"/>
        </w:rPr>
        <w:t xml:space="preserve">a fin de construir sus carteras de proyectos, </w:t>
      </w:r>
      <w:r w:rsidR="009418D5" w:rsidRPr="00D87D1C">
        <w:rPr>
          <w:rFonts w:ascii="Times New Roman" w:hAnsi="Times New Roman" w:cs="Times New Roman"/>
          <w:sz w:val="24"/>
          <w:szCs w:val="24"/>
        </w:rPr>
        <w:t>se tendrá un método más transparente en el que la SHCP podrá tener</w:t>
      </w:r>
      <w:r w:rsidR="008D7CAD">
        <w:rPr>
          <w:rFonts w:ascii="Times New Roman" w:hAnsi="Times New Roman" w:cs="Times New Roman"/>
          <w:sz w:val="24"/>
          <w:szCs w:val="24"/>
        </w:rPr>
        <w:t xml:space="preserve"> mayor capacidad de revisión y análisis de la información.</w:t>
      </w:r>
      <w:r w:rsidR="009237AA">
        <w:rPr>
          <w:rFonts w:ascii="Times New Roman" w:hAnsi="Times New Roman" w:cs="Times New Roman"/>
          <w:sz w:val="24"/>
          <w:szCs w:val="24"/>
        </w:rPr>
        <w:t xml:space="preserve"> Cabe recordar que actualmente dichas carteras se envían en físico, lo cual no permite un adecuado seguimiento de los recursos, dificulta su revisión y el análisis transparente de la información.</w:t>
      </w:r>
    </w:p>
    <w:p w14:paraId="201AD570" w14:textId="5F25C970" w:rsidR="009418D5" w:rsidRPr="00D87D1C" w:rsidRDefault="009418D5" w:rsidP="009418D5">
      <w:pPr>
        <w:spacing w:line="480" w:lineRule="auto"/>
        <w:jc w:val="both"/>
        <w:rPr>
          <w:rFonts w:ascii="Times New Roman" w:hAnsi="Times New Roman" w:cs="Times New Roman"/>
          <w:sz w:val="24"/>
          <w:szCs w:val="24"/>
        </w:rPr>
      </w:pPr>
      <w:r w:rsidRPr="00D87D1C">
        <w:rPr>
          <w:rFonts w:ascii="Times New Roman" w:hAnsi="Times New Roman" w:cs="Times New Roman"/>
          <w:sz w:val="24"/>
          <w:szCs w:val="24"/>
        </w:rPr>
        <w:lastRenderedPageBreak/>
        <w:tab/>
        <w:t>Para lograrse esto de manera adecuada es necesario que la SHCP cuente con criterios claros de asignación de proyectos. Se exigirá, pues, una justificación de impacto en alguno de los componentes que constituyen el IDH, por cada pr</w:t>
      </w:r>
      <w:r w:rsidR="008D7CAD">
        <w:rPr>
          <w:rFonts w:ascii="Times New Roman" w:hAnsi="Times New Roman" w:cs="Times New Roman"/>
          <w:sz w:val="24"/>
          <w:szCs w:val="24"/>
        </w:rPr>
        <w:t>oyecto presentado a través del S</w:t>
      </w:r>
      <w:r w:rsidRPr="00D87D1C">
        <w:rPr>
          <w:rFonts w:ascii="Times New Roman" w:hAnsi="Times New Roman" w:cs="Times New Roman"/>
          <w:sz w:val="24"/>
          <w:szCs w:val="24"/>
        </w:rPr>
        <w:t xml:space="preserve">istema. Si son proyectos que han existido en años anteriores, esto se hará con base en </w:t>
      </w:r>
      <w:r w:rsidR="00320DBE">
        <w:rPr>
          <w:rFonts w:ascii="Times New Roman" w:hAnsi="Times New Roman" w:cs="Times New Roman"/>
          <w:sz w:val="24"/>
          <w:szCs w:val="24"/>
        </w:rPr>
        <w:t>su</w:t>
      </w:r>
      <w:r w:rsidRPr="00D87D1C">
        <w:rPr>
          <w:rFonts w:ascii="Times New Roman" w:hAnsi="Times New Roman" w:cs="Times New Roman"/>
          <w:sz w:val="24"/>
          <w:szCs w:val="24"/>
        </w:rPr>
        <w:t xml:space="preserve"> impacto en los indicadores de desem</w:t>
      </w:r>
      <w:r w:rsidR="007E0F1C">
        <w:rPr>
          <w:rFonts w:ascii="Times New Roman" w:hAnsi="Times New Roman" w:cs="Times New Roman"/>
          <w:sz w:val="24"/>
          <w:szCs w:val="24"/>
        </w:rPr>
        <w:t>peño del Fondo, los cuales tendrían que capturarse</w:t>
      </w:r>
      <w:r w:rsidR="008D7CAD">
        <w:rPr>
          <w:rFonts w:ascii="Times New Roman" w:hAnsi="Times New Roman" w:cs="Times New Roman"/>
          <w:sz w:val="24"/>
          <w:szCs w:val="24"/>
        </w:rPr>
        <w:t xml:space="preserve"> en el propio S</w:t>
      </w:r>
      <w:r w:rsidRPr="00D87D1C">
        <w:rPr>
          <w:rFonts w:ascii="Times New Roman" w:hAnsi="Times New Roman" w:cs="Times New Roman"/>
          <w:sz w:val="24"/>
          <w:szCs w:val="24"/>
        </w:rPr>
        <w:t>istema. Por su parte</w:t>
      </w:r>
      <w:r w:rsidR="00320DBE">
        <w:rPr>
          <w:rFonts w:ascii="Times New Roman" w:hAnsi="Times New Roman" w:cs="Times New Roman"/>
          <w:sz w:val="24"/>
          <w:szCs w:val="24"/>
        </w:rPr>
        <w:t>, si se trata de</w:t>
      </w:r>
      <w:r w:rsidRPr="00D87D1C">
        <w:rPr>
          <w:rFonts w:ascii="Times New Roman" w:hAnsi="Times New Roman" w:cs="Times New Roman"/>
          <w:sz w:val="24"/>
          <w:szCs w:val="24"/>
        </w:rPr>
        <w:t xml:space="preserve"> un proyecto nuevo, se pedirá la justificaci</w:t>
      </w:r>
      <w:r>
        <w:rPr>
          <w:rFonts w:ascii="Times New Roman" w:hAnsi="Times New Roman" w:cs="Times New Roman"/>
          <w:sz w:val="24"/>
          <w:szCs w:val="24"/>
        </w:rPr>
        <w:t xml:space="preserve">ón de su impacto en </w:t>
      </w:r>
      <w:r w:rsidRPr="00D87D1C">
        <w:rPr>
          <w:rFonts w:ascii="Times New Roman" w:hAnsi="Times New Roman" w:cs="Times New Roman"/>
          <w:sz w:val="24"/>
          <w:szCs w:val="24"/>
        </w:rPr>
        <w:t>el IDH del municipio o localidad en cuestión, así como su respectiva alineación respecto a los objetivos de Fondo.</w:t>
      </w:r>
    </w:p>
    <w:p w14:paraId="407ADD9D" w14:textId="47ADBFA7" w:rsidR="009418D5" w:rsidRPr="00D87D1C" w:rsidRDefault="009418D5" w:rsidP="009418D5">
      <w:pPr>
        <w:spacing w:line="480" w:lineRule="auto"/>
        <w:jc w:val="both"/>
        <w:rPr>
          <w:rFonts w:ascii="Times New Roman" w:hAnsi="Times New Roman" w:cs="Times New Roman"/>
          <w:sz w:val="24"/>
          <w:szCs w:val="24"/>
        </w:rPr>
      </w:pPr>
      <w:r w:rsidRPr="00D87D1C">
        <w:rPr>
          <w:rFonts w:ascii="Times New Roman" w:hAnsi="Times New Roman" w:cs="Times New Roman"/>
          <w:sz w:val="24"/>
          <w:szCs w:val="24"/>
        </w:rPr>
        <w:tab/>
        <w:t>Otro aspecto que puede mejorar con el Sistema es que con la existencia de folios por proyecto, se puede</w:t>
      </w:r>
      <w:r>
        <w:rPr>
          <w:rFonts w:ascii="Times New Roman" w:hAnsi="Times New Roman" w:cs="Times New Roman"/>
          <w:sz w:val="24"/>
          <w:szCs w:val="24"/>
        </w:rPr>
        <w:t xml:space="preserve"> dar seguimiento a los mismos</w:t>
      </w:r>
      <w:r w:rsidRPr="00D87D1C">
        <w:rPr>
          <w:rFonts w:ascii="Times New Roman" w:hAnsi="Times New Roman" w:cs="Times New Roman"/>
          <w:sz w:val="24"/>
          <w:szCs w:val="24"/>
        </w:rPr>
        <w:t xml:space="preserve"> a través del tiempo y así poder identificar que no se estén repitiendo las mismas obras en los mismos lugares, sin tener un avance real. También esta aplicación permite observar cuando un proyecto ha quedado terminado o si ha sido suspendido, con su respectiva justificación. Así pues, se puede tener una herramienta muy importante de seguimiento y asignación en el SFU si se le da un papel más protagónico.</w:t>
      </w:r>
    </w:p>
    <w:p w14:paraId="63769602" w14:textId="6C82F8F4" w:rsidR="00FA7C4D" w:rsidRPr="00B006F4" w:rsidRDefault="00B20F23" w:rsidP="00B20F23">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Tras revisar las propuestas de mejora en la transparencia y asignación de los recursos del </w:t>
      </w:r>
      <w:proofErr w:type="spellStart"/>
      <w:r>
        <w:rPr>
          <w:rFonts w:ascii="Times New Roman" w:hAnsi="Times New Roman" w:cs="Times New Roman"/>
          <w:sz w:val="24"/>
          <w:szCs w:val="24"/>
        </w:rPr>
        <w:t>Fonregión</w:t>
      </w:r>
      <w:proofErr w:type="spellEnd"/>
      <w:r>
        <w:rPr>
          <w:rFonts w:ascii="Times New Roman" w:hAnsi="Times New Roman" w:cs="Times New Roman"/>
          <w:sz w:val="24"/>
          <w:szCs w:val="24"/>
        </w:rPr>
        <w:t xml:space="preserve">, resta aclarar que todavía queda mucho camino por recorrer si se busca alcanzar una asignación equitativa que verdaderamente impacte en el desarrollo de los municipios menos favorecidos. Un ejemplo de ello –que puede servir como referencia para futuras </w:t>
      </w:r>
      <w:r w:rsidR="00862550">
        <w:rPr>
          <w:rFonts w:ascii="Times New Roman" w:hAnsi="Times New Roman" w:cs="Times New Roman"/>
          <w:sz w:val="24"/>
          <w:szCs w:val="24"/>
        </w:rPr>
        <w:t>investigaciones sobre el tema—se refiere a</w:t>
      </w:r>
      <w:r>
        <w:rPr>
          <w:rFonts w:ascii="Times New Roman" w:hAnsi="Times New Roman" w:cs="Times New Roman"/>
          <w:sz w:val="24"/>
          <w:szCs w:val="24"/>
        </w:rPr>
        <w:t xml:space="preserve"> que</w:t>
      </w:r>
      <w:r w:rsidR="00862550">
        <w:rPr>
          <w:rFonts w:ascii="Times New Roman" w:hAnsi="Times New Roman" w:cs="Times New Roman"/>
          <w:sz w:val="24"/>
          <w:szCs w:val="24"/>
        </w:rPr>
        <w:t>,</w:t>
      </w:r>
      <w:r>
        <w:rPr>
          <w:rFonts w:ascii="Times New Roman" w:hAnsi="Times New Roman" w:cs="Times New Roman"/>
          <w:sz w:val="24"/>
          <w:szCs w:val="24"/>
        </w:rPr>
        <w:t xml:space="preserve"> </w:t>
      </w:r>
      <w:r w:rsidR="00862550">
        <w:rPr>
          <w:rFonts w:ascii="Times New Roman" w:hAnsi="Times New Roman" w:cs="Times New Roman"/>
          <w:sz w:val="24"/>
          <w:szCs w:val="24"/>
        </w:rPr>
        <w:t>p</w:t>
      </w:r>
      <w:r>
        <w:rPr>
          <w:rFonts w:ascii="Times New Roman" w:hAnsi="Times New Roman" w:cs="Times New Roman"/>
          <w:sz w:val="24"/>
          <w:szCs w:val="24"/>
        </w:rPr>
        <w:t>ara mejorar realmente las asignaciones, resulta indispensable conocer qué acciones brindan los mejores resultados de acuerdo con los objetivos del Fondo, aspecto que sobrepasó los límites de esta tesina. Otro rubro importante a considerar se refiere a</w:t>
      </w:r>
      <w:r w:rsidR="00FA7C4D">
        <w:rPr>
          <w:rFonts w:ascii="Times New Roman" w:hAnsi="Times New Roman" w:cs="Times New Roman"/>
          <w:sz w:val="24"/>
          <w:szCs w:val="24"/>
        </w:rPr>
        <w:t xml:space="preserve"> </w:t>
      </w:r>
      <w:r w:rsidR="00862550">
        <w:rPr>
          <w:rFonts w:ascii="Times New Roman" w:hAnsi="Times New Roman" w:cs="Times New Roman"/>
          <w:sz w:val="24"/>
          <w:szCs w:val="24"/>
        </w:rPr>
        <w:t>buscar</w:t>
      </w:r>
      <w:r w:rsidR="00FA7C4D">
        <w:rPr>
          <w:rFonts w:ascii="Times New Roman" w:hAnsi="Times New Roman" w:cs="Times New Roman"/>
          <w:sz w:val="24"/>
          <w:szCs w:val="24"/>
        </w:rPr>
        <w:t xml:space="preserve"> una medición distinta del IDH que permita </w:t>
      </w:r>
      <w:r w:rsidR="00FA7C4D">
        <w:rPr>
          <w:rFonts w:ascii="Times New Roman" w:hAnsi="Times New Roman" w:cs="Times New Roman"/>
          <w:sz w:val="24"/>
          <w:szCs w:val="24"/>
        </w:rPr>
        <w:lastRenderedPageBreak/>
        <w:t>contar con resultados</w:t>
      </w:r>
      <w:r>
        <w:rPr>
          <w:rFonts w:ascii="Times New Roman" w:hAnsi="Times New Roman" w:cs="Times New Roman"/>
          <w:sz w:val="24"/>
          <w:szCs w:val="24"/>
        </w:rPr>
        <w:t xml:space="preserve"> con mayor frecuencia o que, cuando menos, emita los resultados en tiempo y forma, pues las asignaciones dependerán de dicho indicador y si no se cuenta con información oportuna,</w:t>
      </w:r>
      <w:r w:rsidR="00862550">
        <w:rPr>
          <w:rFonts w:ascii="Times New Roman" w:hAnsi="Times New Roman" w:cs="Times New Roman"/>
          <w:sz w:val="24"/>
          <w:szCs w:val="24"/>
        </w:rPr>
        <w:t xml:space="preserve"> como es el caso actualmente,</w:t>
      </w:r>
      <w:r>
        <w:rPr>
          <w:rFonts w:ascii="Times New Roman" w:hAnsi="Times New Roman" w:cs="Times New Roman"/>
          <w:sz w:val="24"/>
          <w:szCs w:val="24"/>
        </w:rPr>
        <w:t xml:space="preserve"> se volverá a caer en asignaciones inerciales, si no es que discrecionales, lo cual se buscó co</w:t>
      </w:r>
      <w:r w:rsidR="00617418">
        <w:rPr>
          <w:rFonts w:ascii="Times New Roman" w:hAnsi="Times New Roman" w:cs="Times New Roman"/>
          <w:sz w:val="24"/>
          <w:szCs w:val="24"/>
        </w:rPr>
        <w:t>ntener</w:t>
      </w:r>
      <w:r>
        <w:rPr>
          <w:rFonts w:ascii="Times New Roman" w:hAnsi="Times New Roman" w:cs="Times New Roman"/>
          <w:sz w:val="24"/>
          <w:szCs w:val="24"/>
        </w:rPr>
        <w:t xml:space="preserve"> a través de esta tesina.</w:t>
      </w:r>
    </w:p>
    <w:p w14:paraId="1590B033" w14:textId="77777777" w:rsidR="009418D5" w:rsidRPr="00862550" w:rsidRDefault="009418D5">
      <w:pPr>
        <w:rPr>
          <w:rFonts w:ascii="Times New Roman" w:hAnsi="Times New Roman" w:cs="Times New Roman"/>
          <w:sz w:val="24"/>
          <w:szCs w:val="24"/>
        </w:rPr>
      </w:pPr>
    </w:p>
    <w:p w14:paraId="0EBD7BAB" w14:textId="77777777" w:rsidR="007E0F1C" w:rsidRDefault="007E0F1C">
      <w:pPr>
        <w:rPr>
          <w:rFonts w:ascii="Times New Roman" w:hAnsi="Times New Roman" w:cs="Times New Roman"/>
          <w:i/>
          <w:sz w:val="24"/>
          <w:szCs w:val="24"/>
        </w:rPr>
      </w:pPr>
      <w:r>
        <w:rPr>
          <w:rFonts w:ascii="Times New Roman" w:hAnsi="Times New Roman" w:cs="Times New Roman"/>
          <w:i/>
          <w:sz w:val="24"/>
          <w:szCs w:val="24"/>
        </w:rPr>
        <w:br w:type="page"/>
      </w:r>
    </w:p>
    <w:p w14:paraId="6AC43EA2" w14:textId="3EDF11DF" w:rsidR="003A1225" w:rsidRPr="00610F80" w:rsidRDefault="00E771A5" w:rsidP="00610F80">
      <w:pPr>
        <w:pStyle w:val="Ttulo1"/>
        <w:rPr>
          <w:rFonts w:ascii="Times New Roman" w:hAnsi="Times New Roman" w:cs="Times New Roman"/>
          <w:b w:val="0"/>
          <w:i/>
          <w:color w:val="auto"/>
          <w:sz w:val="24"/>
          <w:szCs w:val="24"/>
        </w:rPr>
      </w:pPr>
      <w:bookmarkStart w:id="10" w:name="_Toc382321806"/>
      <w:r w:rsidRPr="00610F80">
        <w:rPr>
          <w:rFonts w:ascii="Times New Roman" w:hAnsi="Times New Roman" w:cs="Times New Roman"/>
          <w:b w:val="0"/>
          <w:i/>
          <w:color w:val="auto"/>
          <w:sz w:val="24"/>
          <w:szCs w:val="24"/>
        </w:rPr>
        <w:lastRenderedPageBreak/>
        <w:t>Referencias</w:t>
      </w:r>
      <w:bookmarkEnd w:id="10"/>
    </w:p>
    <w:p w14:paraId="7F0C24F8" w14:textId="77777777" w:rsidR="00610F80" w:rsidRPr="00610F80" w:rsidRDefault="00610F80" w:rsidP="00610F80"/>
    <w:p w14:paraId="05A3D034" w14:textId="77777777" w:rsidR="003A1225" w:rsidRPr="005F2809" w:rsidRDefault="00B01908" w:rsidP="00A20EB3">
      <w:pPr>
        <w:spacing w:line="240" w:lineRule="auto"/>
        <w:ind w:left="709" w:hanging="709"/>
        <w:jc w:val="both"/>
        <w:rPr>
          <w:rFonts w:ascii="Times New Roman" w:hAnsi="Times New Roman" w:cs="Times New Roman"/>
          <w:sz w:val="24"/>
          <w:szCs w:val="24"/>
        </w:rPr>
      </w:pPr>
      <w:proofErr w:type="spellStart"/>
      <w:r w:rsidRPr="00A73DB4">
        <w:rPr>
          <w:rFonts w:ascii="Times New Roman" w:hAnsi="Times New Roman" w:cs="Times New Roman"/>
          <w:sz w:val="24"/>
          <w:szCs w:val="24"/>
        </w:rPr>
        <w:t>Balla</w:t>
      </w:r>
      <w:proofErr w:type="spellEnd"/>
      <w:r w:rsidRPr="00A73DB4">
        <w:rPr>
          <w:rFonts w:ascii="Times New Roman" w:hAnsi="Times New Roman" w:cs="Times New Roman"/>
          <w:sz w:val="24"/>
          <w:szCs w:val="24"/>
        </w:rPr>
        <w:t xml:space="preserve">, Steven, E. D. Lawrence, F. </w:t>
      </w:r>
      <w:proofErr w:type="spellStart"/>
      <w:r w:rsidRPr="00A73DB4">
        <w:rPr>
          <w:rFonts w:ascii="Times New Roman" w:hAnsi="Times New Roman" w:cs="Times New Roman"/>
          <w:sz w:val="24"/>
          <w:szCs w:val="24"/>
        </w:rPr>
        <w:t>Maltzman</w:t>
      </w:r>
      <w:proofErr w:type="spellEnd"/>
      <w:r w:rsidRPr="00A73DB4">
        <w:rPr>
          <w:rFonts w:ascii="Times New Roman" w:hAnsi="Times New Roman" w:cs="Times New Roman"/>
          <w:sz w:val="24"/>
          <w:szCs w:val="24"/>
        </w:rPr>
        <w:t xml:space="preserve"> y L. </w:t>
      </w:r>
      <w:proofErr w:type="spellStart"/>
      <w:r w:rsidRPr="00A73DB4">
        <w:rPr>
          <w:rFonts w:ascii="Times New Roman" w:hAnsi="Times New Roman" w:cs="Times New Roman"/>
          <w:sz w:val="24"/>
          <w:szCs w:val="24"/>
        </w:rPr>
        <w:t>Sigelman</w:t>
      </w:r>
      <w:proofErr w:type="spellEnd"/>
      <w:r w:rsidRPr="00A73DB4">
        <w:rPr>
          <w:rFonts w:ascii="Times New Roman" w:hAnsi="Times New Roman" w:cs="Times New Roman"/>
          <w:sz w:val="24"/>
          <w:szCs w:val="24"/>
        </w:rPr>
        <w:t xml:space="preserve">. </w:t>
      </w:r>
      <w:r w:rsidR="003A1225" w:rsidRPr="00A20EB3">
        <w:rPr>
          <w:rFonts w:ascii="Times New Roman" w:hAnsi="Times New Roman" w:cs="Times New Roman"/>
          <w:sz w:val="24"/>
          <w:szCs w:val="24"/>
          <w:lang w:val="en-US"/>
        </w:rPr>
        <w:t xml:space="preserve">“Partisanship, blame avoidance, and the distribution of legislative pork”. </w:t>
      </w:r>
      <w:r w:rsidR="003A1225" w:rsidRPr="005F2809">
        <w:rPr>
          <w:rFonts w:ascii="Times New Roman" w:hAnsi="Times New Roman" w:cs="Times New Roman"/>
          <w:sz w:val="24"/>
          <w:szCs w:val="24"/>
        </w:rPr>
        <w:t xml:space="preserve">American </w:t>
      </w:r>
      <w:proofErr w:type="spellStart"/>
      <w:r w:rsidR="003A1225" w:rsidRPr="005F2809">
        <w:rPr>
          <w:rFonts w:ascii="Times New Roman" w:hAnsi="Times New Roman" w:cs="Times New Roman"/>
          <w:sz w:val="24"/>
          <w:szCs w:val="24"/>
        </w:rPr>
        <w:t>Journal</w:t>
      </w:r>
      <w:proofErr w:type="spellEnd"/>
      <w:r w:rsidR="003A1225" w:rsidRPr="005F2809">
        <w:rPr>
          <w:rFonts w:ascii="Times New Roman" w:hAnsi="Times New Roman" w:cs="Times New Roman"/>
          <w:sz w:val="24"/>
          <w:szCs w:val="24"/>
        </w:rPr>
        <w:t xml:space="preserve"> of </w:t>
      </w:r>
      <w:proofErr w:type="spellStart"/>
      <w:r w:rsidR="003A1225" w:rsidRPr="005F2809">
        <w:rPr>
          <w:rFonts w:ascii="Times New Roman" w:hAnsi="Times New Roman" w:cs="Times New Roman"/>
          <w:sz w:val="24"/>
          <w:szCs w:val="24"/>
        </w:rPr>
        <w:t>Political</w:t>
      </w:r>
      <w:proofErr w:type="spellEnd"/>
      <w:r w:rsidR="003A1225" w:rsidRPr="005F2809">
        <w:rPr>
          <w:rFonts w:ascii="Times New Roman" w:hAnsi="Times New Roman" w:cs="Times New Roman"/>
          <w:sz w:val="24"/>
          <w:szCs w:val="24"/>
        </w:rPr>
        <w:t xml:space="preserve"> </w:t>
      </w:r>
      <w:proofErr w:type="spellStart"/>
      <w:r w:rsidR="003A1225" w:rsidRPr="005F2809">
        <w:rPr>
          <w:rFonts w:ascii="Times New Roman" w:hAnsi="Times New Roman" w:cs="Times New Roman"/>
          <w:sz w:val="24"/>
          <w:szCs w:val="24"/>
        </w:rPr>
        <w:t>Science</w:t>
      </w:r>
      <w:proofErr w:type="spellEnd"/>
      <w:r w:rsidR="003A1225" w:rsidRPr="005F2809">
        <w:rPr>
          <w:rFonts w:ascii="Times New Roman" w:hAnsi="Times New Roman" w:cs="Times New Roman"/>
          <w:sz w:val="24"/>
          <w:szCs w:val="24"/>
        </w:rPr>
        <w:t>, Vol. 46, No. 3 (julio 2002):515-525.</w:t>
      </w:r>
      <w:r w:rsidR="00A20EB3" w:rsidRPr="005F2809">
        <w:rPr>
          <w:rFonts w:ascii="Times New Roman" w:hAnsi="Times New Roman" w:cs="Times New Roman"/>
          <w:sz w:val="24"/>
          <w:szCs w:val="24"/>
        </w:rPr>
        <w:t xml:space="preserve"> </w:t>
      </w:r>
    </w:p>
    <w:p w14:paraId="78771E66" w14:textId="77777777" w:rsidR="00E771A5" w:rsidRPr="00A20EB3" w:rsidRDefault="00E771A5" w:rsidP="00A20EB3">
      <w:pPr>
        <w:spacing w:line="240" w:lineRule="auto"/>
        <w:ind w:left="709" w:hanging="709"/>
        <w:jc w:val="both"/>
        <w:rPr>
          <w:rFonts w:ascii="Times New Roman" w:hAnsi="Times New Roman" w:cs="Times New Roman"/>
          <w:sz w:val="24"/>
          <w:szCs w:val="24"/>
        </w:rPr>
      </w:pPr>
      <w:proofErr w:type="spellStart"/>
      <w:r w:rsidRPr="00A20EB3">
        <w:rPr>
          <w:rFonts w:ascii="Times New Roman" w:hAnsi="Times New Roman" w:cs="Times New Roman"/>
          <w:sz w:val="24"/>
          <w:szCs w:val="24"/>
        </w:rPr>
        <w:t>Barceinas</w:t>
      </w:r>
      <w:proofErr w:type="spellEnd"/>
      <w:r w:rsidRPr="00A20EB3">
        <w:rPr>
          <w:rFonts w:ascii="Times New Roman" w:hAnsi="Times New Roman" w:cs="Times New Roman"/>
          <w:sz w:val="24"/>
          <w:szCs w:val="24"/>
        </w:rPr>
        <w:t>, Fernando y José Luis Raymond. “Convergencia regional y capital humano en México, de los años 80 al 2002”. En Estudios Económicos, Vol. 20, No. 2 (2005): 263-304.</w:t>
      </w:r>
    </w:p>
    <w:p w14:paraId="0CD62226" w14:textId="40FBCF7A" w:rsidR="00A20EB3" w:rsidRDefault="00D67D62" w:rsidP="00A20EB3">
      <w:pPr>
        <w:spacing w:line="240" w:lineRule="auto"/>
        <w:ind w:left="709" w:hanging="709"/>
        <w:jc w:val="both"/>
        <w:rPr>
          <w:rFonts w:ascii="Times New Roman" w:hAnsi="Times New Roman" w:cs="Times New Roman"/>
          <w:sz w:val="24"/>
          <w:szCs w:val="24"/>
          <w:lang w:val="en-US"/>
        </w:rPr>
      </w:pPr>
      <w:proofErr w:type="spellStart"/>
      <w:r w:rsidRPr="00BD0C7C">
        <w:rPr>
          <w:rFonts w:ascii="Times New Roman" w:hAnsi="Times New Roman" w:cs="Times New Roman"/>
          <w:sz w:val="24"/>
          <w:szCs w:val="24"/>
        </w:rPr>
        <w:t>Bickers</w:t>
      </w:r>
      <w:proofErr w:type="spellEnd"/>
      <w:r w:rsidRPr="00BD0C7C">
        <w:rPr>
          <w:rFonts w:ascii="Times New Roman" w:hAnsi="Times New Roman" w:cs="Times New Roman"/>
          <w:sz w:val="24"/>
          <w:szCs w:val="24"/>
        </w:rPr>
        <w:t>, Kenneth N.</w:t>
      </w:r>
      <w:r w:rsidR="0096687D" w:rsidRPr="00BD0C7C">
        <w:rPr>
          <w:rFonts w:ascii="Times New Roman" w:hAnsi="Times New Roman" w:cs="Times New Roman"/>
          <w:sz w:val="24"/>
          <w:szCs w:val="24"/>
        </w:rPr>
        <w:t xml:space="preserve"> </w:t>
      </w:r>
      <w:r w:rsidRPr="00BD0C7C">
        <w:rPr>
          <w:rFonts w:ascii="Times New Roman" w:hAnsi="Times New Roman" w:cs="Times New Roman"/>
          <w:sz w:val="24"/>
          <w:szCs w:val="24"/>
        </w:rPr>
        <w:t xml:space="preserve">y R. M. </w:t>
      </w:r>
      <w:proofErr w:type="spellStart"/>
      <w:r w:rsidRPr="00BD0C7C">
        <w:rPr>
          <w:rFonts w:ascii="Times New Roman" w:hAnsi="Times New Roman" w:cs="Times New Roman"/>
          <w:sz w:val="24"/>
          <w:szCs w:val="24"/>
        </w:rPr>
        <w:t>Stein</w:t>
      </w:r>
      <w:proofErr w:type="spellEnd"/>
      <w:r w:rsidRPr="00BD0C7C">
        <w:rPr>
          <w:rFonts w:ascii="Times New Roman" w:hAnsi="Times New Roman" w:cs="Times New Roman"/>
          <w:sz w:val="24"/>
          <w:szCs w:val="24"/>
        </w:rPr>
        <w:t xml:space="preserve">. </w:t>
      </w:r>
      <w:r w:rsidR="00A20EB3" w:rsidRPr="00A20EB3">
        <w:rPr>
          <w:rFonts w:ascii="Times New Roman" w:hAnsi="Times New Roman" w:cs="Times New Roman"/>
          <w:sz w:val="24"/>
          <w:szCs w:val="24"/>
          <w:lang w:val="en-US"/>
        </w:rPr>
        <w:t xml:space="preserve">“The electoral dynamics of the federal pork barrel”. </w:t>
      </w:r>
      <w:r w:rsidR="00B01908" w:rsidRPr="00A73DB4">
        <w:rPr>
          <w:rFonts w:ascii="Times New Roman" w:hAnsi="Times New Roman" w:cs="Times New Roman"/>
          <w:sz w:val="24"/>
          <w:szCs w:val="24"/>
          <w:lang w:val="en-US"/>
        </w:rPr>
        <w:t>American Journal of Political Science, Vol. 40, No. 4 (</w:t>
      </w:r>
      <w:proofErr w:type="spellStart"/>
      <w:r w:rsidR="00B01908" w:rsidRPr="00A73DB4">
        <w:rPr>
          <w:rFonts w:ascii="Times New Roman" w:hAnsi="Times New Roman" w:cs="Times New Roman"/>
          <w:sz w:val="24"/>
          <w:szCs w:val="24"/>
          <w:lang w:val="en-US"/>
        </w:rPr>
        <w:t>noviembre</w:t>
      </w:r>
      <w:proofErr w:type="spellEnd"/>
      <w:r w:rsidR="00B01908" w:rsidRPr="00A73DB4">
        <w:rPr>
          <w:rFonts w:ascii="Times New Roman" w:hAnsi="Times New Roman" w:cs="Times New Roman"/>
          <w:sz w:val="24"/>
          <w:szCs w:val="24"/>
          <w:lang w:val="en-US"/>
        </w:rPr>
        <w:t xml:space="preserve"> 1996): 1300-1325.</w:t>
      </w:r>
    </w:p>
    <w:p w14:paraId="6FF0E0DA" w14:textId="4B5954FC" w:rsidR="000257C8" w:rsidRPr="00203543" w:rsidRDefault="000257C8" w:rsidP="00A20EB3">
      <w:pPr>
        <w:spacing w:line="240" w:lineRule="auto"/>
        <w:ind w:left="709" w:hanging="709"/>
        <w:jc w:val="both"/>
        <w:rPr>
          <w:rFonts w:ascii="Times New Roman" w:hAnsi="Times New Roman" w:cs="Times New Roman"/>
          <w:sz w:val="24"/>
          <w:szCs w:val="24"/>
          <w:lang w:val="en-US"/>
        </w:rPr>
      </w:pPr>
      <w:proofErr w:type="spellStart"/>
      <w:r w:rsidRPr="00203543">
        <w:rPr>
          <w:rFonts w:ascii="Times New Roman" w:hAnsi="Times New Roman" w:cs="Times New Roman"/>
          <w:sz w:val="24"/>
          <w:szCs w:val="24"/>
          <w:lang w:val="en-US"/>
        </w:rPr>
        <w:t>Boix</w:t>
      </w:r>
      <w:proofErr w:type="spellEnd"/>
      <w:r w:rsidRPr="00203543">
        <w:rPr>
          <w:rFonts w:ascii="Times New Roman" w:hAnsi="Times New Roman" w:cs="Times New Roman"/>
          <w:sz w:val="24"/>
          <w:szCs w:val="24"/>
          <w:lang w:val="en-US"/>
        </w:rPr>
        <w:t xml:space="preserve">, </w:t>
      </w:r>
      <w:proofErr w:type="spellStart"/>
      <w:r w:rsidRPr="00203543">
        <w:rPr>
          <w:rFonts w:ascii="Times New Roman" w:hAnsi="Times New Roman" w:cs="Times New Roman"/>
          <w:sz w:val="24"/>
          <w:szCs w:val="24"/>
          <w:lang w:val="en-US"/>
        </w:rPr>
        <w:t>Carles</w:t>
      </w:r>
      <w:proofErr w:type="spellEnd"/>
      <w:r w:rsidRPr="00203543">
        <w:rPr>
          <w:rFonts w:ascii="Times New Roman" w:hAnsi="Times New Roman" w:cs="Times New Roman"/>
          <w:sz w:val="24"/>
          <w:szCs w:val="24"/>
          <w:lang w:val="en-US"/>
        </w:rPr>
        <w:t xml:space="preserve">. Democracy and </w:t>
      </w:r>
      <w:proofErr w:type="spellStart"/>
      <w:r w:rsidRPr="00203543">
        <w:rPr>
          <w:rFonts w:ascii="Times New Roman" w:hAnsi="Times New Roman" w:cs="Times New Roman"/>
          <w:sz w:val="24"/>
          <w:szCs w:val="24"/>
          <w:lang w:val="en-US"/>
        </w:rPr>
        <w:t>Redisribution</w:t>
      </w:r>
      <w:proofErr w:type="spellEnd"/>
      <w:r w:rsidRPr="00203543">
        <w:rPr>
          <w:rFonts w:ascii="Times New Roman" w:hAnsi="Times New Roman" w:cs="Times New Roman"/>
          <w:sz w:val="24"/>
          <w:szCs w:val="24"/>
          <w:lang w:val="en-US"/>
        </w:rPr>
        <w:t>. Cambridge: The Press Syndicate of the University of Cambridge, 2003.</w:t>
      </w:r>
    </w:p>
    <w:p w14:paraId="0DE8BF49" w14:textId="77777777" w:rsidR="00C744DE" w:rsidRPr="00A20EB3" w:rsidRDefault="00632005" w:rsidP="00A20EB3">
      <w:pPr>
        <w:spacing w:line="240" w:lineRule="auto"/>
        <w:ind w:left="709" w:hanging="709"/>
        <w:jc w:val="both"/>
        <w:rPr>
          <w:rFonts w:ascii="Times New Roman" w:hAnsi="Times New Roman" w:cs="Times New Roman"/>
          <w:sz w:val="24"/>
          <w:szCs w:val="24"/>
          <w:lang w:val="en-US"/>
        </w:rPr>
      </w:pPr>
      <w:r w:rsidRPr="00203543">
        <w:rPr>
          <w:rFonts w:ascii="Times New Roman" w:hAnsi="Times New Roman" w:cs="Times New Roman"/>
          <w:sz w:val="24"/>
          <w:szCs w:val="24"/>
        </w:rPr>
        <w:t xml:space="preserve">Calvo, Ernesto y M. V. Murillo. </w:t>
      </w:r>
      <w:r w:rsidR="00C744DE" w:rsidRPr="00A20EB3">
        <w:rPr>
          <w:rFonts w:ascii="Times New Roman" w:hAnsi="Times New Roman" w:cs="Times New Roman"/>
          <w:sz w:val="24"/>
          <w:szCs w:val="24"/>
          <w:lang w:val="en-US"/>
        </w:rPr>
        <w:t>“Who delivers? Partisan clients in the Argentine electoral market”. American Journal of Political Science, Vol. 48, No. 4 (</w:t>
      </w:r>
      <w:proofErr w:type="spellStart"/>
      <w:r w:rsidR="00C744DE" w:rsidRPr="00A20EB3">
        <w:rPr>
          <w:rFonts w:ascii="Times New Roman" w:hAnsi="Times New Roman" w:cs="Times New Roman"/>
          <w:sz w:val="24"/>
          <w:szCs w:val="24"/>
          <w:lang w:val="en-US"/>
        </w:rPr>
        <w:t>octubre</w:t>
      </w:r>
      <w:proofErr w:type="spellEnd"/>
      <w:r w:rsidR="00C744DE" w:rsidRPr="00A20EB3">
        <w:rPr>
          <w:rFonts w:ascii="Times New Roman" w:hAnsi="Times New Roman" w:cs="Times New Roman"/>
          <w:sz w:val="24"/>
          <w:szCs w:val="24"/>
          <w:lang w:val="en-US"/>
        </w:rPr>
        <w:t xml:space="preserve"> 2004): 742-757.</w:t>
      </w:r>
    </w:p>
    <w:p w14:paraId="34FEFED4" w14:textId="20323B6B" w:rsidR="00C744DE" w:rsidRPr="00A20EB3" w:rsidRDefault="00C744DE" w:rsidP="00A20EB3">
      <w:pPr>
        <w:spacing w:line="240" w:lineRule="auto"/>
        <w:ind w:left="709" w:hanging="709"/>
        <w:jc w:val="both"/>
        <w:rPr>
          <w:rFonts w:ascii="Times New Roman" w:hAnsi="Times New Roman" w:cs="Times New Roman"/>
          <w:sz w:val="24"/>
          <w:szCs w:val="24"/>
          <w:lang w:val="en-US"/>
        </w:rPr>
      </w:pPr>
      <w:r w:rsidRPr="00A20EB3">
        <w:rPr>
          <w:rFonts w:ascii="Times New Roman" w:hAnsi="Times New Roman" w:cs="Times New Roman"/>
          <w:sz w:val="24"/>
          <w:szCs w:val="24"/>
          <w:lang w:val="en-US"/>
        </w:rPr>
        <w:t>Chubb, Judith. Patronage, power</w:t>
      </w:r>
      <w:r w:rsidR="000257C8">
        <w:rPr>
          <w:rFonts w:ascii="Times New Roman" w:hAnsi="Times New Roman" w:cs="Times New Roman"/>
          <w:sz w:val="24"/>
          <w:szCs w:val="24"/>
          <w:lang w:val="en-US"/>
        </w:rPr>
        <w:t>, and poverty in Southern Italy</w:t>
      </w:r>
      <w:r w:rsidRPr="00A20EB3">
        <w:rPr>
          <w:rFonts w:ascii="Times New Roman" w:hAnsi="Times New Roman" w:cs="Times New Roman"/>
          <w:sz w:val="24"/>
          <w:szCs w:val="24"/>
          <w:lang w:val="en-US"/>
        </w:rPr>
        <w:t>: a tale of two cities. Cambridge, Mass.: Cambridge University, 1982.</w:t>
      </w:r>
    </w:p>
    <w:p w14:paraId="3582E468" w14:textId="77777777" w:rsidR="003A1225" w:rsidRPr="00A20EB3" w:rsidRDefault="003A1225" w:rsidP="00A20EB3">
      <w:pPr>
        <w:spacing w:line="240" w:lineRule="auto"/>
        <w:ind w:left="709" w:hanging="709"/>
        <w:jc w:val="both"/>
        <w:rPr>
          <w:rFonts w:ascii="Times New Roman" w:hAnsi="Times New Roman" w:cs="Times New Roman"/>
          <w:sz w:val="24"/>
          <w:szCs w:val="24"/>
          <w:lang w:val="en-US"/>
        </w:rPr>
      </w:pPr>
      <w:r w:rsidRPr="00A20EB3">
        <w:rPr>
          <w:rFonts w:ascii="Times New Roman" w:hAnsi="Times New Roman" w:cs="Times New Roman"/>
          <w:sz w:val="24"/>
          <w:szCs w:val="24"/>
          <w:lang w:val="en-US"/>
        </w:rPr>
        <w:t xml:space="preserve">Cox, Gary W. “Swing voters, core voters and distributive politics”. En Political Representation. </w:t>
      </w:r>
      <w:proofErr w:type="spellStart"/>
      <w:r w:rsidRPr="00A20EB3">
        <w:rPr>
          <w:rFonts w:ascii="Times New Roman" w:hAnsi="Times New Roman" w:cs="Times New Roman"/>
          <w:sz w:val="24"/>
          <w:szCs w:val="24"/>
          <w:lang w:val="en-US"/>
        </w:rPr>
        <w:t>Editores</w:t>
      </w:r>
      <w:proofErr w:type="spellEnd"/>
      <w:r w:rsidRPr="00A20EB3">
        <w:rPr>
          <w:rFonts w:ascii="Times New Roman" w:hAnsi="Times New Roman" w:cs="Times New Roman"/>
          <w:sz w:val="24"/>
          <w:szCs w:val="24"/>
          <w:lang w:val="en-US"/>
        </w:rPr>
        <w:t xml:space="preserve"> Ian Shapiro, Susan C. Stokes, Elisabeth Jean Wood y Alexander S. </w:t>
      </w:r>
      <w:proofErr w:type="spellStart"/>
      <w:r w:rsidRPr="00A20EB3">
        <w:rPr>
          <w:rFonts w:ascii="Times New Roman" w:hAnsi="Times New Roman" w:cs="Times New Roman"/>
          <w:sz w:val="24"/>
          <w:szCs w:val="24"/>
          <w:lang w:val="en-US"/>
        </w:rPr>
        <w:t>Kirshner</w:t>
      </w:r>
      <w:proofErr w:type="spellEnd"/>
      <w:r w:rsidRPr="00A20EB3">
        <w:rPr>
          <w:rFonts w:ascii="Times New Roman" w:hAnsi="Times New Roman" w:cs="Times New Roman"/>
          <w:sz w:val="24"/>
          <w:szCs w:val="24"/>
          <w:lang w:val="en-US"/>
        </w:rPr>
        <w:t>. Cambridge: Cambridge University Press, 2009: 342-357.</w:t>
      </w:r>
    </w:p>
    <w:p w14:paraId="79813801" w14:textId="004045AE" w:rsidR="003A1225" w:rsidRPr="00A20EB3" w:rsidRDefault="00C744DE" w:rsidP="00A20EB3">
      <w:pPr>
        <w:spacing w:line="240" w:lineRule="auto"/>
        <w:ind w:left="709" w:hanging="709"/>
        <w:jc w:val="both"/>
        <w:rPr>
          <w:rFonts w:ascii="Times New Roman" w:hAnsi="Times New Roman" w:cs="Times New Roman"/>
          <w:sz w:val="24"/>
          <w:szCs w:val="24"/>
          <w:lang w:val="en-US"/>
        </w:rPr>
      </w:pPr>
      <w:r w:rsidRPr="00A20EB3">
        <w:rPr>
          <w:rFonts w:ascii="Times New Roman" w:hAnsi="Times New Roman" w:cs="Times New Roman"/>
          <w:sz w:val="24"/>
          <w:szCs w:val="24"/>
          <w:lang w:val="en-US"/>
        </w:rPr>
        <w:t>Cox, Gary W.</w:t>
      </w:r>
      <w:r w:rsidR="0096687D">
        <w:rPr>
          <w:rFonts w:ascii="Times New Roman" w:hAnsi="Times New Roman" w:cs="Times New Roman"/>
          <w:sz w:val="24"/>
          <w:szCs w:val="24"/>
          <w:lang w:val="en-US"/>
        </w:rPr>
        <w:t xml:space="preserve"> </w:t>
      </w:r>
      <w:r w:rsidRPr="005F2809">
        <w:rPr>
          <w:rFonts w:ascii="Times New Roman" w:hAnsi="Times New Roman" w:cs="Times New Roman"/>
          <w:sz w:val="24"/>
          <w:szCs w:val="24"/>
          <w:lang w:val="en-US"/>
        </w:rPr>
        <w:t xml:space="preserve">y Mathew D. </w:t>
      </w:r>
      <w:proofErr w:type="spellStart"/>
      <w:r w:rsidRPr="005F2809">
        <w:rPr>
          <w:rFonts w:ascii="Times New Roman" w:hAnsi="Times New Roman" w:cs="Times New Roman"/>
          <w:sz w:val="24"/>
          <w:szCs w:val="24"/>
          <w:lang w:val="en-US"/>
        </w:rPr>
        <w:t>McCubbins</w:t>
      </w:r>
      <w:proofErr w:type="spellEnd"/>
      <w:r w:rsidRPr="005F2809">
        <w:rPr>
          <w:rFonts w:ascii="Times New Roman" w:hAnsi="Times New Roman" w:cs="Times New Roman"/>
          <w:sz w:val="24"/>
          <w:szCs w:val="24"/>
          <w:lang w:val="en-US"/>
        </w:rPr>
        <w:t xml:space="preserve">. </w:t>
      </w:r>
      <w:r w:rsidRPr="00A20EB3">
        <w:rPr>
          <w:rFonts w:ascii="Times New Roman" w:hAnsi="Times New Roman" w:cs="Times New Roman"/>
          <w:sz w:val="24"/>
          <w:szCs w:val="24"/>
          <w:lang w:val="en-US"/>
        </w:rPr>
        <w:t xml:space="preserve">“Electoral Politics as a </w:t>
      </w:r>
      <w:proofErr w:type="spellStart"/>
      <w:r w:rsidRPr="00A20EB3">
        <w:rPr>
          <w:rFonts w:ascii="Times New Roman" w:hAnsi="Times New Roman" w:cs="Times New Roman"/>
          <w:sz w:val="24"/>
          <w:szCs w:val="24"/>
          <w:lang w:val="en-US"/>
        </w:rPr>
        <w:t>Redibustributive</w:t>
      </w:r>
      <w:proofErr w:type="spellEnd"/>
      <w:r w:rsidRPr="00A20EB3">
        <w:rPr>
          <w:rFonts w:ascii="Times New Roman" w:hAnsi="Times New Roman" w:cs="Times New Roman"/>
          <w:sz w:val="24"/>
          <w:szCs w:val="24"/>
          <w:lang w:val="en-US"/>
        </w:rPr>
        <w:t xml:space="preserve"> Game”. Journal of Politics, Vol. 48, No. 2 (mayo 1986): 370-389.</w:t>
      </w:r>
      <w:r w:rsidR="0096687D">
        <w:rPr>
          <w:rFonts w:ascii="Times New Roman" w:hAnsi="Times New Roman" w:cs="Times New Roman"/>
          <w:sz w:val="24"/>
          <w:szCs w:val="24"/>
          <w:lang w:val="en-US"/>
        </w:rPr>
        <w:t xml:space="preserve"> </w:t>
      </w:r>
    </w:p>
    <w:p w14:paraId="6D4E707A" w14:textId="77777777" w:rsidR="003A1225" w:rsidRPr="00A20EB3" w:rsidRDefault="003A1225" w:rsidP="00A20EB3">
      <w:pPr>
        <w:spacing w:line="240" w:lineRule="auto"/>
        <w:ind w:left="709" w:hanging="709"/>
        <w:jc w:val="both"/>
        <w:rPr>
          <w:rFonts w:ascii="Times New Roman" w:hAnsi="Times New Roman" w:cs="Times New Roman"/>
          <w:sz w:val="24"/>
          <w:szCs w:val="24"/>
          <w:lang w:val="en-US"/>
        </w:rPr>
      </w:pPr>
      <w:r w:rsidRPr="00A20EB3">
        <w:rPr>
          <w:rFonts w:ascii="Times New Roman" w:hAnsi="Times New Roman" w:cs="Times New Roman"/>
          <w:sz w:val="24"/>
          <w:szCs w:val="24"/>
          <w:lang w:val="en-US"/>
        </w:rPr>
        <w:t xml:space="preserve">Dahlberg, </w:t>
      </w:r>
      <w:proofErr w:type="spellStart"/>
      <w:r w:rsidRPr="00A20EB3">
        <w:rPr>
          <w:rFonts w:ascii="Times New Roman" w:hAnsi="Times New Roman" w:cs="Times New Roman"/>
          <w:sz w:val="24"/>
          <w:szCs w:val="24"/>
          <w:lang w:val="en-US"/>
        </w:rPr>
        <w:t>Matz</w:t>
      </w:r>
      <w:proofErr w:type="spellEnd"/>
      <w:r w:rsidRPr="00A20EB3">
        <w:rPr>
          <w:rFonts w:ascii="Times New Roman" w:hAnsi="Times New Roman" w:cs="Times New Roman"/>
          <w:sz w:val="24"/>
          <w:szCs w:val="24"/>
          <w:lang w:val="en-US"/>
        </w:rPr>
        <w:t xml:space="preserve"> y Eva Johansson. “On the Vote-Purchasing Behavior of Incumbent Governments”. American Political Science Review, Vol. 96, No. 1, (</w:t>
      </w:r>
      <w:proofErr w:type="spellStart"/>
      <w:r w:rsidRPr="00A20EB3">
        <w:rPr>
          <w:rFonts w:ascii="Times New Roman" w:hAnsi="Times New Roman" w:cs="Times New Roman"/>
          <w:sz w:val="24"/>
          <w:szCs w:val="24"/>
          <w:lang w:val="en-US"/>
        </w:rPr>
        <w:t>marzo</w:t>
      </w:r>
      <w:proofErr w:type="spellEnd"/>
      <w:r w:rsidRPr="00A20EB3">
        <w:rPr>
          <w:rFonts w:ascii="Times New Roman" w:hAnsi="Times New Roman" w:cs="Times New Roman"/>
          <w:sz w:val="24"/>
          <w:szCs w:val="24"/>
          <w:lang w:val="en-US"/>
        </w:rPr>
        <w:t xml:space="preserve"> 2002): 27-40.</w:t>
      </w:r>
    </w:p>
    <w:p w14:paraId="753DEABC" w14:textId="77777777" w:rsidR="003A1225" w:rsidRPr="005F2809" w:rsidRDefault="00A20EB3" w:rsidP="00A20EB3">
      <w:pPr>
        <w:spacing w:line="240" w:lineRule="auto"/>
        <w:ind w:left="709" w:hanging="709"/>
        <w:jc w:val="both"/>
        <w:rPr>
          <w:rFonts w:ascii="Times New Roman" w:hAnsi="Times New Roman" w:cs="Times New Roman"/>
          <w:sz w:val="24"/>
          <w:szCs w:val="24"/>
          <w:lang w:val="en-US"/>
        </w:rPr>
      </w:pPr>
      <w:proofErr w:type="spellStart"/>
      <w:r w:rsidRPr="005F2809">
        <w:rPr>
          <w:rFonts w:ascii="Times New Roman" w:hAnsi="Times New Roman" w:cs="Times New Roman"/>
          <w:sz w:val="24"/>
          <w:szCs w:val="24"/>
          <w:lang w:val="en-US"/>
        </w:rPr>
        <w:t>Denemark</w:t>
      </w:r>
      <w:proofErr w:type="spellEnd"/>
      <w:r w:rsidRPr="005F2809">
        <w:rPr>
          <w:rFonts w:ascii="Times New Roman" w:hAnsi="Times New Roman" w:cs="Times New Roman"/>
          <w:sz w:val="24"/>
          <w:szCs w:val="24"/>
          <w:lang w:val="en-US"/>
        </w:rPr>
        <w:t xml:space="preserve">, David. </w:t>
      </w:r>
      <w:r w:rsidRPr="00A20EB3">
        <w:rPr>
          <w:rFonts w:ascii="Times New Roman" w:hAnsi="Times New Roman" w:cs="Times New Roman"/>
          <w:sz w:val="24"/>
          <w:szCs w:val="24"/>
          <w:lang w:val="en-US"/>
        </w:rPr>
        <w:t xml:space="preserve">“Partisan pork barrel in parliamentary </w:t>
      </w:r>
      <w:proofErr w:type="spellStart"/>
      <w:r w:rsidRPr="00A20EB3">
        <w:rPr>
          <w:rFonts w:ascii="Times New Roman" w:hAnsi="Times New Roman" w:cs="Times New Roman"/>
          <w:sz w:val="24"/>
          <w:szCs w:val="24"/>
          <w:lang w:val="en-US"/>
        </w:rPr>
        <w:t>sistems</w:t>
      </w:r>
      <w:proofErr w:type="spellEnd"/>
      <w:r w:rsidRPr="00A20EB3">
        <w:rPr>
          <w:rFonts w:ascii="Times New Roman" w:hAnsi="Times New Roman" w:cs="Times New Roman"/>
          <w:sz w:val="24"/>
          <w:szCs w:val="24"/>
          <w:lang w:val="en-US"/>
        </w:rPr>
        <w:t xml:space="preserve">: Australian constituency-level grants”. </w:t>
      </w:r>
      <w:r w:rsidRPr="005F2809">
        <w:rPr>
          <w:rFonts w:ascii="Times New Roman" w:hAnsi="Times New Roman" w:cs="Times New Roman"/>
          <w:sz w:val="24"/>
          <w:szCs w:val="24"/>
          <w:lang w:val="en-US"/>
        </w:rPr>
        <w:t>The Journal of Politics, Vol. 62, No. 3 (</w:t>
      </w:r>
      <w:proofErr w:type="spellStart"/>
      <w:r w:rsidRPr="005F2809">
        <w:rPr>
          <w:rFonts w:ascii="Times New Roman" w:hAnsi="Times New Roman" w:cs="Times New Roman"/>
          <w:sz w:val="24"/>
          <w:szCs w:val="24"/>
          <w:lang w:val="en-US"/>
        </w:rPr>
        <w:t>agosto</w:t>
      </w:r>
      <w:proofErr w:type="spellEnd"/>
      <w:r w:rsidRPr="005F2809">
        <w:rPr>
          <w:rFonts w:ascii="Times New Roman" w:hAnsi="Times New Roman" w:cs="Times New Roman"/>
          <w:sz w:val="24"/>
          <w:szCs w:val="24"/>
          <w:lang w:val="en-US"/>
        </w:rPr>
        <w:t xml:space="preserve"> 2000): 896-915.</w:t>
      </w:r>
    </w:p>
    <w:p w14:paraId="63631638" w14:textId="77777777" w:rsidR="00E771A5" w:rsidRPr="00A20EB3" w:rsidRDefault="00E771A5" w:rsidP="00A20EB3">
      <w:pPr>
        <w:spacing w:line="240" w:lineRule="auto"/>
        <w:ind w:left="709" w:hanging="709"/>
        <w:jc w:val="both"/>
        <w:rPr>
          <w:rFonts w:ascii="Times New Roman" w:hAnsi="Times New Roman" w:cs="Times New Roman"/>
          <w:sz w:val="24"/>
          <w:szCs w:val="24"/>
        </w:rPr>
      </w:pPr>
      <w:proofErr w:type="spellStart"/>
      <w:r w:rsidRPr="005F2809">
        <w:rPr>
          <w:rFonts w:ascii="Times New Roman" w:hAnsi="Times New Roman" w:cs="Times New Roman"/>
          <w:sz w:val="24"/>
          <w:szCs w:val="24"/>
          <w:lang w:val="en-US"/>
        </w:rPr>
        <w:t>Díaz</w:t>
      </w:r>
      <w:proofErr w:type="spellEnd"/>
      <w:r w:rsidRPr="005F2809">
        <w:rPr>
          <w:rFonts w:ascii="Times New Roman" w:hAnsi="Times New Roman" w:cs="Times New Roman"/>
          <w:sz w:val="24"/>
          <w:szCs w:val="24"/>
          <w:lang w:val="en-US"/>
        </w:rPr>
        <w:t xml:space="preserve"> </w:t>
      </w:r>
      <w:proofErr w:type="spellStart"/>
      <w:r w:rsidRPr="005F2809">
        <w:rPr>
          <w:rFonts w:ascii="Times New Roman" w:hAnsi="Times New Roman" w:cs="Times New Roman"/>
          <w:sz w:val="24"/>
          <w:szCs w:val="24"/>
          <w:lang w:val="en-US"/>
        </w:rPr>
        <w:t>Cayeros</w:t>
      </w:r>
      <w:proofErr w:type="spellEnd"/>
      <w:r w:rsidRPr="005F2809">
        <w:rPr>
          <w:rFonts w:ascii="Times New Roman" w:hAnsi="Times New Roman" w:cs="Times New Roman"/>
          <w:sz w:val="24"/>
          <w:szCs w:val="24"/>
          <w:lang w:val="en-US"/>
        </w:rPr>
        <w:t xml:space="preserve">, Alberto. </w:t>
      </w:r>
      <w:r w:rsidRPr="00A20EB3">
        <w:rPr>
          <w:rFonts w:ascii="Times New Roman" w:hAnsi="Times New Roman" w:cs="Times New Roman"/>
          <w:sz w:val="24"/>
          <w:szCs w:val="24"/>
        </w:rPr>
        <w:t xml:space="preserve">Desarrollo económico e inequidad regional: hacia un nuevo pacto federal en México. México: Fundación Friedrich </w:t>
      </w:r>
      <w:proofErr w:type="spellStart"/>
      <w:r w:rsidRPr="00A20EB3">
        <w:rPr>
          <w:rFonts w:ascii="Times New Roman" w:hAnsi="Times New Roman" w:cs="Times New Roman"/>
          <w:sz w:val="24"/>
          <w:szCs w:val="24"/>
        </w:rPr>
        <w:t>Naumann</w:t>
      </w:r>
      <w:proofErr w:type="spellEnd"/>
      <w:r w:rsidRPr="00A20EB3">
        <w:rPr>
          <w:rFonts w:ascii="Times New Roman" w:hAnsi="Times New Roman" w:cs="Times New Roman"/>
          <w:sz w:val="24"/>
          <w:szCs w:val="24"/>
        </w:rPr>
        <w:t>, CIDAC, Miguel Ángel Porrúa, 1995.</w:t>
      </w:r>
    </w:p>
    <w:p w14:paraId="6B586025" w14:textId="2725F1AA" w:rsidR="00E771A5" w:rsidRPr="00A20EB3" w:rsidRDefault="00E771A5" w:rsidP="00A20EB3">
      <w:pPr>
        <w:spacing w:line="240" w:lineRule="auto"/>
        <w:ind w:left="709" w:hanging="709"/>
        <w:jc w:val="both"/>
        <w:rPr>
          <w:rFonts w:ascii="Times New Roman" w:hAnsi="Times New Roman" w:cs="Times New Roman"/>
          <w:sz w:val="24"/>
          <w:szCs w:val="24"/>
        </w:rPr>
      </w:pPr>
      <w:r w:rsidRPr="00A20EB3">
        <w:rPr>
          <w:rFonts w:ascii="Times New Roman" w:hAnsi="Times New Roman" w:cs="Times New Roman"/>
          <w:sz w:val="24"/>
          <w:szCs w:val="24"/>
        </w:rPr>
        <w:t xml:space="preserve">Díaz </w:t>
      </w:r>
      <w:proofErr w:type="spellStart"/>
      <w:r w:rsidRPr="00A20EB3">
        <w:rPr>
          <w:rFonts w:ascii="Times New Roman" w:hAnsi="Times New Roman" w:cs="Times New Roman"/>
          <w:sz w:val="24"/>
          <w:szCs w:val="24"/>
        </w:rPr>
        <w:t>Cayeros</w:t>
      </w:r>
      <w:proofErr w:type="spellEnd"/>
      <w:r w:rsidRPr="00A20EB3">
        <w:rPr>
          <w:rFonts w:ascii="Times New Roman" w:hAnsi="Times New Roman" w:cs="Times New Roman"/>
          <w:sz w:val="24"/>
          <w:szCs w:val="24"/>
        </w:rPr>
        <w:t xml:space="preserve">, Alberto, Federico Estévez y Beatriz </w:t>
      </w:r>
      <w:proofErr w:type="spellStart"/>
      <w:r w:rsidRPr="00A20EB3">
        <w:rPr>
          <w:rFonts w:ascii="Times New Roman" w:hAnsi="Times New Roman" w:cs="Times New Roman"/>
          <w:sz w:val="24"/>
          <w:szCs w:val="24"/>
        </w:rPr>
        <w:t>Magaloni</w:t>
      </w:r>
      <w:proofErr w:type="spellEnd"/>
      <w:r w:rsidRPr="00A20EB3">
        <w:rPr>
          <w:rFonts w:ascii="Times New Roman" w:hAnsi="Times New Roman" w:cs="Times New Roman"/>
          <w:sz w:val="24"/>
          <w:szCs w:val="24"/>
        </w:rPr>
        <w:t xml:space="preserve">. </w:t>
      </w:r>
      <w:r w:rsidRPr="00A20EB3">
        <w:rPr>
          <w:rFonts w:ascii="Times New Roman" w:hAnsi="Times New Roman" w:cs="Times New Roman"/>
          <w:sz w:val="24"/>
          <w:szCs w:val="24"/>
          <w:lang w:val="en-US"/>
        </w:rPr>
        <w:t xml:space="preserve">“The Core Voter Model: Evidence </w:t>
      </w:r>
      <w:r w:rsidR="008D7CAD">
        <w:rPr>
          <w:rFonts w:ascii="Times New Roman" w:hAnsi="Times New Roman" w:cs="Times New Roman"/>
          <w:sz w:val="24"/>
          <w:szCs w:val="24"/>
          <w:lang w:val="en-US"/>
        </w:rPr>
        <w:t>f</w:t>
      </w:r>
      <w:r w:rsidRPr="00A20EB3">
        <w:rPr>
          <w:rFonts w:ascii="Times New Roman" w:hAnsi="Times New Roman" w:cs="Times New Roman"/>
          <w:sz w:val="24"/>
          <w:szCs w:val="24"/>
          <w:lang w:val="en-US"/>
        </w:rPr>
        <w:t xml:space="preserve">rom Mexico”. </w:t>
      </w:r>
      <w:r w:rsidRPr="00A20EB3">
        <w:rPr>
          <w:rFonts w:ascii="Times New Roman" w:hAnsi="Times New Roman" w:cs="Times New Roman"/>
          <w:sz w:val="24"/>
          <w:szCs w:val="24"/>
        </w:rPr>
        <w:t>Artículo presentado en la reunión anual de la APSA 2008. Disponible en http://www.yale.edu/leitner/resources/docs/diaz-cayerospaper.pdf.</w:t>
      </w:r>
    </w:p>
    <w:p w14:paraId="386D6AAC" w14:textId="77777777" w:rsidR="00E771A5" w:rsidRPr="00A73DB4" w:rsidRDefault="00E771A5" w:rsidP="00A20EB3">
      <w:pPr>
        <w:spacing w:line="240" w:lineRule="auto"/>
        <w:ind w:left="709" w:hanging="709"/>
        <w:jc w:val="both"/>
        <w:rPr>
          <w:rFonts w:ascii="Times New Roman" w:hAnsi="Times New Roman" w:cs="Times New Roman"/>
          <w:sz w:val="24"/>
          <w:szCs w:val="24"/>
        </w:rPr>
      </w:pPr>
      <w:r w:rsidRPr="00A20EB3">
        <w:rPr>
          <w:rFonts w:ascii="Times New Roman" w:hAnsi="Times New Roman" w:cs="Times New Roman"/>
          <w:sz w:val="24"/>
          <w:szCs w:val="24"/>
        </w:rPr>
        <w:t xml:space="preserve">Díaz </w:t>
      </w:r>
      <w:proofErr w:type="spellStart"/>
      <w:r w:rsidRPr="00A20EB3">
        <w:rPr>
          <w:rFonts w:ascii="Times New Roman" w:hAnsi="Times New Roman" w:cs="Times New Roman"/>
          <w:sz w:val="24"/>
          <w:szCs w:val="24"/>
        </w:rPr>
        <w:t>Cayeros</w:t>
      </w:r>
      <w:proofErr w:type="spellEnd"/>
      <w:r w:rsidRPr="00A20EB3">
        <w:rPr>
          <w:rFonts w:ascii="Times New Roman" w:hAnsi="Times New Roman" w:cs="Times New Roman"/>
          <w:sz w:val="24"/>
          <w:szCs w:val="24"/>
        </w:rPr>
        <w:t xml:space="preserve">, Alberto y Sergio Silva Castañeda. Descentralización a escala municipal en México: la inversión en infraestructura social. </w:t>
      </w:r>
      <w:r w:rsidR="00B01908" w:rsidRPr="00A73DB4">
        <w:rPr>
          <w:rFonts w:ascii="Times New Roman" w:hAnsi="Times New Roman" w:cs="Times New Roman"/>
          <w:sz w:val="24"/>
          <w:szCs w:val="24"/>
        </w:rPr>
        <w:t>México: Unidad de Desarrollo Social CEPAL, 2004.</w:t>
      </w:r>
    </w:p>
    <w:p w14:paraId="58A20C71" w14:textId="77777777" w:rsidR="00C744DE" w:rsidRPr="00A73DB4" w:rsidRDefault="00D67D62" w:rsidP="00A20EB3">
      <w:pPr>
        <w:spacing w:line="240" w:lineRule="auto"/>
        <w:ind w:left="709" w:hanging="709"/>
        <w:jc w:val="both"/>
        <w:rPr>
          <w:rFonts w:ascii="Times New Roman" w:hAnsi="Times New Roman" w:cs="Times New Roman"/>
          <w:sz w:val="24"/>
          <w:szCs w:val="24"/>
        </w:rPr>
      </w:pPr>
      <w:r w:rsidRPr="00BD0C7C">
        <w:rPr>
          <w:rFonts w:ascii="Times New Roman" w:hAnsi="Times New Roman" w:cs="Times New Roman"/>
          <w:sz w:val="24"/>
          <w:szCs w:val="24"/>
        </w:rPr>
        <w:lastRenderedPageBreak/>
        <w:t xml:space="preserve">Dixit, </w:t>
      </w:r>
      <w:proofErr w:type="spellStart"/>
      <w:r w:rsidRPr="00BD0C7C">
        <w:rPr>
          <w:rFonts w:ascii="Times New Roman" w:hAnsi="Times New Roman" w:cs="Times New Roman"/>
          <w:sz w:val="24"/>
          <w:szCs w:val="24"/>
        </w:rPr>
        <w:t>Avinash</w:t>
      </w:r>
      <w:proofErr w:type="spellEnd"/>
      <w:r w:rsidRPr="00BD0C7C">
        <w:rPr>
          <w:rFonts w:ascii="Times New Roman" w:hAnsi="Times New Roman" w:cs="Times New Roman"/>
          <w:sz w:val="24"/>
          <w:szCs w:val="24"/>
        </w:rPr>
        <w:t xml:space="preserve"> y John </w:t>
      </w:r>
      <w:proofErr w:type="spellStart"/>
      <w:r w:rsidRPr="00BD0C7C">
        <w:rPr>
          <w:rFonts w:ascii="Times New Roman" w:hAnsi="Times New Roman" w:cs="Times New Roman"/>
          <w:sz w:val="24"/>
          <w:szCs w:val="24"/>
        </w:rPr>
        <w:t>Londregan</w:t>
      </w:r>
      <w:proofErr w:type="spellEnd"/>
      <w:r w:rsidRPr="00BD0C7C">
        <w:rPr>
          <w:rFonts w:ascii="Times New Roman" w:hAnsi="Times New Roman" w:cs="Times New Roman"/>
          <w:sz w:val="24"/>
          <w:szCs w:val="24"/>
        </w:rPr>
        <w:t xml:space="preserve">. </w:t>
      </w:r>
      <w:r w:rsidR="00C744DE" w:rsidRPr="00A20EB3">
        <w:rPr>
          <w:rFonts w:ascii="Times New Roman" w:hAnsi="Times New Roman" w:cs="Times New Roman"/>
          <w:sz w:val="24"/>
          <w:szCs w:val="24"/>
          <w:lang w:val="en-US"/>
        </w:rPr>
        <w:t xml:space="preserve">“Ideology, Tactics, and Efficiency in Redistributive Politics”. </w:t>
      </w:r>
      <w:proofErr w:type="spellStart"/>
      <w:r w:rsidR="00B01908" w:rsidRPr="00A73DB4">
        <w:rPr>
          <w:rFonts w:ascii="Times New Roman" w:hAnsi="Times New Roman" w:cs="Times New Roman"/>
          <w:sz w:val="24"/>
          <w:szCs w:val="24"/>
        </w:rPr>
        <w:t>Quarterly</w:t>
      </w:r>
      <w:proofErr w:type="spellEnd"/>
      <w:r w:rsidR="00B01908" w:rsidRPr="00A73DB4">
        <w:rPr>
          <w:rFonts w:ascii="Times New Roman" w:hAnsi="Times New Roman" w:cs="Times New Roman"/>
          <w:sz w:val="24"/>
          <w:szCs w:val="24"/>
        </w:rPr>
        <w:t xml:space="preserve"> </w:t>
      </w:r>
      <w:proofErr w:type="spellStart"/>
      <w:r w:rsidR="00B01908" w:rsidRPr="00A73DB4">
        <w:rPr>
          <w:rFonts w:ascii="Times New Roman" w:hAnsi="Times New Roman" w:cs="Times New Roman"/>
          <w:sz w:val="24"/>
          <w:szCs w:val="24"/>
        </w:rPr>
        <w:t>Journal</w:t>
      </w:r>
      <w:proofErr w:type="spellEnd"/>
      <w:r w:rsidR="00B01908" w:rsidRPr="00A73DB4">
        <w:rPr>
          <w:rFonts w:ascii="Times New Roman" w:hAnsi="Times New Roman" w:cs="Times New Roman"/>
          <w:sz w:val="24"/>
          <w:szCs w:val="24"/>
        </w:rPr>
        <w:t xml:space="preserve"> of </w:t>
      </w:r>
      <w:proofErr w:type="spellStart"/>
      <w:r w:rsidR="00B01908" w:rsidRPr="00A73DB4">
        <w:rPr>
          <w:rFonts w:ascii="Times New Roman" w:hAnsi="Times New Roman" w:cs="Times New Roman"/>
          <w:sz w:val="24"/>
          <w:szCs w:val="24"/>
        </w:rPr>
        <w:t>Economics</w:t>
      </w:r>
      <w:proofErr w:type="spellEnd"/>
      <w:r w:rsidR="00B01908" w:rsidRPr="00A73DB4">
        <w:rPr>
          <w:rFonts w:ascii="Times New Roman" w:hAnsi="Times New Roman" w:cs="Times New Roman"/>
          <w:sz w:val="24"/>
          <w:szCs w:val="24"/>
        </w:rPr>
        <w:t xml:space="preserve">, Vol. 113, </w:t>
      </w:r>
      <w:proofErr w:type="spellStart"/>
      <w:r w:rsidR="00B01908" w:rsidRPr="00A73DB4">
        <w:rPr>
          <w:rFonts w:ascii="Times New Roman" w:hAnsi="Times New Roman" w:cs="Times New Roman"/>
          <w:sz w:val="24"/>
          <w:szCs w:val="24"/>
        </w:rPr>
        <w:t>Issue</w:t>
      </w:r>
      <w:proofErr w:type="spellEnd"/>
      <w:r w:rsidR="00B01908" w:rsidRPr="00A73DB4">
        <w:rPr>
          <w:rFonts w:ascii="Times New Roman" w:hAnsi="Times New Roman" w:cs="Times New Roman"/>
          <w:sz w:val="24"/>
          <w:szCs w:val="24"/>
        </w:rPr>
        <w:t xml:space="preserve"> 2, (mayo 1998): 497-530.</w:t>
      </w:r>
    </w:p>
    <w:p w14:paraId="5BC44196" w14:textId="77777777" w:rsidR="00E771A5" w:rsidRPr="00A20EB3" w:rsidRDefault="00E771A5" w:rsidP="00A20EB3">
      <w:pPr>
        <w:spacing w:line="240" w:lineRule="auto"/>
        <w:ind w:left="709" w:hanging="709"/>
        <w:jc w:val="both"/>
        <w:rPr>
          <w:rFonts w:ascii="Times New Roman" w:hAnsi="Times New Roman" w:cs="Times New Roman"/>
          <w:sz w:val="24"/>
          <w:szCs w:val="24"/>
        </w:rPr>
      </w:pPr>
      <w:r w:rsidRPr="00A20EB3">
        <w:rPr>
          <w:rFonts w:ascii="Times New Roman" w:hAnsi="Times New Roman" w:cs="Times New Roman"/>
          <w:sz w:val="24"/>
          <w:szCs w:val="24"/>
        </w:rPr>
        <w:t>Esquivel, Gerardo. “Convergencia regional en México, 1940-1995”. El Trimestre Económico, Vol. 66, No. 264 (1999-4): 725-761.</w:t>
      </w:r>
    </w:p>
    <w:p w14:paraId="1314FEF9" w14:textId="77777777" w:rsidR="00E771A5" w:rsidRPr="00A20EB3" w:rsidRDefault="00E771A5" w:rsidP="00A20EB3">
      <w:pPr>
        <w:spacing w:line="240" w:lineRule="auto"/>
        <w:ind w:left="709" w:hanging="709"/>
        <w:jc w:val="both"/>
        <w:rPr>
          <w:rFonts w:ascii="Times New Roman" w:hAnsi="Times New Roman" w:cs="Times New Roman"/>
          <w:sz w:val="24"/>
          <w:szCs w:val="24"/>
        </w:rPr>
      </w:pPr>
      <w:r w:rsidRPr="00A20EB3">
        <w:rPr>
          <w:rFonts w:ascii="Times New Roman" w:hAnsi="Times New Roman" w:cs="Times New Roman"/>
          <w:sz w:val="24"/>
          <w:szCs w:val="24"/>
        </w:rPr>
        <w:t>Esquivel, Gerardo, Luis F. López Calva y Roberto Vélez. “Crecimiento económico, desarrollo humano y desigualdad regional en México, 1950-2000”. Estudios sobre desarrollo humano PNUD México, No. 3, (2003).</w:t>
      </w:r>
    </w:p>
    <w:p w14:paraId="27864404" w14:textId="74104E33" w:rsidR="00C744DE" w:rsidRPr="00A20EB3" w:rsidRDefault="00C744DE" w:rsidP="00A20EB3">
      <w:pPr>
        <w:spacing w:line="240" w:lineRule="auto"/>
        <w:ind w:left="709" w:hanging="709"/>
        <w:jc w:val="both"/>
        <w:rPr>
          <w:rFonts w:ascii="Times New Roman" w:hAnsi="Times New Roman" w:cs="Times New Roman"/>
          <w:sz w:val="24"/>
          <w:szCs w:val="24"/>
        </w:rPr>
      </w:pPr>
      <w:r w:rsidRPr="00A20EB3">
        <w:rPr>
          <w:rFonts w:ascii="Times New Roman" w:hAnsi="Times New Roman" w:cs="Times New Roman"/>
          <w:sz w:val="24"/>
          <w:szCs w:val="24"/>
        </w:rPr>
        <w:t>Estrategia programática del Proyecto de Presupuesto de Egresos de la</w:t>
      </w:r>
      <w:r w:rsidR="00B62263">
        <w:rPr>
          <w:rFonts w:ascii="Times New Roman" w:hAnsi="Times New Roman" w:cs="Times New Roman"/>
          <w:sz w:val="24"/>
          <w:szCs w:val="24"/>
        </w:rPr>
        <w:t xml:space="preserve"> Federación 2011. </w:t>
      </w:r>
      <w:hyperlink r:id="rId14" w:history="1">
        <w:r w:rsidR="008569AD" w:rsidRPr="00CF5328">
          <w:rPr>
            <w:rStyle w:val="Hipervnculo"/>
            <w:rFonts w:ascii="Times New Roman" w:hAnsi="Times New Roman" w:cs="Times New Roman"/>
            <w:sz w:val="24"/>
            <w:szCs w:val="24"/>
          </w:rPr>
          <w:t>http://www.apartados.hacienda.gob.mx/presupuesto/temas/ppef/2011/temas/tomos/23/r23_ep.pdf</w:t>
        </w:r>
      </w:hyperlink>
      <w:r w:rsidR="008569AD">
        <w:rPr>
          <w:rFonts w:ascii="Times New Roman" w:hAnsi="Times New Roman" w:cs="Times New Roman"/>
          <w:sz w:val="24"/>
          <w:szCs w:val="24"/>
        </w:rPr>
        <w:t xml:space="preserve"> </w:t>
      </w:r>
      <w:r w:rsidR="00B62263">
        <w:rPr>
          <w:rFonts w:ascii="Times New Roman" w:hAnsi="Times New Roman" w:cs="Times New Roman"/>
          <w:sz w:val="24"/>
          <w:szCs w:val="24"/>
        </w:rPr>
        <w:t>(</w:t>
      </w:r>
      <w:r w:rsidR="008569AD">
        <w:rPr>
          <w:rFonts w:ascii="Times New Roman" w:hAnsi="Times New Roman" w:cs="Times New Roman"/>
          <w:sz w:val="24"/>
          <w:szCs w:val="24"/>
        </w:rPr>
        <w:t>Fecha de consulta: 7 de septiembre de 2013</w:t>
      </w:r>
      <w:r w:rsidR="00B62263">
        <w:rPr>
          <w:rFonts w:ascii="Times New Roman" w:hAnsi="Times New Roman" w:cs="Times New Roman"/>
          <w:sz w:val="24"/>
          <w:szCs w:val="24"/>
        </w:rPr>
        <w:t>)</w:t>
      </w:r>
      <w:r w:rsidR="008569AD">
        <w:rPr>
          <w:rFonts w:ascii="Times New Roman" w:hAnsi="Times New Roman" w:cs="Times New Roman"/>
          <w:sz w:val="24"/>
          <w:szCs w:val="24"/>
        </w:rPr>
        <w:t>.</w:t>
      </w:r>
    </w:p>
    <w:p w14:paraId="64EC11B6" w14:textId="77777777" w:rsidR="00E771A5" w:rsidRDefault="00E771A5" w:rsidP="00A20EB3">
      <w:pPr>
        <w:spacing w:line="240" w:lineRule="auto"/>
        <w:ind w:left="709" w:hanging="709"/>
        <w:jc w:val="both"/>
        <w:rPr>
          <w:rFonts w:ascii="Times New Roman" w:hAnsi="Times New Roman" w:cs="Times New Roman"/>
          <w:sz w:val="24"/>
          <w:szCs w:val="24"/>
        </w:rPr>
      </w:pPr>
      <w:r w:rsidRPr="00A20EB3">
        <w:rPr>
          <w:rFonts w:ascii="Times New Roman" w:hAnsi="Times New Roman" w:cs="Times New Roman"/>
          <w:sz w:val="24"/>
          <w:szCs w:val="24"/>
        </w:rPr>
        <w:t xml:space="preserve">Hernández Trillo, Fausto y Brenda Jarillo </w:t>
      </w:r>
      <w:proofErr w:type="spellStart"/>
      <w:r w:rsidRPr="00A20EB3">
        <w:rPr>
          <w:rFonts w:ascii="Times New Roman" w:hAnsi="Times New Roman" w:cs="Times New Roman"/>
          <w:sz w:val="24"/>
          <w:szCs w:val="24"/>
        </w:rPr>
        <w:t>Rabling</w:t>
      </w:r>
      <w:proofErr w:type="spellEnd"/>
      <w:r w:rsidRPr="00A20EB3">
        <w:rPr>
          <w:rFonts w:ascii="Times New Roman" w:hAnsi="Times New Roman" w:cs="Times New Roman"/>
          <w:sz w:val="24"/>
          <w:szCs w:val="24"/>
        </w:rPr>
        <w:t>. “Transferencias condicionadas federales en países en desarrollo: el caso del FISM en México”. Estudios Económicos, Vol. 22, No. 2 (44) (Jul. - Dic., 2007): 143-184.</w:t>
      </w:r>
    </w:p>
    <w:p w14:paraId="2A1AC465" w14:textId="4B42B77C" w:rsidR="008569AD" w:rsidRPr="00610F80" w:rsidRDefault="008569AD" w:rsidP="008569AD">
      <w:pPr>
        <w:pStyle w:val="Notasdepie"/>
        <w:spacing w:after="240"/>
        <w:ind w:left="709" w:hanging="709"/>
        <w:rPr>
          <w:sz w:val="24"/>
          <w:szCs w:val="24"/>
        </w:rPr>
      </w:pPr>
      <w:r w:rsidRPr="00610F80">
        <w:rPr>
          <w:sz w:val="24"/>
          <w:szCs w:val="24"/>
        </w:rPr>
        <w:t>Humboldt, Alexander von. Ensayo político sobre el reino de la Nueva España. París: Rosa, 1822.</w:t>
      </w:r>
    </w:p>
    <w:p w14:paraId="4F705F2A" w14:textId="77777777" w:rsidR="00DE546F" w:rsidRPr="00DE546F" w:rsidRDefault="00DE546F" w:rsidP="008569AD">
      <w:pPr>
        <w:spacing w:after="240" w:line="240" w:lineRule="auto"/>
        <w:ind w:left="709" w:hanging="709"/>
        <w:jc w:val="both"/>
        <w:rPr>
          <w:rFonts w:ascii="Times New Roman" w:hAnsi="Times New Roman" w:cs="Times New Roman"/>
          <w:sz w:val="24"/>
          <w:szCs w:val="24"/>
        </w:rPr>
      </w:pPr>
      <w:r w:rsidRPr="00DE546F">
        <w:rPr>
          <w:rFonts w:ascii="Times New Roman" w:hAnsi="Times New Roman" w:cs="Times New Roman"/>
          <w:sz w:val="24"/>
          <w:szCs w:val="24"/>
        </w:rPr>
        <w:t xml:space="preserve">Instituto Nacional de Ecología de la SEMARNAT. Distribución de la población según categoría rural, mixta o urbana por municipio, 2010. </w:t>
      </w:r>
      <w:r>
        <w:rPr>
          <w:rFonts w:ascii="Times New Roman" w:hAnsi="Times New Roman" w:cs="Times New Roman"/>
          <w:sz w:val="24"/>
          <w:szCs w:val="24"/>
        </w:rPr>
        <w:t xml:space="preserve">Consultada en </w:t>
      </w:r>
      <w:r w:rsidRPr="00DE546F">
        <w:rPr>
          <w:rFonts w:ascii="Times New Roman" w:hAnsi="Times New Roman" w:cs="Times New Roman"/>
          <w:sz w:val="24"/>
          <w:szCs w:val="24"/>
        </w:rPr>
        <w:t>http://www2.inecc.gob.mx/emapas/repmex_catrmu10.html</w:t>
      </w:r>
      <w:r>
        <w:rPr>
          <w:rFonts w:ascii="Times New Roman" w:hAnsi="Times New Roman" w:cs="Times New Roman"/>
          <w:sz w:val="24"/>
          <w:szCs w:val="24"/>
        </w:rPr>
        <w:t>.</w:t>
      </w:r>
    </w:p>
    <w:p w14:paraId="24FFA540" w14:textId="77777777" w:rsidR="00E771A5" w:rsidRPr="00A20EB3" w:rsidRDefault="00E771A5" w:rsidP="00A20EB3">
      <w:pPr>
        <w:spacing w:line="240" w:lineRule="auto"/>
        <w:ind w:left="709" w:hanging="709"/>
        <w:jc w:val="both"/>
        <w:rPr>
          <w:rFonts w:ascii="Times New Roman" w:hAnsi="Times New Roman" w:cs="Times New Roman"/>
          <w:sz w:val="24"/>
          <w:szCs w:val="24"/>
          <w:lang w:val="en-US"/>
        </w:rPr>
      </w:pPr>
      <w:proofErr w:type="spellStart"/>
      <w:r w:rsidRPr="00A20EB3">
        <w:rPr>
          <w:rFonts w:ascii="Times New Roman" w:hAnsi="Times New Roman" w:cs="Times New Roman"/>
          <w:sz w:val="24"/>
          <w:szCs w:val="24"/>
        </w:rPr>
        <w:t>Iracheta</w:t>
      </w:r>
      <w:proofErr w:type="spellEnd"/>
      <w:r w:rsidRPr="00A20EB3">
        <w:rPr>
          <w:rFonts w:ascii="Times New Roman" w:hAnsi="Times New Roman" w:cs="Times New Roman"/>
          <w:sz w:val="24"/>
          <w:szCs w:val="24"/>
        </w:rPr>
        <w:t>, Alfonso.</w:t>
      </w:r>
      <w:r w:rsidRPr="00A20EB3">
        <w:rPr>
          <w:rFonts w:ascii="Times New Roman" w:hAnsi="Times New Roman" w:cs="Times New Roman"/>
          <w:bCs/>
          <w:sz w:val="24"/>
          <w:szCs w:val="24"/>
        </w:rPr>
        <w:t xml:space="preserve"> III. Informe final de evaluación externa 2010 y su resumen ejecutivo versión </w:t>
      </w:r>
      <w:proofErr w:type="spellStart"/>
      <w:r w:rsidRPr="00A20EB3">
        <w:rPr>
          <w:rFonts w:ascii="Times New Roman" w:hAnsi="Times New Roman" w:cs="Times New Roman"/>
          <w:bCs/>
          <w:sz w:val="24"/>
          <w:szCs w:val="24"/>
        </w:rPr>
        <w:t>definitiva</w:t>
      </w:r>
      <w:proofErr w:type="gramStart"/>
      <w:r w:rsidRPr="00A20EB3">
        <w:rPr>
          <w:rFonts w:ascii="Times New Roman" w:hAnsi="Times New Roman" w:cs="Times New Roman"/>
          <w:bCs/>
          <w:sz w:val="24"/>
          <w:szCs w:val="24"/>
        </w:rPr>
        <w:t>:evaluación</w:t>
      </w:r>
      <w:proofErr w:type="spellEnd"/>
      <w:proofErr w:type="gramEnd"/>
      <w:r w:rsidRPr="00A20EB3">
        <w:rPr>
          <w:rFonts w:ascii="Times New Roman" w:hAnsi="Times New Roman" w:cs="Times New Roman"/>
          <w:bCs/>
          <w:sz w:val="24"/>
          <w:szCs w:val="24"/>
        </w:rPr>
        <w:t xml:space="preserve"> del fondo regional 2007-2009. </w:t>
      </w:r>
      <w:r w:rsidRPr="00A20EB3">
        <w:rPr>
          <w:rFonts w:ascii="Times New Roman" w:hAnsi="Times New Roman" w:cs="Times New Roman"/>
          <w:bCs/>
          <w:sz w:val="24"/>
          <w:szCs w:val="24"/>
          <w:lang w:val="en-US"/>
        </w:rPr>
        <w:t xml:space="preserve">BID, SHCP, El </w:t>
      </w:r>
      <w:proofErr w:type="spellStart"/>
      <w:r w:rsidRPr="00A20EB3">
        <w:rPr>
          <w:rFonts w:ascii="Times New Roman" w:hAnsi="Times New Roman" w:cs="Times New Roman"/>
          <w:bCs/>
          <w:sz w:val="24"/>
          <w:szCs w:val="24"/>
          <w:lang w:val="en-US"/>
        </w:rPr>
        <w:t>Colegio</w:t>
      </w:r>
      <w:proofErr w:type="spellEnd"/>
      <w:r w:rsidRPr="00A20EB3">
        <w:rPr>
          <w:rFonts w:ascii="Times New Roman" w:hAnsi="Times New Roman" w:cs="Times New Roman"/>
          <w:bCs/>
          <w:sz w:val="24"/>
          <w:szCs w:val="24"/>
          <w:lang w:val="en-US"/>
        </w:rPr>
        <w:t xml:space="preserve"> </w:t>
      </w:r>
      <w:proofErr w:type="spellStart"/>
      <w:r w:rsidRPr="00A20EB3">
        <w:rPr>
          <w:rFonts w:ascii="Times New Roman" w:hAnsi="Times New Roman" w:cs="Times New Roman"/>
          <w:bCs/>
          <w:sz w:val="24"/>
          <w:szCs w:val="24"/>
          <w:lang w:val="en-US"/>
        </w:rPr>
        <w:t>Mexiquense</w:t>
      </w:r>
      <w:proofErr w:type="spellEnd"/>
      <w:r w:rsidRPr="00A20EB3">
        <w:rPr>
          <w:rFonts w:ascii="Times New Roman" w:hAnsi="Times New Roman" w:cs="Times New Roman"/>
          <w:bCs/>
          <w:sz w:val="24"/>
          <w:szCs w:val="24"/>
          <w:lang w:val="en-US"/>
        </w:rPr>
        <w:t>, 2010.</w:t>
      </w:r>
    </w:p>
    <w:p w14:paraId="7E735DAA" w14:textId="77777777" w:rsidR="003A1225" w:rsidRPr="00A20EB3" w:rsidRDefault="003A1225" w:rsidP="00A20EB3">
      <w:pPr>
        <w:spacing w:line="240" w:lineRule="auto"/>
        <w:ind w:left="709" w:hanging="709"/>
        <w:jc w:val="both"/>
        <w:rPr>
          <w:rFonts w:ascii="Times New Roman" w:hAnsi="Times New Roman" w:cs="Times New Roman"/>
          <w:sz w:val="24"/>
          <w:szCs w:val="24"/>
          <w:lang w:val="en-US"/>
        </w:rPr>
      </w:pPr>
      <w:r w:rsidRPr="00A20EB3">
        <w:rPr>
          <w:rFonts w:ascii="Times New Roman" w:hAnsi="Times New Roman" w:cs="Times New Roman"/>
          <w:sz w:val="24"/>
          <w:szCs w:val="24"/>
          <w:lang w:val="en-US"/>
        </w:rPr>
        <w:t>Levitt, Steven y James Snyder. “Political parties and the distribution of federal outlays”. American Journal of Political Science, Vol. 39, No. 4 (</w:t>
      </w:r>
      <w:proofErr w:type="spellStart"/>
      <w:r w:rsidRPr="00A20EB3">
        <w:rPr>
          <w:rFonts w:ascii="Times New Roman" w:hAnsi="Times New Roman" w:cs="Times New Roman"/>
          <w:sz w:val="24"/>
          <w:szCs w:val="24"/>
          <w:lang w:val="en-US"/>
        </w:rPr>
        <w:t>noviembre</w:t>
      </w:r>
      <w:proofErr w:type="spellEnd"/>
      <w:r w:rsidRPr="00A20EB3">
        <w:rPr>
          <w:rFonts w:ascii="Times New Roman" w:hAnsi="Times New Roman" w:cs="Times New Roman"/>
          <w:sz w:val="24"/>
          <w:szCs w:val="24"/>
          <w:lang w:val="en-US"/>
        </w:rPr>
        <w:t xml:space="preserve"> 1995): 958-980.</w:t>
      </w:r>
    </w:p>
    <w:p w14:paraId="2ADD45A9" w14:textId="77777777" w:rsidR="00C744DE" w:rsidRPr="00A20EB3" w:rsidRDefault="00C744DE" w:rsidP="00A20EB3">
      <w:pPr>
        <w:spacing w:line="240" w:lineRule="auto"/>
        <w:ind w:left="709" w:hanging="709"/>
        <w:jc w:val="both"/>
        <w:rPr>
          <w:rFonts w:ascii="Times New Roman" w:hAnsi="Times New Roman" w:cs="Times New Roman"/>
          <w:sz w:val="24"/>
          <w:szCs w:val="24"/>
          <w:lang w:val="en-US"/>
        </w:rPr>
      </w:pPr>
      <w:proofErr w:type="spellStart"/>
      <w:r w:rsidRPr="00A20EB3">
        <w:rPr>
          <w:rFonts w:ascii="Times New Roman" w:hAnsi="Times New Roman" w:cs="Times New Roman"/>
          <w:sz w:val="24"/>
          <w:szCs w:val="24"/>
          <w:lang w:val="en-US"/>
        </w:rPr>
        <w:t>Lindbeck</w:t>
      </w:r>
      <w:proofErr w:type="spellEnd"/>
      <w:r w:rsidR="003A1225" w:rsidRPr="00A20EB3">
        <w:rPr>
          <w:rFonts w:ascii="Times New Roman" w:hAnsi="Times New Roman" w:cs="Times New Roman"/>
          <w:sz w:val="24"/>
          <w:szCs w:val="24"/>
          <w:lang w:val="en-US"/>
        </w:rPr>
        <w:t xml:space="preserve">, Assar y </w:t>
      </w:r>
      <w:proofErr w:type="spellStart"/>
      <w:r w:rsidR="003A1225" w:rsidRPr="00A20EB3">
        <w:rPr>
          <w:rFonts w:ascii="Times New Roman" w:hAnsi="Times New Roman" w:cs="Times New Roman"/>
          <w:sz w:val="24"/>
          <w:szCs w:val="24"/>
          <w:lang w:val="en-US"/>
        </w:rPr>
        <w:t>Jörgen</w:t>
      </w:r>
      <w:proofErr w:type="spellEnd"/>
      <w:r w:rsidR="003A1225" w:rsidRPr="00A20EB3">
        <w:rPr>
          <w:rFonts w:ascii="Times New Roman" w:hAnsi="Times New Roman" w:cs="Times New Roman"/>
          <w:sz w:val="24"/>
          <w:szCs w:val="24"/>
          <w:lang w:val="en-US"/>
        </w:rPr>
        <w:t xml:space="preserve"> </w:t>
      </w:r>
      <w:proofErr w:type="spellStart"/>
      <w:r w:rsidR="003A1225" w:rsidRPr="00A20EB3">
        <w:rPr>
          <w:rFonts w:ascii="Times New Roman" w:hAnsi="Times New Roman" w:cs="Times New Roman"/>
          <w:sz w:val="24"/>
          <w:szCs w:val="24"/>
          <w:lang w:val="en-US"/>
        </w:rPr>
        <w:t>Weibul</w:t>
      </w:r>
      <w:proofErr w:type="spellEnd"/>
      <w:r w:rsidR="003A1225" w:rsidRPr="00A20EB3">
        <w:rPr>
          <w:rFonts w:ascii="Times New Roman" w:hAnsi="Times New Roman" w:cs="Times New Roman"/>
          <w:sz w:val="24"/>
          <w:szCs w:val="24"/>
          <w:lang w:val="en-US"/>
        </w:rPr>
        <w:t>.</w:t>
      </w:r>
      <w:r w:rsidRPr="00A20EB3">
        <w:rPr>
          <w:rFonts w:ascii="Times New Roman" w:hAnsi="Times New Roman" w:cs="Times New Roman"/>
          <w:sz w:val="24"/>
          <w:szCs w:val="24"/>
          <w:lang w:val="en-US"/>
        </w:rPr>
        <w:t xml:space="preserve"> “A model of political equilibrium in </w:t>
      </w:r>
      <w:r w:rsidR="003A1225" w:rsidRPr="00A20EB3">
        <w:rPr>
          <w:rFonts w:ascii="Times New Roman" w:hAnsi="Times New Roman" w:cs="Times New Roman"/>
          <w:sz w:val="24"/>
          <w:szCs w:val="24"/>
          <w:lang w:val="en-US"/>
        </w:rPr>
        <w:t>a representative democracy”.</w:t>
      </w:r>
      <w:r w:rsidRPr="00A20EB3">
        <w:rPr>
          <w:rFonts w:ascii="Times New Roman" w:hAnsi="Times New Roman" w:cs="Times New Roman"/>
          <w:sz w:val="24"/>
          <w:szCs w:val="24"/>
          <w:lang w:val="en-US"/>
        </w:rPr>
        <w:t xml:space="preserve"> Journal of Public Economic</w:t>
      </w:r>
      <w:r w:rsidR="003A1225" w:rsidRPr="00A20EB3">
        <w:rPr>
          <w:rFonts w:ascii="Times New Roman" w:hAnsi="Times New Roman" w:cs="Times New Roman"/>
          <w:sz w:val="24"/>
          <w:szCs w:val="24"/>
          <w:lang w:val="en-US"/>
        </w:rPr>
        <w:t>s, Vol. 51, No. 2, (</w:t>
      </w:r>
      <w:proofErr w:type="spellStart"/>
      <w:r w:rsidR="003A1225" w:rsidRPr="00A20EB3">
        <w:rPr>
          <w:rFonts w:ascii="Times New Roman" w:hAnsi="Times New Roman" w:cs="Times New Roman"/>
          <w:sz w:val="24"/>
          <w:szCs w:val="24"/>
          <w:lang w:val="en-US"/>
        </w:rPr>
        <w:t>junio</w:t>
      </w:r>
      <w:proofErr w:type="spellEnd"/>
      <w:r w:rsidR="003A1225" w:rsidRPr="00A20EB3">
        <w:rPr>
          <w:rFonts w:ascii="Times New Roman" w:hAnsi="Times New Roman" w:cs="Times New Roman"/>
          <w:sz w:val="24"/>
          <w:szCs w:val="24"/>
          <w:lang w:val="en-US"/>
        </w:rPr>
        <w:t xml:space="preserve"> 1993):</w:t>
      </w:r>
      <w:r w:rsidRPr="00A20EB3">
        <w:rPr>
          <w:rFonts w:ascii="Times New Roman" w:hAnsi="Times New Roman" w:cs="Times New Roman"/>
          <w:sz w:val="24"/>
          <w:szCs w:val="24"/>
          <w:lang w:val="en-US"/>
        </w:rPr>
        <w:t xml:space="preserve"> 195-210.</w:t>
      </w:r>
    </w:p>
    <w:p w14:paraId="05C62476" w14:textId="77777777" w:rsidR="00C744DE" w:rsidRPr="00992397" w:rsidRDefault="00C744DE" w:rsidP="00A20EB3">
      <w:pPr>
        <w:spacing w:line="240" w:lineRule="auto"/>
        <w:ind w:left="709" w:hanging="709"/>
        <w:jc w:val="both"/>
        <w:rPr>
          <w:rFonts w:ascii="Times New Roman" w:hAnsi="Times New Roman" w:cs="Times New Roman"/>
          <w:sz w:val="24"/>
          <w:szCs w:val="24"/>
        </w:rPr>
      </w:pPr>
      <w:proofErr w:type="spellStart"/>
      <w:r w:rsidRPr="00A20EB3">
        <w:rPr>
          <w:rFonts w:ascii="Times New Roman" w:hAnsi="Times New Roman" w:cs="Times New Roman"/>
          <w:sz w:val="24"/>
          <w:szCs w:val="24"/>
          <w:lang w:val="en-US"/>
        </w:rPr>
        <w:t>Lindbeck</w:t>
      </w:r>
      <w:proofErr w:type="spellEnd"/>
      <w:r w:rsidR="003A1225" w:rsidRPr="00A20EB3">
        <w:rPr>
          <w:rFonts w:ascii="Times New Roman" w:hAnsi="Times New Roman" w:cs="Times New Roman"/>
          <w:sz w:val="24"/>
          <w:szCs w:val="24"/>
          <w:lang w:val="en-US"/>
        </w:rPr>
        <w:t xml:space="preserve">, Assar y </w:t>
      </w:r>
      <w:proofErr w:type="spellStart"/>
      <w:r w:rsidR="003A1225" w:rsidRPr="00A20EB3">
        <w:rPr>
          <w:rFonts w:ascii="Times New Roman" w:hAnsi="Times New Roman" w:cs="Times New Roman"/>
          <w:sz w:val="24"/>
          <w:szCs w:val="24"/>
          <w:lang w:val="en-US"/>
        </w:rPr>
        <w:t>Jörgen</w:t>
      </w:r>
      <w:proofErr w:type="spellEnd"/>
      <w:r w:rsidR="003A1225" w:rsidRPr="00A20EB3">
        <w:rPr>
          <w:rFonts w:ascii="Times New Roman" w:hAnsi="Times New Roman" w:cs="Times New Roman"/>
          <w:sz w:val="24"/>
          <w:szCs w:val="24"/>
          <w:lang w:val="en-US"/>
        </w:rPr>
        <w:t xml:space="preserve"> </w:t>
      </w:r>
      <w:proofErr w:type="spellStart"/>
      <w:r w:rsidR="003A1225" w:rsidRPr="00A20EB3">
        <w:rPr>
          <w:rFonts w:ascii="Times New Roman" w:hAnsi="Times New Roman" w:cs="Times New Roman"/>
          <w:sz w:val="24"/>
          <w:szCs w:val="24"/>
          <w:lang w:val="en-US"/>
        </w:rPr>
        <w:t>Weibul</w:t>
      </w:r>
      <w:proofErr w:type="spellEnd"/>
      <w:r w:rsidR="003A1225" w:rsidRPr="00A20EB3">
        <w:rPr>
          <w:rFonts w:ascii="Times New Roman" w:hAnsi="Times New Roman" w:cs="Times New Roman"/>
          <w:sz w:val="24"/>
          <w:szCs w:val="24"/>
          <w:lang w:val="en-US"/>
        </w:rPr>
        <w:t>.</w:t>
      </w:r>
      <w:r w:rsidRPr="00A20EB3">
        <w:rPr>
          <w:rFonts w:ascii="Times New Roman" w:hAnsi="Times New Roman" w:cs="Times New Roman"/>
          <w:sz w:val="24"/>
          <w:szCs w:val="24"/>
          <w:lang w:val="en-US"/>
        </w:rPr>
        <w:t xml:space="preserve"> “Balanced Budget redistribution and the outcome of political competition</w:t>
      </w:r>
      <w:r w:rsidR="003A1225" w:rsidRPr="00A20EB3">
        <w:rPr>
          <w:rFonts w:ascii="Times New Roman" w:hAnsi="Times New Roman" w:cs="Times New Roman"/>
          <w:sz w:val="24"/>
          <w:szCs w:val="24"/>
          <w:lang w:val="en-US"/>
        </w:rPr>
        <w:t>”.</w:t>
      </w:r>
      <w:r w:rsidRPr="00A20EB3">
        <w:rPr>
          <w:rFonts w:ascii="Times New Roman" w:hAnsi="Times New Roman" w:cs="Times New Roman"/>
          <w:sz w:val="24"/>
          <w:szCs w:val="24"/>
          <w:lang w:val="en-US"/>
        </w:rPr>
        <w:t xml:space="preserve"> </w:t>
      </w:r>
      <w:proofErr w:type="spellStart"/>
      <w:r w:rsidRPr="00992397">
        <w:rPr>
          <w:rFonts w:ascii="Times New Roman" w:hAnsi="Times New Roman" w:cs="Times New Roman"/>
          <w:sz w:val="24"/>
          <w:szCs w:val="24"/>
        </w:rPr>
        <w:t>Public</w:t>
      </w:r>
      <w:proofErr w:type="spellEnd"/>
      <w:r w:rsidR="003A1225" w:rsidRPr="00992397">
        <w:rPr>
          <w:rFonts w:ascii="Times New Roman" w:hAnsi="Times New Roman" w:cs="Times New Roman"/>
          <w:sz w:val="24"/>
          <w:szCs w:val="24"/>
        </w:rPr>
        <w:t xml:space="preserve"> </w:t>
      </w:r>
      <w:proofErr w:type="spellStart"/>
      <w:r w:rsidR="003A1225" w:rsidRPr="00992397">
        <w:rPr>
          <w:rFonts w:ascii="Times New Roman" w:hAnsi="Times New Roman" w:cs="Times New Roman"/>
          <w:sz w:val="24"/>
          <w:szCs w:val="24"/>
        </w:rPr>
        <w:t>Choice</w:t>
      </w:r>
      <w:proofErr w:type="spellEnd"/>
      <w:r w:rsidR="003A1225" w:rsidRPr="00992397">
        <w:rPr>
          <w:rFonts w:ascii="Times New Roman" w:hAnsi="Times New Roman" w:cs="Times New Roman"/>
          <w:sz w:val="24"/>
          <w:szCs w:val="24"/>
        </w:rPr>
        <w:t>, Vol. 52, No. 2, (1987):</w:t>
      </w:r>
      <w:r w:rsidRPr="00992397">
        <w:rPr>
          <w:rFonts w:ascii="Times New Roman" w:hAnsi="Times New Roman" w:cs="Times New Roman"/>
          <w:sz w:val="24"/>
          <w:szCs w:val="24"/>
        </w:rPr>
        <w:t xml:space="preserve"> 273-297.</w:t>
      </w:r>
    </w:p>
    <w:p w14:paraId="01A3D959" w14:textId="77777777" w:rsidR="008569AD" w:rsidRPr="00610F80" w:rsidRDefault="008569AD" w:rsidP="008569AD">
      <w:pPr>
        <w:spacing w:line="240" w:lineRule="auto"/>
        <w:ind w:left="709" w:hanging="709"/>
        <w:jc w:val="both"/>
        <w:rPr>
          <w:rFonts w:ascii="Times New Roman" w:hAnsi="Times New Roman" w:cs="Times New Roman"/>
          <w:sz w:val="24"/>
          <w:szCs w:val="24"/>
        </w:rPr>
      </w:pPr>
      <w:proofErr w:type="spellStart"/>
      <w:r w:rsidRPr="00610F80">
        <w:rPr>
          <w:rFonts w:ascii="Times New Roman" w:hAnsi="Times New Roman" w:cs="Times New Roman"/>
          <w:sz w:val="24"/>
          <w:szCs w:val="24"/>
        </w:rPr>
        <w:t>Nozick</w:t>
      </w:r>
      <w:proofErr w:type="spellEnd"/>
      <w:r w:rsidRPr="00610F80">
        <w:rPr>
          <w:rFonts w:ascii="Times New Roman" w:hAnsi="Times New Roman" w:cs="Times New Roman"/>
          <w:sz w:val="24"/>
          <w:szCs w:val="24"/>
        </w:rPr>
        <w:t>, Robert. Anarquía, Estado y utopía. México: Fondo de Cultura Económica, 1988.</w:t>
      </w:r>
    </w:p>
    <w:p w14:paraId="1D7181F6" w14:textId="77777777" w:rsidR="00992397" w:rsidRPr="00992397" w:rsidRDefault="00992397" w:rsidP="00C37078">
      <w:pPr>
        <w:ind w:left="709" w:hanging="709"/>
        <w:jc w:val="both"/>
        <w:rPr>
          <w:rFonts w:ascii="Times New Roman" w:hAnsi="Times New Roman" w:cs="Times New Roman"/>
          <w:sz w:val="24"/>
          <w:szCs w:val="24"/>
        </w:rPr>
      </w:pPr>
      <w:r w:rsidRPr="00992397">
        <w:rPr>
          <w:rFonts w:ascii="Times New Roman" w:hAnsi="Times New Roman" w:cs="Times New Roman"/>
          <w:sz w:val="24"/>
          <w:szCs w:val="24"/>
        </w:rPr>
        <w:t>Porto, Alberto y Pablo Sanguinetti</w:t>
      </w:r>
      <w:r>
        <w:rPr>
          <w:rFonts w:ascii="Times New Roman" w:hAnsi="Times New Roman" w:cs="Times New Roman"/>
          <w:sz w:val="24"/>
          <w:szCs w:val="24"/>
        </w:rPr>
        <w:t>.</w:t>
      </w:r>
      <w:r w:rsidRPr="00992397">
        <w:rPr>
          <w:rFonts w:ascii="Times New Roman" w:hAnsi="Times New Roman" w:cs="Times New Roman"/>
          <w:sz w:val="24"/>
          <w:szCs w:val="24"/>
        </w:rPr>
        <w:t xml:space="preserve"> “Las transferencias intergubernamentales y la equidad distributiva: el caso argentino”</w:t>
      </w:r>
      <w:r>
        <w:rPr>
          <w:rFonts w:ascii="Times New Roman" w:hAnsi="Times New Roman" w:cs="Times New Roman"/>
          <w:sz w:val="24"/>
          <w:szCs w:val="24"/>
        </w:rPr>
        <w:t>.</w:t>
      </w:r>
      <w:r w:rsidRPr="00992397">
        <w:rPr>
          <w:rFonts w:ascii="Times New Roman" w:hAnsi="Times New Roman" w:cs="Times New Roman"/>
          <w:sz w:val="24"/>
          <w:szCs w:val="24"/>
        </w:rPr>
        <w:t xml:space="preserve"> Serie Política Fiscal No. 88, CEPAL, agosto 1996.</w:t>
      </w:r>
    </w:p>
    <w:p w14:paraId="26936B99" w14:textId="77777777" w:rsidR="00C37078" w:rsidRPr="005F2809" w:rsidRDefault="00632005" w:rsidP="00C37078">
      <w:pPr>
        <w:ind w:left="709" w:hanging="709"/>
        <w:jc w:val="both"/>
        <w:rPr>
          <w:rFonts w:ascii="Times New Roman" w:hAnsi="Times New Roman" w:cs="Times New Roman"/>
          <w:sz w:val="24"/>
          <w:szCs w:val="24"/>
        </w:rPr>
      </w:pPr>
      <w:r w:rsidRPr="00B60F59">
        <w:rPr>
          <w:rFonts w:ascii="Times New Roman" w:hAnsi="Times New Roman" w:cs="Times New Roman"/>
          <w:sz w:val="24"/>
          <w:szCs w:val="24"/>
        </w:rPr>
        <w:t>Rodríguez-</w:t>
      </w:r>
      <w:proofErr w:type="spellStart"/>
      <w:r w:rsidRPr="00B60F59">
        <w:rPr>
          <w:rFonts w:ascii="Times New Roman" w:hAnsi="Times New Roman" w:cs="Times New Roman"/>
          <w:sz w:val="24"/>
          <w:szCs w:val="24"/>
        </w:rPr>
        <w:t>Oreggia</w:t>
      </w:r>
      <w:proofErr w:type="spellEnd"/>
      <w:r w:rsidRPr="00B60F59">
        <w:rPr>
          <w:rFonts w:ascii="Times New Roman" w:hAnsi="Times New Roman" w:cs="Times New Roman"/>
          <w:sz w:val="24"/>
          <w:szCs w:val="24"/>
        </w:rPr>
        <w:t xml:space="preserve">, Eduardo. </w:t>
      </w:r>
      <w:proofErr w:type="spellStart"/>
      <w:r w:rsidRPr="00B60F59">
        <w:rPr>
          <w:rFonts w:ascii="Times New Roman" w:hAnsi="Times New Roman" w:cs="Times New Roman"/>
          <w:i/>
          <w:sz w:val="24"/>
          <w:szCs w:val="24"/>
        </w:rPr>
        <w:t>Growth</w:t>
      </w:r>
      <w:proofErr w:type="spellEnd"/>
      <w:r w:rsidRPr="00B60F59">
        <w:rPr>
          <w:rFonts w:ascii="Times New Roman" w:hAnsi="Times New Roman" w:cs="Times New Roman"/>
          <w:i/>
          <w:sz w:val="24"/>
          <w:szCs w:val="24"/>
        </w:rPr>
        <w:t xml:space="preserve"> and </w:t>
      </w:r>
      <w:proofErr w:type="spellStart"/>
      <w:r w:rsidRPr="00B60F59">
        <w:rPr>
          <w:rFonts w:ascii="Times New Roman" w:hAnsi="Times New Roman" w:cs="Times New Roman"/>
          <w:i/>
          <w:sz w:val="24"/>
          <w:szCs w:val="24"/>
        </w:rPr>
        <w:t>disparities</w:t>
      </w:r>
      <w:proofErr w:type="spellEnd"/>
      <w:r w:rsidRPr="00B60F59">
        <w:rPr>
          <w:rFonts w:ascii="Times New Roman" w:hAnsi="Times New Roman" w:cs="Times New Roman"/>
          <w:i/>
          <w:sz w:val="24"/>
          <w:szCs w:val="24"/>
        </w:rPr>
        <w:t xml:space="preserve"> in </w:t>
      </w:r>
      <w:proofErr w:type="spellStart"/>
      <w:r w:rsidRPr="00B60F59">
        <w:rPr>
          <w:rFonts w:ascii="Times New Roman" w:hAnsi="Times New Roman" w:cs="Times New Roman"/>
          <w:i/>
          <w:sz w:val="24"/>
          <w:szCs w:val="24"/>
        </w:rPr>
        <w:t>the</w:t>
      </w:r>
      <w:proofErr w:type="spellEnd"/>
      <w:r w:rsidRPr="00B60F59">
        <w:rPr>
          <w:rFonts w:ascii="Times New Roman" w:hAnsi="Times New Roman" w:cs="Times New Roman"/>
          <w:i/>
          <w:sz w:val="24"/>
          <w:szCs w:val="24"/>
        </w:rPr>
        <w:t xml:space="preserve"> </w:t>
      </w:r>
      <w:proofErr w:type="spellStart"/>
      <w:r w:rsidRPr="00B60F59">
        <w:rPr>
          <w:rFonts w:ascii="Times New Roman" w:hAnsi="Times New Roman" w:cs="Times New Roman"/>
          <w:i/>
          <w:sz w:val="24"/>
          <w:szCs w:val="24"/>
        </w:rPr>
        <w:t>Mexican</w:t>
      </w:r>
      <w:proofErr w:type="spellEnd"/>
      <w:r w:rsidRPr="00B60F59">
        <w:rPr>
          <w:rFonts w:ascii="Times New Roman" w:hAnsi="Times New Roman" w:cs="Times New Roman"/>
          <w:i/>
          <w:sz w:val="24"/>
          <w:szCs w:val="24"/>
        </w:rPr>
        <w:t xml:space="preserve"> </w:t>
      </w:r>
      <w:proofErr w:type="spellStart"/>
      <w:r w:rsidRPr="00B60F59">
        <w:rPr>
          <w:rFonts w:ascii="Times New Roman" w:hAnsi="Times New Roman" w:cs="Times New Roman"/>
          <w:i/>
          <w:sz w:val="24"/>
          <w:szCs w:val="24"/>
        </w:rPr>
        <w:t>regions</w:t>
      </w:r>
      <w:proofErr w:type="spellEnd"/>
      <w:r w:rsidRPr="00B60F59">
        <w:rPr>
          <w:rFonts w:ascii="Times New Roman" w:hAnsi="Times New Roman" w:cs="Times New Roman"/>
          <w:i/>
          <w:sz w:val="24"/>
          <w:szCs w:val="24"/>
        </w:rPr>
        <w:t>.</w:t>
      </w:r>
      <w:r w:rsidRPr="00B60F59">
        <w:rPr>
          <w:rFonts w:ascii="Times New Roman" w:hAnsi="Times New Roman" w:cs="Times New Roman"/>
          <w:sz w:val="24"/>
          <w:szCs w:val="24"/>
        </w:rPr>
        <w:t xml:space="preserve"> </w:t>
      </w:r>
      <w:proofErr w:type="spellStart"/>
      <w:r w:rsidR="00C37078" w:rsidRPr="00F169CC">
        <w:rPr>
          <w:rFonts w:ascii="Times New Roman" w:hAnsi="Times New Roman" w:cs="Times New Roman"/>
          <w:sz w:val="24"/>
          <w:szCs w:val="24"/>
        </w:rPr>
        <w:t>Saarbrücken</w:t>
      </w:r>
      <w:proofErr w:type="spellEnd"/>
      <w:r w:rsidR="00C37078" w:rsidRPr="00F169CC">
        <w:rPr>
          <w:rFonts w:ascii="Times New Roman" w:hAnsi="Times New Roman" w:cs="Times New Roman"/>
          <w:sz w:val="24"/>
          <w:szCs w:val="24"/>
        </w:rPr>
        <w:t>, Alemania: LAP LAMBERT, 2011.</w:t>
      </w:r>
    </w:p>
    <w:p w14:paraId="00938D06" w14:textId="77777777" w:rsidR="00E771A5" w:rsidRPr="00A20EB3" w:rsidRDefault="00E771A5" w:rsidP="00A20EB3">
      <w:pPr>
        <w:spacing w:line="240" w:lineRule="auto"/>
        <w:ind w:left="709" w:hanging="709"/>
        <w:jc w:val="both"/>
        <w:rPr>
          <w:rFonts w:ascii="Times New Roman" w:hAnsi="Times New Roman" w:cs="Times New Roman"/>
          <w:sz w:val="24"/>
          <w:szCs w:val="24"/>
        </w:rPr>
      </w:pPr>
      <w:r w:rsidRPr="00A20EB3">
        <w:rPr>
          <w:rFonts w:ascii="Times New Roman" w:hAnsi="Times New Roman" w:cs="Times New Roman"/>
          <w:sz w:val="24"/>
          <w:szCs w:val="24"/>
        </w:rPr>
        <w:t xml:space="preserve">Ruiz </w:t>
      </w:r>
      <w:proofErr w:type="spellStart"/>
      <w:r w:rsidRPr="00A20EB3">
        <w:rPr>
          <w:rFonts w:ascii="Times New Roman" w:hAnsi="Times New Roman" w:cs="Times New Roman"/>
          <w:sz w:val="24"/>
          <w:szCs w:val="24"/>
        </w:rPr>
        <w:t>Chiapetto</w:t>
      </w:r>
      <w:proofErr w:type="spellEnd"/>
      <w:r w:rsidRPr="00A20EB3">
        <w:rPr>
          <w:rFonts w:ascii="Times New Roman" w:hAnsi="Times New Roman" w:cs="Times New Roman"/>
          <w:sz w:val="24"/>
          <w:szCs w:val="24"/>
        </w:rPr>
        <w:t>, Crescendo. “Desigualdades regionales en México”. Estudios Demográficos y Urbanos, Vol. 15, No. 3 (2000): 533-582.</w:t>
      </w:r>
    </w:p>
    <w:p w14:paraId="3795DAC0" w14:textId="77777777" w:rsidR="00B75E51" w:rsidRPr="00A20EB3" w:rsidRDefault="00B75E51" w:rsidP="00A20EB3">
      <w:pPr>
        <w:spacing w:line="240" w:lineRule="auto"/>
        <w:ind w:left="709" w:hanging="709"/>
        <w:jc w:val="both"/>
        <w:rPr>
          <w:rFonts w:ascii="Times New Roman" w:hAnsi="Times New Roman" w:cs="Times New Roman"/>
          <w:sz w:val="24"/>
          <w:szCs w:val="24"/>
        </w:rPr>
      </w:pPr>
      <w:proofErr w:type="spellStart"/>
      <w:r w:rsidRPr="00A20EB3">
        <w:rPr>
          <w:rFonts w:ascii="Times New Roman" w:hAnsi="Times New Roman" w:cs="Times New Roman"/>
          <w:sz w:val="24"/>
          <w:szCs w:val="24"/>
        </w:rPr>
        <w:lastRenderedPageBreak/>
        <w:t>Székely</w:t>
      </w:r>
      <w:proofErr w:type="spellEnd"/>
      <w:r w:rsidRPr="00A20EB3">
        <w:rPr>
          <w:rFonts w:ascii="Times New Roman" w:hAnsi="Times New Roman" w:cs="Times New Roman"/>
          <w:sz w:val="24"/>
          <w:szCs w:val="24"/>
        </w:rPr>
        <w:t>, Miguel, L. F. López-Calva, A. Meléndez, E. G. Rascón y L. Rodríguez-</w:t>
      </w:r>
      <w:proofErr w:type="spellStart"/>
      <w:r w:rsidRPr="00A20EB3">
        <w:rPr>
          <w:rFonts w:ascii="Times New Roman" w:hAnsi="Times New Roman" w:cs="Times New Roman"/>
          <w:sz w:val="24"/>
          <w:szCs w:val="24"/>
        </w:rPr>
        <w:t>Chamussy</w:t>
      </w:r>
      <w:proofErr w:type="spellEnd"/>
      <w:r w:rsidRPr="00A20EB3">
        <w:rPr>
          <w:rFonts w:ascii="Times New Roman" w:hAnsi="Times New Roman" w:cs="Times New Roman"/>
          <w:sz w:val="24"/>
          <w:szCs w:val="24"/>
        </w:rPr>
        <w:t xml:space="preserve">. “Poniendo a la pobreza de ingresos y a la desigualdad en el mapa de México”. Economía mexicana, Vol. 16, No. 2 (segundo semestre de 2007): 239-303. </w:t>
      </w:r>
    </w:p>
    <w:p w14:paraId="0AF5BABE" w14:textId="77777777" w:rsidR="00B75E51" w:rsidRDefault="003A1225" w:rsidP="00A20EB3">
      <w:pPr>
        <w:spacing w:line="240" w:lineRule="auto"/>
        <w:ind w:left="709" w:hanging="709"/>
        <w:jc w:val="both"/>
        <w:rPr>
          <w:rFonts w:ascii="Times New Roman" w:hAnsi="Times New Roman" w:cs="Times New Roman"/>
          <w:sz w:val="24"/>
          <w:szCs w:val="24"/>
        </w:rPr>
      </w:pPr>
      <w:r w:rsidRPr="005F2809">
        <w:rPr>
          <w:rFonts w:ascii="Times New Roman" w:hAnsi="Times New Roman" w:cs="Times New Roman"/>
          <w:sz w:val="24"/>
          <w:szCs w:val="24"/>
        </w:rPr>
        <w:t xml:space="preserve">Stokes, </w:t>
      </w:r>
      <w:proofErr w:type="spellStart"/>
      <w:r w:rsidRPr="005F2809">
        <w:rPr>
          <w:rFonts w:ascii="Times New Roman" w:hAnsi="Times New Roman" w:cs="Times New Roman"/>
          <w:sz w:val="24"/>
          <w:szCs w:val="24"/>
        </w:rPr>
        <w:t>Susan</w:t>
      </w:r>
      <w:proofErr w:type="spellEnd"/>
      <w:r w:rsidRPr="005F2809">
        <w:rPr>
          <w:rFonts w:ascii="Times New Roman" w:hAnsi="Times New Roman" w:cs="Times New Roman"/>
          <w:sz w:val="24"/>
          <w:szCs w:val="24"/>
        </w:rPr>
        <w:t>. “</w:t>
      </w:r>
      <w:proofErr w:type="spellStart"/>
      <w:r w:rsidRPr="005F2809">
        <w:rPr>
          <w:rFonts w:ascii="Times New Roman" w:hAnsi="Times New Roman" w:cs="Times New Roman"/>
          <w:sz w:val="24"/>
          <w:szCs w:val="24"/>
        </w:rPr>
        <w:t>Perverse</w:t>
      </w:r>
      <w:proofErr w:type="spellEnd"/>
      <w:r w:rsidRPr="005F2809">
        <w:rPr>
          <w:rFonts w:ascii="Times New Roman" w:hAnsi="Times New Roman" w:cs="Times New Roman"/>
          <w:sz w:val="24"/>
          <w:szCs w:val="24"/>
        </w:rPr>
        <w:t xml:space="preserve"> </w:t>
      </w:r>
      <w:proofErr w:type="spellStart"/>
      <w:r w:rsidRPr="005F2809">
        <w:rPr>
          <w:rFonts w:ascii="Times New Roman" w:hAnsi="Times New Roman" w:cs="Times New Roman"/>
          <w:sz w:val="24"/>
          <w:szCs w:val="24"/>
        </w:rPr>
        <w:t>accountability</w:t>
      </w:r>
      <w:proofErr w:type="spellEnd"/>
      <w:r w:rsidRPr="005F2809">
        <w:rPr>
          <w:rFonts w:ascii="Times New Roman" w:hAnsi="Times New Roman" w:cs="Times New Roman"/>
          <w:sz w:val="24"/>
          <w:szCs w:val="24"/>
        </w:rPr>
        <w:t xml:space="preserve">: A formal </w:t>
      </w:r>
      <w:proofErr w:type="spellStart"/>
      <w:r w:rsidRPr="005F2809">
        <w:rPr>
          <w:rFonts w:ascii="Times New Roman" w:hAnsi="Times New Roman" w:cs="Times New Roman"/>
          <w:sz w:val="24"/>
          <w:szCs w:val="24"/>
        </w:rPr>
        <w:t>model</w:t>
      </w:r>
      <w:proofErr w:type="spellEnd"/>
      <w:r w:rsidRPr="005F2809">
        <w:rPr>
          <w:rFonts w:ascii="Times New Roman" w:hAnsi="Times New Roman" w:cs="Times New Roman"/>
          <w:sz w:val="24"/>
          <w:szCs w:val="24"/>
        </w:rPr>
        <w:t xml:space="preserve"> of machine </w:t>
      </w:r>
      <w:proofErr w:type="spellStart"/>
      <w:r w:rsidRPr="005F2809">
        <w:rPr>
          <w:rFonts w:ascii="Times New Roman" w:hAnsi="Times New Roman" w:cs="Times New Roman"/>
          <w:sz w:val="24"/>
          <w:szCs w:val="24"/>
        </w:rPr>
        <w:t>politics</w:t>
      </w:r>
      <w:proofErr w:type="spellEnd"/>
      <w:r w:rsidRPr="005F2809">
        <w:rPr>
          <w:rFonts w:ascii="Times New Roman" w:hAnsi="Times New Roman" w:cs="Times New Roman"/>
          <w:sz w:val="24"/>
          <w:szCs w:val="24"/>
        </w:rPr>
        <w:t xml:space="preserve"> </w:t>
      </w:r>
      <w:proofErr w:type="spellStart"/>
      <w:r w:rsidRPr="005F2809">
        <w:rPr>
          <w:rFonts w:ascii="Times New Roman" w:hAnsi="Times New Roman" w:cs="Times New Roman"/>
          <w:sz w:val="24"/>
          <w:szCs w:val="24"/>
        </w:rPr>
        <w:t>with</w:t>
      </w:r>
      <w:proofErr w:type="spellEnd"/>
      <w:r w:rsidRPr="005F2809">
        <w:rPr>
          <w:rFonts w:ascii="Times New Roman" w:hAnsi="Times New Roman" w:cs="Times New Roman"/>
          <w:sz w:val="24"/>
          <w:szCs w:val="24"/>
        </w:rPr>
        <w:t xml:space="preserve"> </w:t>
      </w:r>
      <w:proofErr w:type="spellStart"/>
      <w:r w:rsidRPr="005F2809">
        <w:rPr>
          <w:rFonts w:ascii="Times New Roman" w:hAnsi="Times New Roman" w:cs="Times New Roman"/>
          <w:sz w:val="24"/>
          <w:szCs w:val="24"/>
        </w:rPr>
        <w:t>evidence</w:t>
      </w:r>
      <w:proofErr w:type="spellEnd"/>
      <w:r w:rsidRPr="005F2809">
        <w:rPr>
          <w:rFonts w:ascii="Times New Roman" w:hAnsi="Times New Roman" w:cs="Times New Roman"/>
          <w:sz w:val="24"/>
          <w:szCs w:val="24"/>
        </w:rPr>
        <w:t xml:space="preserve"> </w:t>
      </w:r>
      <w:proofErr w:type="spellStart"/>
      <w:r w:rsidRPr="005F2809">
        <w:rPr>
          <w:rFonts w:ascii="Times New Roman" w:hAnsi="Times New Roman" w:cs="Times New Roman"/>
          <w:sz w:val="24"/>
          <w:szCs w:val="24"/>
        </w:rPr>
        <w:t>from</w:t>
      </w:r>
      <w:proofErr w:type="spellEnd"/>
      <w:r w:rsidRPr="005F2809">
        <w:rPr>
          <w:rFonts w:ascii="Times New Roman" w:hAnsi="Times New Roman" w:cs="Times New Roman"/>
          <w:sz w:val="24"/>
          <w:szCs w:val="24"/>
        </w:rPr>
        <w:t xml:space="preserve"> Argentina”. </w:t>
      </w:r>
      <w:r w:rsidR="00632005" w:rsidRPr="00B60F59">
        <w:rPr>
          <w:rFonts w:ascii="Times New Roman" w:hAnsi="Times New Roman" w:cs="Times New Roman"/>
          <w:sz w:val="24"/>
          <w:szCs w:val="24"/>
        </w:rPr>
        <w:t xml:space="preserve">American </w:t>
      </w:r>
      <w:proofErr w:type="spellStart"/>
      <w:r w:rsidR="00632005" w:rsidRPr="00B60F59">
        <w:rPr>
          <w:rFonts w:ascii="Times New Roman" w:hAnsi="Times New Roman" w:cs="Times New Roman"/>
          <w:sz w:val="24"/>
          <w:szCs w:val="24"/>
        </w:rPr>
        <w:t>Political</w:t>
      </w:r>
      <w:proofErr w:type="spellEnd"/>
      <w:r w:rsidR="00632005" w:rsidRPr="00B60F59">
        <w:rPr>
          <w:rFonts w:ascii="Times New Roman" w:hAnsi="Times New Roman" w:cs="Times New Roman"/>
          <w:sz w:val="24"/>
          <w:szCs w:val="24"/>
        </w:rPr>
        <w:t xml:space="preserve"> </w:t>
      </w:r>
      <w:proofErr w:type="spellStart"/>
      <w:r w:rsidR="00632005" w:rsidRPr="00B60F59">
        <w:rPr>
          <w:rFonts w:ascii="Times New Roman" w:hAnsi="Times New Roman" w:cs="Times New Roman"/>
          <w:sz w:val="24"/>
          <w:szCs w:val="24"/>
        </w:rPr>
        <w:t>Science</w:t>
      </w:r>
      <w:proofErr w:type="spellEnd"/>
      <w:r w:rsidR="00632005" w:rsidRPr="00B60F59">
        <w:rPr>
          <w:rFonts w:ascii="Times New Roman" w:hAnsi="Times New Roman" w:cs="Times New Roman"/>
          <w:sz w:val="24"/>
          <w:szCs w:val="24"/>
        </w:rPr>
        <w:t xml:space="preserve"> </w:t>
      </w:r>
      <w:proofErr w:type="spellStart"/>
      <w:r w:rsidR="00632005" w:rsidRPr="00B60F59">
        <w:rPr>
          <w:rFonts w:ascii="Times New Roman" w:hAnsi="Times New Roman" w:cs="Times New Roman"/>
          <w:sz w:val="24"/>
          <w:szCs w:val="24"/>
        </w:rPr>
        <w:t>Review</w:t>
      </w:r>
      <w:proofErr w:type="spellEnd"/>
      <w:r w:rsidR="00632005" w:rsidRPr="00B60F59">
        <w:rPr>
          <w:rFonts w:ascii="Times New Roman" w:hAnsi="Times New Roman" w:cs="Times New Roman"/>
          <w:sz w:val="24"/>
          <w:szCs w:val="24"/>
        </w:rPr>
        <w:t>, Vol. 99, No. 3 (agosto-noviembre 2005): 315-325.</w:t>
      </w:r>
    </w:p>
    <w:p w14:paraId="670446C9" w14:textId="77777777" w:rsidR="008569AD" w:rsidRDefault="008569AD" w:rsidP="00A20EB3">
      <w:pPr>
        <w:spacing w:line="240" w:lineRule="auto"/>
        <w:ind w:left="709" w:hanging="709"/>
        <w:jc w:val="both"/>
        <w:rPr>
          <w:rFonts w:ascii="Times New Roman" w:hAnsi="Times New Roman" w:cs="Times New Roman"/>
          <w:i/>
          <w:sz w:val="24"/>
          <w:szCs w:val="24"/>
        </w:rPr>
      </w:pPr>
    </w:p>
    <w:p w14:paraId="08ED2EDD" w14:textId="39C5741D" w:rsidR="0036490B" w:rsidRPr="008569AD" w:rsidRDefault="008569AD" w:rsidP="008569AD">
      <w:pPr>
        <w:spacing w:before="240" w:line="240" w:lineRule="auto"/>
        <w:ind w:left="709" w:hanging="709"/>
        <w:jc w:val="both"/>
        <w:rPr>
          <w:rFonts w:ascii="Times New Roman" w:hAnsi="Times New Roman" w:cs="Times New Roman"/>
          <w:i/>
          <w:sz w:val="24"/>
          <w:szCs w:val="24"/>
        </w:rPr>
      </w:pPr>
      <w:r w:rsidRPr="008569AD">
        <w:rPr>
          <w:rFonts w:ascii="Times New Roman" w:hAnsi="Times New Roman" w:cs="Times New Roman"/>
          <w:i/>
          <w:sz w:val="24"/>
          <w:szCs w:val="24"/>
        </w:rPr>
        <w:t>Otras fuentes</w:t>
      </w:r>
    </w:p>
    <w:p w14:paraId="246B34FE" w14:textId="1EDD3D55" w:rsidR="008569AD" w:rsidRPr="008569AD" w:rsidRDefault="008569AD" w:rsidP="008569AD">
      <w:pPr>
        <w:spacing w:before="240" w:line="240" w:lineRule="auto"/>
        <w:ind w:left="709" w:hanging="709"/>
        <w:jc w:val="both"/>
        <w:rPr>
          <w:rFonts w:ascii="Times New Roman" w:hAnsi="Times New Roman" w:cs="Times New Roman"/>
          <w:sz w:val="24"/>
          <w:szCs w:val="24"/>
        </w:rPr>
      </w:pPr>
      <w:r w:rsidRPr="008569AD">
        <w:rPr>
          <w:rFonts w:ascii="Times New Roman" w:hAnsi="Times New Roman" w:cs="Times New Roman"/>
          <w:sz w:val="24"/>
          <w:szCs w:val="24"/>
        </w:rPr>
        <w:t>Auditoría de Inversiones Físicas: 11-0-06100-04-0473 aplicada por la Auditoría Superior de la Federación a la Secretaría de Hacienda y Crédito Público.</w:t>
      </w:r>
      <w:r w:rsidR="004557D3">
        <w:rPr>
          <w:rFonts w:ascii="Times New Roman" w:hAnsi="Times New Roman" w:cs="Times New Roman"/>
          <w:sz w:val="24"/>
          <w:szCs w:val="24"/>
        </w:rPr>
        <w:t xml:space="preserve"> </w:t>
      </w:r>
      <w:hyperlink r:id="rId15" w:history="1">
        <w:r w:rsidR="004557D3" w:rsidRPr="005C2903">
          <w:rPr>
            <w:rStyle w:val="Hipervnculo"/>
            <w:rFonts w:ascii="Times New Roman" w:hAnsi="Times New Roman" w:cs="Times New Roman"/>
            <w:sz w:val="24"/>
            <w:szCs w:val="24"/>
          </w:rPr>
          <w:t>http://www.asf.gob.mx/Trans/Informes/IR2011i/Grupos/Gasto_Federalizado/2011_0473_a.pdf</w:t>
        </w:r>
      </w:hyperlink>
      <w:r w:rsidR="004557D3">
        <w:rPr>
          <w:rFonts w:ascii="Times New Roman" w:hAnsi="Times New Roman" w:cs="Times New Roman"/>
          <w:sz w:val="24"/>
          <w:szCs w:val="24"/>
        </w:rPr>
        <w:t xml:space="preserve"> (Fecha de consulta: 26 de octubre de 2013).</w:t>
      </w:r>
    </w:p>
    <w:p w14:paraId="27ED7C82" w14:textId="77777777" w:rsidR="00B62263" w:rsidRPr="008569AD" w:rsidRDefault="00B62263" w:rsidP="00B62263">
      <w:pPr>
        <w:spacing w:line="240" w:lineRule="auto"/>
        <w:ind w:left="709" w:hanging="709"/>
        <w:jc w:val="both"/>
        <w:rPr>
          <w:rFonts w:ascii="Times New Roman" w:hAnsi="Times New Roman" w:cs="Times New Roman"/>
          <w:sz w:val="24"/>
          <w:szCs w:val="24"/>
        </w:rPr>
      </w:pPr>
      <w:r>
        <w:rPr>
          <w:rFonts w:ascii="Times New Roman" w:hAnsi="Times New Roman" w:cs="Times New Roman"/>
          <w:sz w:val="24"/>
          <w:szCs w:val="24"/>
        </w:rPr>
        <w:t>“</w:t>
      </w:r>
      <w:r w:rsidRPr="008569AD">
        <w:rPr>
          <w:rFonts w:ascii="Times New Roman" w:hAnsi="Times New Roman" w:cs="Times New Roman"/>
          <w:sz w:val="24"/>
          <w:szCs w:val="24"/>
        </w:rPr>
        <w:t>Diagnóstico sobre estructura orgánica, procesos internos y gasto de operación</w:t>
      </w:r>
      <w:r>
        <w:rPr>
          <w:rFonts w:ascii="Times New Roman" w:hAnsi="Times New Roman" w:cs="Times New Roman"/>
          <w:sz w:val="24"/>
          <w:szCs w:val="24"/>
        </w:rPr>
        <w:t xml:space="preserve"> de la SHCP”. </w:t>
      </w:r>
      <w:r w:rsidRPr="00B62263">
        <w:rPr>
          <w:rFonts w:ascii="Times New Roman" w:hAnsi="Times New Roman" w:cs="Times New Roman"/>
          <w:i/>
          <w:sz w:val="24"/>
          <w:szCs w:val="24"/>
        </w:rPr>
        <w:t>Diagnóstico Integral de la APF</w:t>
      </w:r>
      <w:r>
        <w:rPr>
          <w:rFonts w:ascii="Times New Roman" w:hAnsi="Times New Roman" w:cs="Times New Roman"/>
          <w:sz w:val="24"/>
          <w:szCs w:val="24"/>
        </w:rPr>
        <w:t>. CD-ROM, SHCP y SFP, 2013.</w:t>
      </w:r>
    </w:p>
    <w:p w14:paraId="44C1CC35" w14:textId="59C3F973" w:rsidR="0036490B" w:rsidRDefault="0036490B" w:rsidP="0036490B">
      <w:pPr>
        <w:spacing w:line="240" w:lineRule="auto"/>
        <w:ind w:left="709" w:hanging="709"/>
        <w:jc w:val="both"/>
        <w:rPr>
          <w:rFonts w:ascii="Times New Roman" w:hAnsi="Times New Roman" w:cs="Times New Roman"/>
          <w:sz w:val="24"/>
          <w:szCs w:val="24"/>
        </w:rPr>
      </w:pPr>
      <w:r w:rsidRPr="008569AD">
        <w:rPr>
          <w:rFonts w:ascii="Times New Roman" w:hAnsi="Times New Roman" w:cs="Times New Roman"/>
          <w:sz w:val="24"/>
          <w:szCs w:val="24"/>
        </w:rPr>
        <w:t>Entrevista con el Dr. Guillermo Cejudo el 30 de mayo de 2013.</w:t>
      </w:r>
    </w:p>
    <w:p w14:paraId="697D9B8A" w14:textId="08307361" w:rsidR="008569AD" w:rsidRPr="008569AD" w:rsidRDefault="00FC13A4" w:rsidP="008569AD">
      <w:pPr>
        <w:spacing w:line="240" w:lineRule="auto"/>
        <w:ind w:left="709" w:hanging="709"/>
        <w:jc w:val="both"/>
        <w:rPr>
          <w:rFonts w:ascii="Times New Roman" w:hAnsi="Times New Roman" w:cs="Times New Roman"/>
          <w:sz w:val="24"/>
          <w:szCs w:val="24"/>
        </w:rPr>
      </w:pPr>
      <w:r w:rsidRPr="00FC13A4">
        <w:rPr>
          <w:rFonts w:ascii="Times New Roman" w:hAnsi="Times New Roman" w:cs="Times New Roman"/>
          <w:sz w:val="24"/>
          <w:szCs w:val="24"/>
        </w:rPr>
        <w:t>Estructura orgánica operativa de la SHCP</w:t>
      </w:r>
      <w:r>
        <w:rPr>
          <w:rFonts w:ascii="Times New Roman" w:hAnsi="Times New Roman" w:cs="Times New Roman"/>
          <w:i/>
          <w:sz w:val="24"/>
          <w:szCs w:val="24"/>
        </w:rPr>
        <w:t xml:space="preserve">. </w:t>
      </w:r>
      <w:r w:rsidR="008569AD" w:rsidRPr="008569AD">
        <w:rPr>
          <w:rFonts w:ascii="Times New Roman" w:hAnsi="Times New Roman" w:cs="Times New Roman"/>
          <w:sz w:val="24"/>
          <w:szCs w:val="24"/>
        </w:rPr>
        <w:t>Portal de Obligaciones de Transparencia</w:t>
      </w:r>
      <w:r>
        <w:rPr>
          <w:rFonts w:ascii="Times New Roman" w:hAnsi="Times New Roman" w:cs="Times New Roman"/>
          <w:sz w:val="24"/>
          <w:szCs w:val="24"/>
        </w:rPr>
        <w:t xml:space="preserve">. </w:t>
      </w:r>
      <w:hyperlink r:id="rId16" w:history="1">
        <w:r w:rsidRPr="003D7249">
          <w:rPr>
            <w:rStyle w:val="Hipervnculo"/>
            <w:rFonts w:ascii="Times New Roman" w:hAnsi="Times New Roman" w:cs="Times New Roman"/>
            <w:sz w:val="24"/>
            <w:szCs w:val="24"/>
          </w:rPr>
          <w:t>http://portaltransparencia.gob.mx/pot/estructura/showOrganigrama.do?method=showOrganigrama&amp;_idDependencia=6</w:t>
        </w:r>
      </w:hyperlink>
      <w:r>
        <w:rPr>
          <w:rFonts w:ascii="Times New Roman" w:hAnsi="Times New Roman" w:cs="Times New Roman"/>
          <w:sz w:val="24"/>
          <w:szCs w:val="24"/>
        </w:rPr>
        <w:t xml:space="preserve"> (Fecha de consulta: 3 de enero de 2014)</w:t>
      </w:r>
      <w:r w:rsidR="00B62263">
        <w:rPr>
          <w:rFonts w:ascii="Times New Roman" w:hAnsi="Times New Roman" w:cs="Times New Roman"/>
          <w:sz w:val="24"/>
          <w:szCs w:val="24"/>
        </w:rPr>
        <w:t>.</w:t>
      </w:r>
    </w:p>
    <w:p w14:paraId="353468FF" w14:textId="22D5C97B" w:rsidR="008569AD" w:rsidRDefault="008569AD" w:rsidP="008569AD">
      <w:pPr>
        <w:spacing w:line="240" w:lineRule="auto"/>
        <w:ind w:left="709" w:hanging="709"/>
        <w:jc w:val="both"/>
        <w:rPr>
          <w:rFonts w:ascii="Times New Roman" w:hAnsi="Times New Roman" w:cs="Times New Roman"/>
          <w:sz w:val="24"/>
          <w:szCs w:val="24"/>
        </w:rPr>
      </w:pPr>
      <w:r w:rsidRPr="008569AD">
        <w:rPr>
          <w:rFonts w:ascii="Times New Roman" w:hAnsi="Times New Roman" w:cs="Times New Roman"/>
          <w:sz w:val="24"/>
          <w:szCs w:val="24"/>
        </w:rPr>
        <w:t>Manual de organización general de la SHCP</w:t>
      </w:r>
      <w:r w:rsidR="00B62263">
        <w:rPr>
          <w:rFonts w:ascii="Times New Roman" w:hAnsi="Times New Roman" w:cs="Times New Roman"/>
          <w:sz w:val="24"/>
          <w:szCs w:val="24"/>
        </w:rPr>
        <w:t>. Fecha de publicación en el DOF: 8 de marzo de 2013.</w:t>
      </w:r>
    </w:p>
    <w:p w14:paraId="63CFC2E6" w14:textId="1B67AA7A" w:rsidR="008D7CAD" w:rsidRDefault="008D7CAD" w:rsidP="008D7CAD">
      <w:pPr>
        <w:spacing w:line="240" w:lineRule="auto"/>
        <w:ind w:left="709" w:hanging="709"/>
        <w:jc w:val="both"/>
        <w:rPr>
          <w:rFonts w:ascii="Times New Roman" w:hAnsi="Times New Roman" w:cs="Times New Roman"/>
          <w:sz w:val="24"/>
          <w:szCs w:val="24"/>
        </w:rPr>
      </w:pPr>
      <w:r w:rsidRPr="008D7CAD">
        <w:rPr>
          <w:rFonts w:ascii="Times New Roman" w:hAnsi="Times New Roman" w:cs="Times New Roman"/>
          <w:sz w:val="24"/>
          <w:szCs w:val="24"/>
        </w:rPr>
        <w:t>Reglamento Interior de la SHCP.</w:t>
      </w:r>
      <w:r>
        <w:rPr>
          <w:rFonts w:ascii="Times New Roman" w:hAnsi="Times New Roman" w:cs="Times New Roman"/>
          <w:sz w:val="24"/>
          <w:szCs w:val="24"/>
        </w:rPr>
        <w:t xml:space="preserve"> Portal de Obligaciones de Transparencia. </w:t>
      </w:r>
      <w:hyperlink r:id="rId17" w:history="1">
        <w:r w:rsidRPr="005C2903">
          <w:rPr>
            <w:rStyle w:val="Hipervnculo"/>
            <w:rFonts w:ascii="Times New Roman" w:hAnsi="Times New Roman" w:cs="Times New Roman"/>
            <w:sz w:val="24"/>
            <w:szCs w:val="24"/>
          </w:rPr>
          <w:t>http://portaltransparencia.gob.mx/pot/marcoNormativo/consultar.do?method=consultar&amp;idMarcoNormativo=83&amp;idDependencia=6&amp;_idDependencia=6</w:t>
        </w:r>
      </w:hyperlink>
      <w:r>
        <w:rPr>
          <w:rFonts w:ascii="Times New Roman" w:hAnsi="Times New Roman" w:cs="Times New Roman"/>
          <w:sz w:val="24"/>
          <w:szCs w:val="24"/>
        </w:rPr>
        <w:t xml:space="preserve"> (Fecha de consulta: 3 de enero de 2014).</w:t>
      </w:r>
    </w:p>
    <w:p w14:paraId="4AD85D3C" w14:textId="77777777" w:rsidR="008569AD" w:rsidRPr="00B60F59" w:rsidRDefault="008569AD" w:rsidP="0036490B">
      <w:pPr>
        <w:spacing w:line="240" w:lineRule="auto"/>
        <w:ind w:left="709" w:hanging="709"/>
        <w:jc w:val="both"/>
        <w:rPr>
          <w:rFonts w:ascii="Times New Roman" w:hAnsi="Times New Roman" w:cs="Times New Roman"/>
          <w:sz w:val="24"/>
          <w:szCs w:val="24"/>
        </w:rPr>
      </w:pPr>
    </w:p>
    <w:p w14:paraId="1009B270" w14:textId="77777777" w:rsidR="00E0511C" w:rsidRPr="00B60F59" w:rsidRDefault="00632005" w:rsidP="00A20EB3">
      <w:pPr>
        <w:spacing w:line="240" w:lineRule="auto"/>
        <w:ind w:left="709" w:hanging="709"/>
        <w:jc w:val="both"/>
        <w:rPr>
          <w:rFonts w:ascii="Times New Roman" w:hAnsi="Times New Roman" w:cs="Times New Roman"/>
          <w:i/>
          <w:sz w:val="24"/>
          <w:szCs w:val="24"/>
        </w:rPr>
      </w:pPr>
      <w:r w:rsidRPr="00B60F59">
        <w:rPr>
          <w:rFonts w:ascii="Times New Roman" w:hAnsi="Times New Roman" w:cs="Times New Roman"/>
          <w:i/>
          <w:sz w:val="24"/>
          <w:szCs w:val="24"/>
        </w:rPr>
        <w:t>Normatividad</w:t>
      </w:r>
    </w:p>
    <w:p w14:paraId="5F0F3AFE" w14:textId="77777777" w:rsidR="00E0511C" w:rsidRDefault="00632005" w:rsidP="00A20EB3">
      <w:pPr>
        <w:spacing w:line="240" w:lineRule="auto"/>
        <w:ind w:left="709" w:hanging="709"/>
        <w:jc w:val="both"/>
        <w:rPr>
          <w:rFonts w:ascii="Times New Roman" w:hAnsi="Times New Roman" w:cs="Times New Roman"/>
          <w:sz w:val="24"/>
          <w:szCs w:val="24"/>
        </w:rPr>
      </w:pPr>
      <w:r w:rsidRPr="00B60F59">
        <w:rPr>
          <w:rFonts w:ascii="Times New Roman" w:hAnsi="Times New Roman" w:cs="Times New Roman"/>
          <w:sz w:val="24"/>
          <w:szCs w:val="24"/>
        </w:rPr>
        <w:t>Lineamientos para la aplicación, rendición de cuentas y transparencia de los programas y proyectos de inversión apoyados con los recursos del Fondo Regional (FONREGION)</w:t>
      </w:r>
      <w:r w:rsidR="00E0511C">
        <w:rPr>
          <w:rFonts w:ascii="Times New Roman" w:hAnsi="Times New Roman" w:cs="Times New Roman"/>
          <w:sz w:val="24"/>
          <w:szCs w:val="24"/>
        </w:rPr>
        <w:t>, publicados en el Diario Oficial de la Federación el 20 de julio de 2007.</w:t>
      </w:r>
    </w:p>
    <w:p w14:paraId="5A81166D" w14:textId="3FB6329C" w:rsidR="00B62263" w:rsidRDefault="00B62263" w:rsidP="00B62263">
      <w:pPr>
        <w:spacing w:line="240" w:lineRule="auto"/>
        <w:ind w:left="709" w:hanging="709"/>
        <w:jc w:val="both"/>
        <w:rPr>
          <w:rFonts w:ascii="Times New Roman" w:hAnsi="Times New Roman" w:cs="Times New Roman"/>
          <w:sz w:val="24"/>
          <w:szCs w:val="24"/>
        </w:rPr>
      </w:pPr>
      <w:r w:rsidRPr="00B60F59">
        <w:rPr>
          <w:rFonts w:ascii="Times New Roman" w:hAnsi="Times New Roman" w:cs="Times New Roman"/>
          <w:sz w:val="24"/>
          <w:szCs w:val="24"/>
        </w:rPr>
        <w:t>Lineamientos para la aplicación</w:t>
      </w:r>
      <w:r>
        <w:rPr>
          <w:rFonts w:ascii="Times New Roman" w:hAnsi="Times New Roman" w:cs="Times New Roman"/>
          <w:sz w:val="24"/>
          <w:szCs w:val="24"/>
        </w:rPr>
        <w:t xml:space="preserve"> de</w:t>
      </w:r>
      <w:r w:rsidRPr="00B60F59">
        <w:rPr>
          <w:rFonts w:ascii="Times New Roman" w:hAnsi="Times New Roman" w:cs="Times New Roman"/>
          <w:sz w:val="24"/>
          <w:szCs w:val="24"/>
        </w:rPr>
        <w:t xml:space="preserve"> los recursos del Fondo Regional (FONREGION)</w:t>
      </w:r>
      <w:r>
        <w:rPr>
          <w:rFonts w:ascii="Times New Roman" w:hAnsi="Times New Roman" w:cs="Times New Roman"/>
          <w:sz w:val="24"/>
          <w:szCs w:val="24"/>
        </w:rPr>
        <w:t>, publicados en el Diario Oficial de la Federación el 15 de febrero de 2013.</w:t>
      </w:r>
    </w:p>
    <w:p w14:paraId="140D5B0F" w14:textId="261390DB" w:rsidR="005F20B6" w:rsidRDefault="005F20B6" w:rsidP="00A20EB3">
      <w:pPr>
        <w:spacing w:line="240" w:lineRule="auto"/>
        <w:ind w:left="709" w:hanging="709"/>
        <w:jc w:val="both"/>
        <w:rPr>
          <w:rFonts w:ascii="Times New Roman" w:hAnsi="Times New Roman" w:cs="Times New Roman"/>
          <w:sz w:val="24"/>
          <w:szCs w:val="24"/>
        </w:rPr>
      </w:pPr>
      <w:r w:rsidRPr="008569AD">
        <w:rPr>
          <w:rFonts w:ascii="Times New Roman" w:hAnsi="Times New Roman" w:cs="Times New Roman"/>
          <w:sz w:val="24"/>
          <w:szCs w:val="24"/>
        </w:rPr>
        <w:t>Decretos de Presupuesto de Egresos para la Federación</w:t>
      </w:r>
      <w:r>
        <w:rPr>
          <w:rFonts w:ascii="Times New Roman" w:hAnsi="Times New Roman" w:cs="Times New Roman"/>
          <w:sz w:val="24"/>
          <w:szCs w:val="24"/>
        </w:rPr>
        <w:t xml:space="preserve"> </w:t>
      </w:r>
      <w:r w:rsidR="008569AD">
        <w:rPr>
          <w:rFonts w:ascii="Times New Roman" w:hAnsi="Times New Roman" w:cs="Times New Roman"/>
          <w:sz w:val="24"/>
          <w:szCs w:val="24"/>
        </w:rPr>
        <w:t>de 2007 a 2012</w:t>
      </w:r>
      <w:r w:rsidR="00B62263">
        <w:rPr>
          <w:rFonts w:ascii="Times New Roman" w:hAnsi="Times New Roman" w:cs="Times New Roman"/>
          <w:sz w:val="24"/>
          <w:szCs w:val="24"/>
        </w:rPr>
        <w:t>.</w:t>
      </w:r>
    </w:p>
    <w:p w14:paraId="05F6CF44" w14:textId="57A8EF68" w:rsidR="000257C8" w:rsidRDefault="008569AD" w:rsidP="00A20EB3">
      <w:pPr>
        <w:spacing w:line="240" w:lineRule="auto"/>
        <w:ind w:left="709" w:hanging="709"/>
        <w:jc w:val="both"/>
        <w:rPr>
          <w:rFonts w:ascii="Times New Roman" w:hAnsi="Times New Roman" w:cs="Times New Roman"/>
          <w:sz w:val="24"/>
          <w:szCs w:val="24"/>
        </w:rPr>
      </w:pPr>
      <w:r>
        <w:rPr>
          <w:rFonts w:ascii="Times New Roman" w:hAnsi="Times New Roman" w:cs="Times New Roman"/>
          <w:sz w:val="24"/>
          <w:szCs w:val="24"/>
        </w:rPr>
        <w:t>Decretos de Presupuesto de Egresos E</w:t>
      </w:r>
      <w:r w:rsidR="000257C8">
        <w:rPr>
          <w:rFonts w:ascii="Times New Roman" w:hAnsi="Times New Roman" w:cs="Times New Roman"/>
          <w:sz w:val="24"/>
          <w:szCs w:val="24"/>
        </w:rPr>
        <w:t>statales</w:t>
      </w:r>
      <w:r>
        <w:rPr>
          <w:rFonts w:ascii="Times New Roman" w:hAnsi="Times New Roman" w:cs="Times New Roman"/>
          <w:sz w:val="24"/>
          <w:szCs w:val="24"/>
        </w:rPr>
        <w:t xml:space="preserve"> 2012 para Chiapas, Guerrero y Oaxaca</w:t>
      </w:r>
      <w:r w:rsidR="00B62263">
        <w:rPr>
          <w:rFonts w:ascii="Times New Roman" w:hAnsi="Times New Roman" w:cs="Times New Roman"/>
          <w:sz w:val="24"/>
          <w:szCs w:val="24"/>
        </w:rPr>
        <w:t>.</w:t>
      </w:r>
    </w:p>
    <w:p w14:paraId="36E1C7A5" w14:textId="4C6329DD" w:rsidR="005F20B6" w:rsidRPr="008569AD" w:rsidRDefault="005F20B6" w:rsidP="00A20EB3">
      <w:pPr>
        <w:spacing w:line="240" w:lineRule="auto"/>
        <w:ind w:left="709" w:hanging="709"/>
        <w:jc w:val="both"/>
        <w:rPr>
          <w:rFonts w:ascii="Times New Roman" w:hAnsi="Times New Roman" w:cs="Times New Roman"/>
          <w:i/>
          <w:sz w:val="24"/>
          <w:szCs w:val="24"/>
        </w:rPr>
      </w:pPr>
      <w:r w:rsidRPr="008569AD">
        <w:rPr>
          <w:rFonts w:ascii="Times New Roman" w:hAnsi="Times New Roman" w:cs="Times New Roman"/>
          <w:i/>
          <w:sz w:val="24"/>
          <w:szCs w:val="24"/>
        </w:rPr>
        <w:lastRenderedPageBreak/>
        <w:t>Datos</w:t>
      </w:r>
    </w:p>
    <w:p w14:paraId="0EB4E288" w14:textId="45968DF8" w:rsidR="005F20B6" w:rsidRPr="008569AD" w:rsidRDefault="008569AD" w:rsidP="00A20EB3">
      <w:pPr>
        <w:spacing w:line="240" w:lineRule="auto"/>
        <w:ind w:left="709" w:hanging="709"/>
        <w:jc w:val="both"/>
        <w:rPr>
          <w:rFonts w:ascii="Times New Roman" w:hAnsi="Times New Roman" w:cs="Times New Roman"/>
          <w:sz w:val="24"/>
          <w:szCs w:val="24"/>
        </w:rPr>
      </w:pPr>
      <w:r w:rsidRPr="008569AD">
        <w:rPr>
          <w:rFonts w:ascii="Times New Roman" w:hAnsi="Times New Roman" w:cs="Times New Roman"/>
          <w:sz w:val="24"/>
          <w:szCs w:val="24"/>
        </w:rPr>
        <w:t>Agenci</w:t>
      </w:r>
      <w:r w:rsidR="00B62263">
        <w:rPr>
          <w:rFonts w:ascii="Times New Roman" w:hAnsi="Times New Roman" w:cs="Times New Roman"/>
          <w:sz w:val="24"/>
          <w:szCs w:val="24"/>
        </w:rPr>
        <w:t>a Central de Inteligencia (CIA).</w:t>
      </w:r>
      <w:r w:rsidRPr="008569AD">
        <w:rPr>
          <w:rFonts w:ascii="Times New Roman" w:hAnsi="Times New Roman" w:cs="Times New Roman"/>
          <w:sz w:val="24"/>
          <w:szCs w:val="24"/>
        </w:rPr>
        <w:t xml:space="preserve"> </w:t>
      </w:r>
      <w:proofErr w:type="spellStart"/>
      <w:r w:rsidR="005F20B6" w:rsidRPr="00B62263">
        <w:rPr>
          <w:rFonts w:ascii="Times New Roman" w:hAnsi="Times New Roman" w:cs="Times New Roman"/>
          <w:i/>
          <w:sz w:val="24"/>
          <w:szCs w:val="24"/>
        </w:rPr>
        <w:t>The</w:t>
      </w:r>
      <w:proofErr w:type="spellEnd"/>
      <w:r w:rsidR="005F20B6" w:rsidRPr="00B62263">
        <w:rPr>
          <w:rFonts w:ascii="Times New Roman" w:hAnsi="Times New Roman" w:cs="Times New Roman"/>
          <w:i/>
          <w:sz w:val="24"/>
          <w:szCs w:val="24"/>
        </w:rPr>
        <w:t xml:space="preserve"> </w:t>
      </w:r>
      <w:proofErr w:type="spellStart"/>
      <w:r w:rsidR="005F20B6" w:rsidRPr="00B62263">
        <w:rPr>
          <w:rFonts w:ascii="Times New Roman" w:hAnsi="Times New Roman" w:cs="Times New Roman"/>
          <w:i/>
          <w:sz w:val="24"/>
          <w:szCs w:val="24"/>
        </w:rPr>
        <w:t>World</w:t>
      </w:r>
      <w:proofErr w:type="spellEnd"/>
      <w:r w:rsidR="005F20B6" w:rsidRPr="00B62263">
        <w:rPr>
          <w:rFonts w:ascii="Times New Roman" w:hAnsi="Times New Roman" w:cs="Times New Roman"/>
          <w:i/>
          <w:sz w:val="24"/>
          <w:szCs w:val="24"/>
        </w:rPr>
        <w:t xml:space="preserve"> </w:t>
      </w:r>
      <w:proofErr w:type="spellStart"/>
      <w:r w:rsidR="005F20B6" w:rsidRPr="00B62263">
        <w:rPr>
          <w:rFonts w:ascii="Times New Roman" w:hAnsi="Times New Roman" w:cs="Times New Roman"/>
          <w:i/>
          <w:sz w:val="24"/>
          <w:szCs w:val="24"/>
        </w:rPr>
        <w:t>Factbook</w:t>
      </w:r>
      <w:proofErr w:type="spellEnd"/>
      <w:r w:rsidR="00B62263">
        <w:rPr>
          <w:rFonts w:ascii="Times New Roman" w:hAnsi="Times New Roman" w:cs="Times New Roman"/>
          <w:i/>
          <w:sz w:val="24"/>
          <w:szCs w:val="24"/>
        </w:rPr>
        <w:t>.</w:t>
      </w:r>
      <w:r w:rsidR="005F20B6" w:rsidRPr="008569AD">
        <w:rPr>
          <w:rFonts w:ascii="Times New Roman" w:hAnsi="Times New Roman" w:cs="Times New Roman"/>
          <w:sz w:val="24"/>
          <w:szCs w:val="24"/>
        </w:rPr>
        <w:t xml:space="preserve"> </w:t>
      </w:r>
      <w:hyperlink r:id="rId18" w:history="1">
        <w:r w:rsidR="005F20B6" w:rsidRPr="008569AD">
          <w:rPr>
            <w:rFonts w:ascii="Times New Roman" w:hAnsi="Times New Roman" w:cs="Times New Roman"/>
            <w:sz w:val="24"/>
            <w:szCs w:val="24"/>
          </w:rPr>
          <w:t>https://www.cia.gov/library/publications/the-world-factbook/rankorder/2172rank.html</w:t>
        </w:r>
      </w:hyperlink>
      <w:r w:rsidR="00B62263">
        <w:rPr>
          <w:rFonts w:ascii="Times New Roman" w:hAnsi="Times New Roman" w:cs="Times New Roman"/>
          <w:sz w:val="24"/>
          <w:szCs w:val="24"/>
        </w:rPr>
        <w:t xml:space="preserve"> (Fecha de consulta: 16 de noviembre de 2013).</w:t>
      </w:r>
    </w:p>
    <w:p w14:paraId="3874D180" w14:textId="1EB15340" w:rsidR="005F20B6" w:rsidRPr="008569AD" w:rsidRDefault="005F20B6" w:rsidP="004557D3">
      <w:pPr>
        <w:pStyle w:val="Notasdepie"/>
        <w:spacing w:after="240"/>
        <w:ind w:left="709" w:hanging="709"/>
        <w:rPr>
          <w:sz w:val="24"/>
          <w:szCs w:val="24"/>
        </w:rPr>
      </w:pPr>
      <w:r w:rsidRPr="008569AD">
        <w:rPr>
          <w:sz w:val="24"/>
          <w:szCs w:val="24"/>
        </w:rPr>
        <w:t xml:space="preserve">INEGI, Encuesta Nacional de Ingresos y Gastos de los Hogares (ENIGH) 2012, Boletín de Prensa </w:t>
      </w:r>
      <w:proofErr w:type="spellStart"/>
      <w:r w:rsidRPr="008569AD">
        <w:rPr>
          <w:sz w:val="24"/>
          <w:szCs w:val="24"/>
        </w:rPr>
        <w:t>Núm</w:t>
      </w:r>
      <w:proofErr w:type="spellEnd"/>
      <w:r w:rsidRPr="008569AD">
        <w:rPr>
          <w:sz w:val="24"/>
          <w:szCs w:val="24"/>
        </w:rPr>
        <w:t>, 278/13 (16 de julio de 2013).</w:t>
      </w:r>
    </w:p>
    <w:p w14:paraId="37708219" w14:textId="7E949B37" w:rsidR="005F20B6" w:rsidRPr="008569AD" w:rsidRDefault="005F20B6" w:rsidP="004557D3">
      <w:pPr>
        <w:spacing w:after="240" w:line="240" w:lineRule="auto"/>
        <w:ind w:left="709" w:hanging="709"/>
        <w:jc w:val="both"/>
        <w:rPr>
          <w:rFonts w:ascii="Times New Roman" w:hAnsi="Times New Roman" w:cs="Times New Roman"/>
          <w:sz w:val="24"/>
          <w:szCs w:val="24"/>
        </w:rPr>
      </w:pPr>
      <w:r w:rsidRPr="008569AD">
        <w:rPr>
          <w:rFonts w:ascii="Times New Roman" w:hAnsi="Times New Roman" w:cs="Times New Roman"/>
          <w:sz w:val="24"/>
          <w:szCs w:val="24"/>
        </w:rPr>
        <w:t>Presupuesto Ciudadano 2013. Unidad de Evaluación del Desempeño de la Secretaría de Hacienda y Crédito Púb</w:t>
      </w:r>
      <w:r w:rsidR="00B62263">
        <w:rPr>
          <w:rFonts w:ascii="Times New Roman" w:hAnsi="Times New Roman" w:cs="Times New Roman"/>
          <w:sz w:val="24"/>
          <w:szCs w:val="24"/>
        </w:rPr>
        <w:t xml:space="preserve">lico, 2013. </w:t>
      </w:r>
    </w:p>
    <w:p w14:paraId="1AACF136" w14:textId="711F7503" w:rsidR="0036490B" w:rsidRPr="008569AD" w:rsidRDefault="004557D3" w:rsidP="008569AD">
      <w:pPr>
        <w:pStyle w:val="Notasdepie"/>
        <w:ind w:left="709" w:hanging="709"/>
        <w:rPr>
          <w:sz w:val="24"/>
          <w:szCs w:val="24"/>
        </w:rPr>
      </w:pPr>
      <w:r w:rsidRPr="004557D3">
        <w:rPr>
          <w:sz w:val="24"/>
          <w:szCs w:val="24"/>
        </w:rPr>
        <w:t xml:space="preserve">Distribución de la población según categoría rural, mixta o urbana por municipio, 2010. </w:t>
      </w:r>
      <w:hyperlink r:id="rId19" w:history="1">
        <w:r w:rsidR="0036490B" w:rsidRPr="008569AD">
          <w:rPr>
            <w:sz w:val="24"/>
            <w:szCs w:val="24"/>
          </w:rPr>
          <w:t>http://www2.inecc.gob.mx/emapas/repmex_catrmu10.html</w:t>
        </w:r>
      </w:hyperlink>
      <w:r w:rsidR="008569AD">
        <w:rPr>
          <w:sz w:val="24"/>
          <w:szCs w:val="24"/>
        </w:rPr>
        <w:t>.</w:t>
      </w:r>
      <w:r w:rsidR="0036490B" w:rsidRPr="008569AD">
        <w:rPr>
          <w:sz w:val="24"/>
          <w:szCs w:val="24"/>
        </w:rPr>
        <w:t xml:space="preserve"> </w:t>
      </w:r>
      <w:r w:rsidR="00B62263">
        <w:rPr>
          <w:sz w:val="24"/>
          <w:szCs w:val="24"/>
        </w:rPr>
        <w:t>(</w:t>
      </w:r>
      <w:r w:rsidR="0036490B" w:rsidRPr="008569AD">
        <w:rPr>
          <w:sz w:val="24"/>
          <w:szCs w:val="24"/>
        </w:rPr>
        <w:t>Fecha de consulta: 8 de junio de 2013).</w:t>
      </w:r>
    </w:p>
    <w:p w14:paraId="645C40BF" w14:textId="77777777" w:rsidR="0036490B" w:rsidRPr="00B60F59" w:rsidRDefault="0036490B" w:rsidP="00A20EB3">
      <w:pPr>
        <w:spacing w:line="240" w:lineRule="auto"/>
        <w:ind w:left="709" w:hanging="709"/>
        <w:jc w:val="both"/>
        <w:rPr>
          <w:rFonts w:ascii="Times New Roman" w:hAnsi="Times New Roman" w:cs="Times New Roman"/>
          <w:sz w:val="24"/>
          <w:szCs w:val="24"/>
        </w:rPr>
      </w:pPr>
    </w:p>
    <w:sectPr w:rsidR="0036490B" w:rsidRPr="00B60F59" w:rsidSect="00546A50">
      <w:footerReference w:type="default" r:id="rId20"/>
      <w:pgSz w:w="12240" w:h="15840"/>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C585CA" w14:textId="77777777" w:rsidR="00481210" w:rsidRDefault="00481210" w:rsidP="00D935F7">
      <w:pPr>
        <w:spacing w:after="0" w:line="240" w:lineRule="auto"/>
      </w:pPr>
      <w:r>
        <w:separator/>
      </w:r>
    </w:p>
  </w:endnote>
  <w:endnote w:type="continuationSeparator" w:id="0">
    <w:p w14:paraId="249D8388" w14:textId="77777777" w:rsidR="00481210" w:rsidRDefault="00481210" w:rsidP="00D93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auto"/>
    <w:pitch w:val="variable"/>
    <w:sig w:usb0="00000000" w:usb1="5000A1FF" w:usb2="00000000" w:usb3="00000000" w:csb0="000001BF" w:csb1="00000000"/>
  </w:font>
  <w:font w:name="Code">
    <w:altName w:val="Code"/>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2516544"/>
      <w:docPartObj>
        <w:docPartGallery w:val="Page Numbers (Bottom of Page)"/>
        <w:docPartUnique/>
      </w:docPartObj>
    </w:sdtPr>
    <w:sdtEndPr>
      <w:rPr>
        <w:rFonts w:ascii="Times New Roman" w:hAnsi="Times New Roman" w:cs="Times New Roman"/>
        <w:sz w:val="24"/>
        <w:szCs w:val="24"/>
      </w:rPr>
    </w:sdtEndPr>
    <w:sdtContent>
      <w:p w14:paraId="26CFC04A" w14:textId="77777777" w:rsidR="00481210" w:rsidRPr="00DC7E84" w:rsidRDefault="00481210">
        <w:pPr>
          <w:pStyle w:val="Piedepgina"/>
          <w:jc w:val="right"/>
          <w:rPr>
            <w:rFonts w:ascii="Times New Roman" w:hAnsi="Times New Roman" w:cs="Times New Roman"/>
            <w:sz w:val="24"/>
            <w:szCs w:val="24"/>
          </w:rPr>
        </w:pPr>
        <w:r>
          <w:fldChar w:fldCharType="begin"/>
        </w:r>
        <w:r>
          <w:instrText>PAGE   \* MERGEFORMAT</w:instrText>
        </w:r>
        <w:r>
          <w:fldChar w:fldCharType="separate"/>
        </w:r>
        <w:r w:rsidR="00A86478" w:rsidRPr="00A86478">
          <w:rPr>
            <w:rFonts w:ascii="Times New Roman" w:hAnsi="Times New Roman" w:cs="Times New Roman"/>
            <w:noProof/>
            <w:sz w:val="24"/>
            <w:szCs w:val="24"/>
            <w:lang w:val="es-ES"/>
          </w:rPr>
          <w:t>4</w:t>
        </w:r>
        <w:r>
          <w:rPr>
            <w:rFonts w:ascii="Times New Roman" w:hAnsi="Times New Roman" w:cs="Times New Roman"/>
            <w:noProof/>
            <w:sz w:val="24"/>
            <w:szCs w:val="24"/>
            <w:lang w:val="es-ES"/>
          </w:rPr>
          <w:fldChar w:fldCharType="end"/>
        </w:r>
      </w:p>
    </w:sdtContent>
  </w:sdt>
  <w:p w14:paraId="0B10AF14" w14:textId="77777777" w:rsidR="00481210" w:rsidRPr="00D47C46" w:rsidRDefault="00481210">
    <w:pPr>
      <w:pStyle w:val="Piedepgina"/>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61DC5B" w14:textId="77777777" w:rsidR="00481210" w:rsidRDefault="00481210" w:rsidP="00D935F7">
      <w:pPr>
        <w:spacing w:after="0" w:line="240" w:lineRule="auto"/>
      </w:pPr>
      <w:r>
        <w:separator/>
      </w:r>
    </w:p>
  </w:footnote>
  <w:footnote w:type="continuationSeparator" w:id="0">
    <w:p w14:paraId="62CC1B84" w14:textId="77777777" w:rsidR="00481210" w:rsidRDefault="00481210" w:rsidP="00D935F7">
      <w:pPr>
        <w:spacing w:after="0" w:line="240" w:lineRule="auto"/>
      </w:pPr>
      <w:r>
        <w:continuationSeparator/>
      </w:r>
    </w:p>
  </w:footnote>
  <w:footnote w:id="1">
    <w:p w14:paraId="237D52C1" w14:textId="77777777" w:rsidR="00481210" w:rsidRPr="00A30DA9" w:rsidRDefault="00481210" w:rsidP="00A30DA9">
      <w:pPr>
        <w:pStyle w:val="Notasdepie"/>
      </w:pPr>
      <w:r w:rsidRPr="00A30DA9">
        <w:rPr>
          <w:rStyle w:val="Refdenotaalpie"/>
        </w:rPr>
        <w:footnoteRef/>
      </w:r>
      <w:r w:rsidRPr="00A30DA9">
        <w:t xml:space="preserve"> Alexander von Humboldt, Ensayo político sobre el reino de la Nueva España (París: Rosa, 1822), 196-197.</w:t>
      </w:r>
    </w:p>
  </w:footnote>
  <w:footnote w:id="2">
    <w:p w14:paraId="785F16E9" w14:textId="4F316894" w:rsidR="00481210" w:rsidRPr="00945C58" w:rsidRDefault="00481210" w:rsidP="00A30DA9">
      <w:pPr>
        <w:pStyle w:val="Notasdepie"/>
      </w:pPr>
      <w:r w:rsidRPr="00A30DA9">
        <w:rPr>
          <w:rStyle w:val="Refdenotaalpie"/>
        </w:rPr>
        <w:footnoteRef/>
      </w:r>
      <w:r w:rsidRPr="00A30DA9">
        <w:t xml:space="preserve"> Por ejemplo, Robert </w:t>
      </w:r>
      <w:proofErr w:type="spellStart"/>
      <w:r w:rsidRPr="00A30DA9">
        <w:t>Nozick</w:t>
      </w:r>
      <w:proofErr w:type="spellEnd"/>
      <w:r w:rsidRPr="00A30DA9">
        <w:t xml:space="preserve"> argumentaba que la justicia en las asignaciones dependía de los derechos de propiedad históricos; sin embargo, al ser transferencias voluntarias, se podría tener un arreglo con condiciones de desigualdad palpables que no necesariamente serían algo indeseable. Ver Robert </w:t>
      </w:r>
      <w:proofErr w:type="spellStart"/>
      <w:r w:rsidRPr="00A30DA9">
        <w:t>Nozick</w:t>
      </w:r>
      <w:proofErr w:type="spellEnd"/>
      <w:r w:rsidRPr="00A30DA9">
        <w:t>, Anarquía, Estado y utopía (México: Fondo de Cultura Económica, 198</w:t>
      </w:r>
      <w:r>
        <w:t>8).</w:t>
      </w:r>
    </w:p>
  </w:footnote>
  <w:footnote w:id="3">
    <w:p w14:paraId="72FEE745" w14:textId="55E68E5D" w:rsidR="00481210" w:rsidRPr="00B33C08" w:rsidRDefault="00481210" w:rsidP="00A30DA9">
      <w:pPr>
        <w:pStyle w:val="Notasdepie"/>
      </w:pPr>
      <w:r w:rsidRPr="001046DF">
        <w:rPr>
          <w:rStyle w:val="Refdenotaalpie"/>
        </w:rPr>
        <w:footnoteRef/>
      </w:r>
      <w:r w:rsidRPr="001046DF">
        <w:t xml:space="preserve"> En el ranking presentado por la CIA, México ocupa el lugar 25 en términos de desigualdad, tomando como referencia el coeficiente de GINI. </w:t>
      </w:r>
      <w:r w:rsidRPr="00B33C08">
        <w:t xml:space="preserve">Central </w:t>
      </w:r>
      <w:proofErr w:type="spellStart"/>
      <w:r w:rsidRPr="00B33C08">
        <w:t>Intelligence</w:t>
      </w:r>
      <w:proofErr w:type="spellEnd"/>
      <w:r w:rsidRPr="00B33C08">
        <w:t xml:space="preserve"> Agency, </w:t>
      </w:r>
      <w:proofErr w:type="spellStart"/>
      <w:r w:rsidRPr="00B33C08">
        <w:rPr>
          <w:i/>
        </w:rPr>
        <w:t>The</w:t>
      </w:r>
      <w:proofErr w:type="spellEnd"/>
      <w:r w:rsidRPr="00B33C08">
        <w:rPr>
          <w:i/>
        </w:rPr>
        <w:t xml:space="preserve"> </w:t>
      </w:r>
      <w:proofErr w:type="spellStart"/>
      <w:r w:rsidRPr="00B33C08">
        <w:rPr>
          <w:i/>
        </w:rPr>
        <w:t>World</w:t>
      </w:r>
      <w:proofErr w:type="spellEnd"/>
      <w:r w:rsidRPr="00B33C08">
        <w:rPr>
          <w:i/>
        </w:rPr>
        <w:t xml:space="preserve"> </w:t>
      </w:r>
      <w:proofErr w:type="spellStart"/>
      <w:r w:rsidRPr="00B33C08">
        <w:rPr>
          <w:i/>
        </w:rPr>
        <w:t>Factbook</w:t>
      </w:r>
      <w:proofErr w:type="spellEnd"/>
      <w:r w:rsidRPr="00B33C08">
        <w:t xml:space="preserve"> consultado en </w:t>
      </w:r>
      <w:hyperlink r:id="rId1" w:history="1">
        <w:r w:rsidRPr="0074253B">
          <w:rPr>
            <w:rStyle w:val="Hipervnculo"/>
          </w:rPr>
          <w:t>https://www.cia.gov/library/publications/the-world-factbook/rankorder/2172rank.html</w:t>
        </w:r>
      </w:hyperlink>
      <w:r w:rsidRPr="00B33C08">
        <w:t xml:space="preserve"> (Fecha de consulta:</w:t>
      </w:r>
      <w:r>
        <w:t xml:space="preserve"> 16 de noviembre de 2013).</w:t>
      </w:r>
      <w:r w:rsidRPr="00B33C08">
        <w:t xml:space="preserve"> </w:t>
      </w:r>
    </w:p>
    <w:p w14:paraId="37FB415F" w14:textId="53867F67" w:rsidR="00481210" w:rsidRPr="0014546B" w:rsidRDefault="00481210" w:rsidP="00A30DA9">
      <w:pPr>
        <w:pStyle w:val="Notasdepie"/>
      </w:pPr>
      <w:r w:rsidRPr="001046DF">
        <w:rPr>
          <w:rFonts w:eastAsia="Times New Roman"/>
        </w:rPr>
        <w:t>La ú</w:t>
      </w:r>
      <w:r w:rsidRPr="001046DF">
        <w:rPr>
          <w:color w:val="000000"/>
        </w:rPr>
        <w:t>ltima actualización del coeficiente</w:t>
      </w:r>
      <w:r w:rsidRPr="0014546B">
        <w:rPr>
          <w:color w:val="000000"/>
        </w:rPr>
        <w:t xml:space="preserve"> de GINI</w:t>
      </w:r>
      <w:r w:rsidRPr="001046DF">
        <w:rPr>
          <w:color w:val="000000"/>
        </w:rPr>
        <w:t xml:space="preserve"> presentada por INEGI indica que de 2010 a 2012 dicho coeficiente aumentó ligeramente de 0.435 a 0.440. Aunque la diferencia no es significativa, sí es una muestra de que la desigualdad sigue siendo un problema significativo para el país. INEG</w:t>
      </w:r>
      <w:r>
        <w:rPr>
          <w:color w:val="000000"/>
        </w:rPr>
        <w:t>I</w:t>
      </w:r>
      <w:r w:rsidRPr="001046DF">
        <w:rPr>
          <w:color w:val="000000"/>
        </w:rPr>
        <w:t xml:space="preserve">, </w:t>
      </w:r>
      <w:r w:rsidRPr="001046DF">
        <w:rPr>
          <w:i/>
          <w:color w:val="000000"/>
        </w:rPr>
        <w:t>Encuesta Nacional de Ingresos y Gastos de los Hogares (ENIGH) 2012</w:t>
      </w:r>
      <w:r w:rsidRPr="001046DF">
        <w:rPr>
          <w:color w:val="000000"/>
        </w:rPr>
        <w:t xml:space="preserve">, Boletín de Prensa </w:t>
      </w:r>
      <w:proofErr w:type="spellStart"/>
      <w:r w:rsidRPr="001046DF">
        <w:rPr>
          <w:color w:val="000000"/>
        </w:rPr>
        <w:t>Núm</w:t>
      </w:r>
      <w:proofErr w:type="spellEnd"/>
      <w:r w:rsidRPr="001046DF">
        <w:rPr>
          <w:color w:val="000000"/>
        </w:rPr>
        <w:t>, 278/13 (16 de julio de 2013).</w:t>
      </w:r>
    </w:p>
  </w:footnote>
  <w:footnote w:id="4">
    <w:p w14:paraId="3D07A45E" w14:textId="1C35C9A5" w:rsidR="00481210" w:rsidRPr="003D15C9" w:rsidRDefault="00481210" w:rsidP="00A30DA9">
      <w:pPr>
        <w:pStyle w:val="Notasdepie"/>
      </w:pPr>
      <w:r w:rsidRPr="003D15C9">
        <w:rPr>
          <w:rStyle w:val="Refdenotaalpie"/>
        </w:rPr>
        <w:footnoteRef/>
      </w:r>
      <w:r w:rsidRPr="003D15C9">
        <w:t xml:space="preserve"> Alberto Díaz </w:t>
      </w:r>
      <w:proofErr w:type="spellStart"/>
      <w:r w:rsidRPr="003D15C9">
        <w:t>Cayeros</w:t>
      </w:r>
      <w:proofErr w:type="spellEnd"/>
      <w:r w:rsidRPr="003D15C9">
        <w:t xml:space="preserve">, </w:t>
      </w:r>
      <w:r w:rsidRPr="003D15C9">
        <w:rPr>
          <w:i/>
        </w:rPr>
        <w:t>Desarrollo económico e inequidad regional: hacia un nuevo pacto federal en México</w:t>
      </w:r>
      <w:r w:rsidRPr="003D15C9">
        <w:t xml:space="preserve"> (México: Fundación Friedrich </w:t>
      </w:r>
      <w:proofErr w:type="spellStart"/>
      <w:r w:rsidRPr="003D15C9">
        <w:t>Naumann</w:t>
      </w:r>
      <w:proofErr w:type="spellEnd"/>
      <w:r w:rsidRPr="003D15C9">
        <w:t xml:space="preserve">, </w:t>
      </w:r>
      <w:r>
        <w:t>CIDAC, Miguel Á</w:t>
      </w:r>
      <w:r w:rsidRPr="003D15C9">
        <w:t>ngel Porrúa, 1995), 55.</w:t>
      </w:r>
    </w:p>
  </w:footnote>
  <w:footnote w:id="5">
    <w:p w14:paraId="69396F3B" w14:textId="77777777" w:rsidR="00481210" w:rsidRDefault="00481210" w:rsidP="00A30DA9">
      <w:pPr>
        <w:pStyle w:val="Notasdepie"/>
      </w:pPr>
      <w:r>
        <w:rPr>
          <w:rStyle w:val="Refdenotaalpie"/>
        </w:rPr>
        <w:footnoteRef/>
      </w:r>
      <w:r>
        <w:t xml:space="preserve"> </w:t>
      </w:r>
      <w:r w:rsidRPr="003D15C9">
        <w:t xml:space="preserve">Gerardo Esquivel, Luis F. López Calva y Roberto Vélez, “Crecimiento económico, desarrollo humano y desigualdad regional en México, 1950-2000”, </w:t>
      </w:r>
      <w:r w:rsidRPr="003D15C9">
        <w:rPr>
          <w:i/>
        </w:rPr>
        <w:t xml:space="preserve">Estudios sobre desarrollo humano PNUD México, </w:t>
      </w:r>
      <w:r>
        <w:t>No. 3 (2003):</w:t>
      </w:r>
      <w:r w:rsidRPr="003D15C9">
        <w:t xml:space="preserve"> 10.</w:t>
      </w:r>
    </w:p>
  </w:footnote>
  <w:footnote w:id="6">
    <w:p w14:paraId="5B6D1667" w14:textId="0272E48F" w:rsidR="00481210" w:rsidRDefault="00481210" w:rsidP="00A30DA9">
      <w:pPr>
        <w:pStyle w:val="Notasdepie"/>
      </w:pPr>
      <w:r>
        <w:rPr>
          <w:rStyle w:val="Refdenotaalpie"/>
        </w:rPr>
        <w:footnoteRef/>
      </w:r>
      <w:r>
        <w:t xml:space="preserve"> </w:t>
      </w:r>
      <w:r w:rsidRPr="003D15C9">
        <w:t xml:space="preserve">Miguel </w:t>
      </w:r>
      <w:proofErr w:type="spellStart"/>
      <w:r w:rsidRPr="003D15C9">
        <w:t>Székely</w:t>
      </w:r>
      <w:proofErr w:type="spellEnd"/>
      <w:r w:rsidRPr="003D15C9">
        <w:t>, L. F. López-Calva, A. Meléndez, E. G. Rascón y L. Rodríguez-</w:t>
      </w:r>
      <w:proofErr w:type="spellStart"/>
      <w:r w:rsidRPr="003D15C9">
        <w:t>Chamussy</w:t>
      </w:r>
      <w:proofErr w:type="spellEnd"/>
      <w:r w:rsidRPr="003D15C9">
        <w:t xml:space="preserve">, “Poniendo a la pobreza de ingresos y a la desigualdad en el mapa de México”, </w:t>
      </w:r>
      <w:r w:rsidRPr="003D15C9">
        <w:rPr>
          <w:i/>
        </w:rPr>
        <w:t>Economía mexicana</w:t>
      </w:r>
      <w:r w:rsidRPr="003D15C9">
        <w:t>, Vol. 16, N</w:t>
      </w:r>
      <w:r>
        <w:t>o. 2 (segundo semestre de 2007):</w:t>
      </w:r>
      <w:r w:rsidRPr="003D15C9">
        <w:t xml:space="preserve"> 259.</w:t>
      </w:r>
    </w:p>
  </w:footnote>
  <w:footnote w:id="7">
    <w:p w14:paraId="030163CF" w14:textId="77777777" w:rsidR="00481210" w:rsidRDefault="00481210" w:rsidP="00A30DA9">
      <w:pPr>
        <w:pStyle w:val="Notasdepie"/>
      </w:pPr>
      <w:r w:rsidRPr="003D15C9">
        <w:rPr>
          <w:rStyle w:val="Refdenotaalpie"/>
        </w:rPr>
        <w:footnoteRef/>
      </w:r>
      <w:r w:rsidRPr="003D15C9">
        <w:t xml:space="preserve"> Ver la primera parte de Alberto Díaz </w:t>
      </w:r>
      <w:proofErr w:type="spellStart"/>
      <w:r w:rsidRPr="003D15C9">
        <w:t>Cayeros</w:t>
      </w:r>
      <w:proofErr w:type="spellEnd"/>
      <w:r w:rsidRPr="003D15C9">
        <w:t xml:space="preserve"> y Sergio Silva Castañeda, </w:t>
      </w:r>
      <w:r w:rsidRPr="003D15C9">
        <w:rPr>
          <w:i/>
        </w:rPr>
        <w:t xml:space="preserve">Descentralización a escala municipal en México: la inversión en infraestructura social </w:t>
      </w:r>
      <w:r w:rsidRPr="003D15C9">
        <w:t>(México: Unidad de Desarrollo Social CEPAL, 2</w:t>
      </w:r>
      <w:r w:rsidRPr="00043948">
        <w:t>004).</w:t>
      </w:r>
    </w:p>
  </w:footnote>
  <w:footnote w:id="8">
    <w:p w14:paraId="675EAF60" w14:textId="6B2A6345" w:rsidR="00481210" w:rsidRPr="001A462B" w:rsidRDefault="00481210" w:rsidP="00A30DA9">
      <w:pPr>
        <w:pStyle w:val="Notasdepie"/>
      </w:pPr>
      <w:r>
        <w:rPr>
          <w:rStyle w:val="Refdenotaalpie"/>
        </w:rPr>
        <w:footnoteRef/>
      </w:r>
      <w:r w:rsidRPr="001A462B">
        <w:t xml:space="preserve"> </w:t>
      </w:r>
      <w:r w:rsidRPr="00FE4549">
        <w:t xml:space="preserve">Fausto Hernández Trillo y Brenda Jarillo </w:t>
      </w:r>
      <w:proofErr w:type="spellStart"/>
      <w:r w:rsidRPr="00FE4549">
        <w:t>Rabling</w:t>
      </w:r>
      <w:proofErr w:type="spellEnd"/>
      <w:r w:rsidRPr="00FE4549">
        <w:t>, “Transferenci</w:t>
      </w:r>
      <w:r>
        <w:t>a</w:t>
      </w:r>
      <w:r w:rsidRPr="00FE4549">
        <w:t>s condicionadas federales en países en desarrollo: el caso del FISM en México</w:t>
      </w:r>
      <w:r w:rsidRPr="00FE4549">
        <w:rPr>
          <w:i/>
        </w:rPr>
        <w:t>”, Estudios Económicos,</w:t>
      </w:r>
      <w:r w:rsidRPr="00FE4549">
        <w:t xml:space="preserve"> Vol. 22, No</w:t>
      </w:r>
      <w:r>
        <w:t>. 2 (44) (Jul. - Dic., 2007): 146.</w:t>
      </w:r>
    </w:p>
  </w:footnote>
  <w:footnote w:id="9">
    <w:p w14:paraId="367AD20A" w14:textId="17F2AB7A" w:rsidR="00481210" w:rsidRPr="00992397" w:rsidRDefault="00481210" w:rsidP="00A30DA9">
      <w:pPr>
        <w:pStyle w:val="Notasdepie"/>
      </w:pPr>
      <w:r w:rsidRPr="00992397">
        <w:rPr>
          <w:rStyle w:val="Refdenotaalpie"/>
        </w:rPr>
        <w:footnoteRef/>
      </w:r>
      <w:r w:rsidRPr="00992397">
        <w:t xml:space="preserve"> Alberto Porto y Pablo Sanguinetti, “Las transferencias intergubernamentales y la equidad distributiva: el caso argentino”, Serie </w:t>
      </w:r>
      <w:r w:rsidRPr="00992397">
        <w:rPr>
          <w:i/>
        </w:rPr>
        <w:t>Política Fiscal No. 88</w:t>
      </w:r>
      <w:r>
        <w:t>, CEPAL</w:t>
      </w:r>
      <w:r w:rsidRPr="00992397">
        <w:t xml:space="preserve"> </w:t>
      </w:r>
      <w:r>
        <w:t>(</w:t>
      </w:r>
      <w:r w:rsidRPr="00992397">
        <w:t>agosto 1996</w:t>
      </w:r>
      <w:r>
        <w:t>): 6.</w:t>
      </w:r>
    </w:p>
  </w:footnote>
  <w:footnote w:id="10">
    <w:p w14:paraId="20D8A426" w14:textId="26090153" w:rsidR="00481210" w:rsidRPr="00F35FC2" w:rsidRDefault="00481210" w:rsidP="00A30DA9">
      <w:pPr>
        <w:pStyle w:val="Notasdepie"/>
      </w:pPr>
      <w:r w:rsidRPr="003E143D">
        <w:rPr>
          <w:rStyle w:val="Refdenotaalpie"/>
        </w:rPr>
        <w:footnoteRef/>
      </w:r>
      <w:r w:rsidRPr="003E143D">
        <w:t xml:space="preserve"> Presupuesto Ciudadano 2013. Unidad de Evaluación del Desempeño de la Secretaría de Hacienda y Crédito Público. p. 23.</w:t>
      </w:r>
      <w:r>
        <w:t xml:space="preserve"> </w:t>
      </w:r>
      <w:r w:rsidRPr="00F35FC2">
        <w:t>Se puede consultar en www.transparenciapresupuestaria.gob.mx.</w:t>
      </w:r>
    </w:p>
  </w:footnote>
  <w:footnote w:id="11">
    <w:p w14:paraId="01FC628C" w14:textId="4D2AF736" w:rsidR="00481210" w:rsidRPr="00975362" w:rsidRDefault="00481210" w:rsidP="00975362">
      <w:pPr>
        <w:pStyle w:val="Notasdepie"/>
      </w:pPr>
      <w:r>
        <w:rPr>
          <w:rStyle w:val="Refdenotaalpie"/>
        </w:rPr>
        <w:footnoteRef/>
      </w:r>
      <w:r w:rsidRPr="00975362">
        <w:t xml:space="preserve"> Para 2014, Guanajuato y San Luis Potos</w:t>
      </w:r>
      <w:r>
        <w:t>í sustituyeron a Nayarit y Tlaxcala por la posición que ocupan en términos de IDH, de acuerdo con la metodología del Programa de las Naciones Unidas para el Desarrollo.</w:t>
      </w:r>
    </w:p>
  </w:footnote>
  <w:footnote w:id="12">
    <w:p w14:paraId="5D72618A" w14:textId="16BA5059" w:rsidR="00481210" w:rsidRPr="00203543" w:rsidRDefault="00481210" w:rsidP="00CD4A34">
      <w:pPr>
        <w:pStyle w:val="Notasdepie"/>
        <w:rPr>
          <w:lang w:val="en-US"/>
        </w:rPr>
      </w:pPr>
      <w:r w:rsidRPr="0059773D">
        <w:rPr>
          <w:rStyle w:val="Refdenotaalpie"/>
        </w:rPr>
        <w:footnoteRef/>
      </w:r>
      <w:r w:rsidRPr="00203543">
        <w:rPr>
          <w:lang w:val="en-US"/>
        </w:rPr>
        <w:t xml:space="preserve"> </w:t>
      </w:r>
      <w:proofErr w:type="spellStart"/>
      <w:r w:rsidRPr="00203543">
        <w:rPr>
          <w:lang w:val="en-US"/>
        </w:rPr>
        <w:t>Carles</w:t>
      </w:r>
      <w:proofErr w:type="spellEnd"/>
      <w:r w:rsidRPr="00203543">
        <w:rPr>
          <w:lang w:val="en-US"/>
        </w:rPr>
        <w:t xml:space="preserve"> </w:t>
      </w:r>
      <w:proofErr w:type="spellStart"/>
      <w:r w:rsidRPr="00203543">
        <w:rPr>
          <w:lang w:val="en-US"/>
        </w:rPr>
        <w:t>Boix</w:t>
      </w:r>
      <w:proofErr w:type="spellEnd"/>
      <w:r w:rsidRPr="00203543">
        <w:rPr>
          <w:lang w:val="en-US"/>
        </w:rPr>
        <w:t>,</w:t>
      </w:r>
      <w:r w:rsidRPr="00203543">
        <w:rPr>
          <w:i/>
          <w:lang w:val="en-US"/>
        </w:rPr>
        <w:t xml:space="preserve"> Democracy and </w:t>
      </w:r>
      <w:proofErr w:type="spellStart"/>
      <w:r w:rsidRPr="00203543">
        <w:rPr>
          <w:i/>
          <w:lang w:val="en-US"/>
        </w:rPr>
        <w:t>Redisribution</w:t>
      </w:r>
      <w:proofErr w:type="spellEnd"/>
      <w:r w:rsidRPr="00203543">
        <w:rPr>
          <w:lang w:val="en-US"/>
        </w:rPr>
        <w:t xml:space="preserve"> (Cambridge: The Press Syndicate of the University of Cambridge, 2003), 171.</w:t>
      </w:r>
    </w:p>
  </w:footnote>
  <w:footnote w:id="13">
    <w:p w14:paraId="455DF4E5" w14:textId="668F6EBD" w:rsidR="00481210" w:rsidRPr="004C650F" w:rsidRDefault="00481210" w:rsidP="00A30DA9">
      <w:pPr>
        <w:pStyle w:val="Notasdepie"/>
      </w:pPr>
      <w:r>
        <w:rPr>
          <w:rStyle w:val="Refdenotaalpie"/>
        </w:rPr>
        <w:footnoteRef/>
      </w:r>
      <w:r w:rsidRPr="004C650F">
        <w:t xml:space="preserve"> </w:t>
      </w:r>
      <w:r w:rsidRPr="00FE4549">
        <w:t>Alberto D</w:t>
      </w:r>
      <w:r>
        <w:t>í</w:t>
      </w:r>
      <w:r w:rsidRPr="00FE4549">
        <w:t>az-</w:t>
      </w:r>
      <w:proofErr w:type="spellStart"/>
      <w:r w:rsidRPr="00FE4549">
        <w:t>Cayeros</w:t>
      </w:r>
      <w:proofErr w:type="spellEnd"/>
      <w:r w:rsidRPr="00FE4549">
        <w:t xml:space="preserve">, Federico Estévez y Beatriz </w:t>
      </w:r>
      <w:proofErr w:type="spellStart"/>
      <w:r w:rsidRPr="00FE4549">
        <w:t>Magaloni</w:t>
      </w:r>
      <w:proofErr w:type="spellEnd"/>
      <w:r w:rsidRPr="00FE4549">
        <w:t>, “</w:t>
      </w:r>
      <w:proofErr w:type="spellStart"/>
      <w:r w:rsidRPr="00FE4549">
        <w:t>The</w:t>
      </w:r>
      <w:proofErr w:type="spellEnd"/>
      <w:r w:rsidRPr="00FE4549">
        <w:t xml:space="preserve"> </w:t>
      </w:r>
      <w:proofErr w:type="spellStart"/>
      <w:r w:rsidRPr="00FE4549">
        <w:t>Core</w:t>
      </w:r>
      <w:proofErr w:type="spellEnd"/>
      <w:r w:rsidRPr="00FE4549">
        <w:t xml:space="preserve"> </w:t>
      </w:r>
      <w:proofErr w:type="spellStart"/>
      <w:r w:rsidRPr="00FE4549">
        <w:t>Voter</w:t>
      </w:r>
      <w:proofErr w:type="spellEnd"/>
      <w:r w:rsidRPr="00FE4549">
        <w:t xml:space="preserve"> </w:t>
      </w:r>
      <w:proofErr w:type="spellStart"/>
      <w:r w:rsidRPr="00FE4549">
        <w:t>Model</w:t>
      </w:r>
      <w:proofErr w:type="spellEnd"/>
      <w:r w:rsidRPr="00FE4549">
        <w:t xml:space="preserve">: </w:t>
      </w:r>
      <w:proofErr w:type="spellStart"/>
      <w:r w:rsidRPr="00FE4549">
        <w:t>Evidence</w:t>
      </w:r>
      <w:proofErr w:type="spellEnd"/>
      <w:r w:rsidRPr="00FE4549">
        <w:t xml:space="preserve"> </w:t>
      </w:r>
      <w:proofErr w:type="spellStart"/>
      <w:r w:rsidRPr="00FE4549">
        <w:t>From</w:t>
      </w:r>
      <w:proofErr w:type="spellEnd"/>
      <w:r w:rsidRPr="00FE4549">
        <w:t xml:space="preserve"> </w:t>
      </w:r>
      <w:proofErr w:type="spellStart"/>
      <w:r w:rsidRPr="00FE4549">
        <w:t>Mexico</w:t>
      </w:r>
      <w:proofErr w:type="spellEnd"/>
      <w:r>
        <w:t xml:space="preserve">”: 9-10. Artículo presentado en la reunión anual de la APSA 2008, disponible en </w:t>
      </w:r>
      <w:r w:rsidRPr="004C650F">
        <w:t>http://www.yale.edu/leitner/resources/docs/diaz-cayerospaper.pdf</w:t>
      </w:r>
      <w:r>
        <w:t xml:space="preserve"> (Fecha de consulta: 10 de agosto de 2013).</w:t>
      </w:r>
    </w:p>
  </w:footnote>
  <w:footnote w:id="14">
    <w:p w14:paraId="4088C6CA" w14:textId="77777777" w:rsidR="00481210" w:rsidRPr="005F2809" w:rsidRDefault="00481210" w:rsidP="00A30DA9">
      <w:pPr>
        <w:pStyle w:val="Notasdepie"/>
      </w:pPr>
      <w:r w:rsidRPr="00A20EB3">
        <w:rPr>
          <w:rStyle w:val="Refdenotaalpie"/>
        </w:rPr>
        <w:footnoteRef/>
      </w:r>
      <w:r w:rsidRPr="005F2809">
        <w:t xml:space="preserve"> </w:t>
      </w:r>
      <w:proofErr w:type="spellStart"/>
      <w:r w:rsidRPr="005F2809">
        <w:t>Ibid</w:t>
      </w:r>
      <w:proofErr w:type="spellEnd"/>
      <w:r w:rsidRPr="005F2809">
        <w:t>., 11.</w:t>
      </w:r>
    </w:p>
  </w:footnote>
  <w:footnote w:id="15">
    <w:p w14:paraId="5A3F05CD" w14:textId="7DF14353" w:rsidR="00481210" w:rsidRPr="007A42BC" w:rsidRDefault="00481210" w:rsidP="00A30DA9">
      <w:pPr>
        <w:pStyle w:val="Notasdepie"/>
        <w:rPr>
          <w:lang w:val="en-US"/>
        </w:rPr>
      </w:pPr>
      <w:r w:rsidRPr="007A42BC">
        <w:rPr>
          <w:rStyle w:val="Refdenotaalpie"/>
        </w:rPr>
        <w:footnoteRef/>
      </w:r>
      <w:r w:rsidRPr="007A42BC">
        <w:t xml:space="preserve"> Ver por ejemplo Ernesto Calvo y M. V. Murillo, “</w:t>
      </w:r>
      <w:proofErr w:type="spellStart"/>
      <w:r w:rsidRPr="007A42BC">
        <w:t>Who</w:t>
      </w:r>
      <w:proofErr w:type="spellEnd"/>
      <w:r w:rsidRPr="007A42BC">
        <w:t xml:space="preserve"> </w:t>
      </w:r>
      <w:proofErr w:type="spellStart"/>
      <w:r w:rsidRPr="007A42BC">
        <w:t>delivers</w:t>
      </w:r>
      <w:proofErr w:type="spellEnd"/>
      <w:r w:rsidRPr="007A42BC">
        <w:t xml:space="preserve">? </w:t>
      </w:r>
      <w:r w:rsidRPr="007A42BC">
        <w:rPr>
          <w:lang w:val="en-US"/>
        </w:rPr>
        <w:t xml:space="preserve">Partisan clients in the Argentine electoral market”, </w:t>
      </w:r>
      <w:r w:rsidRPr="007A42BC">
        <w:rPr>
          <w:i/>
          <w:lang w:val="en-US"/>
        </w:rPr>
        <w:t>American Journal of Political Science</w:t>
      </w:r>
      <w:r>
        <w:rPr>
          <w:lang w:val="en-US"/>
        </w:rPr>
        <w:t>, Vol. 48, No. 4 (</w:t>
      </w:r>
      <w:proofErr w:type="spellStart"/>
      <w:r>
        <w:rPr>
          <w:lang w:val="en-US"/>
        </w:rPr>
        <w:t>octubre</w:t>
      </w:r>
      <w:proofErr w:type="spellEnd"/>
      <w:r>
        <w:rPr>
          <w:lang w:val="en-US"/>
        </w:rPr>
        <w:t xml:space="preserve"> 2004):</w:t>
      </w:r>
      <w:r w:rsidRPr="007A42BC">
        <w:rPr>
          <w:lang w:val="en-US"/>
        </w:rPr>
        <w:t xml:space="preserve"> 742-757 o Judith Chubb, </w:t>
      </w:r>
      <w:r w:rsidRPr="00203543">
        <w:rPr>
          <w:i/>
          <w:lang w:val="en-US"/>
        </w:rPr>
        <w:t>Patronage, power, and poverty in Southern Italy: a tale of two</w:t>
      </w:r>
      <w:r w:rsidRPr="007A42BC">
        <w:rPr>
          <w:lang w:val="en-US"/>
        </w:rPr>
        <w:t xml:space="preserve"> </w:t>
      </w:r>
      <w:r w:rsidRPr="00203543">
        <w:rPr>
          <w:i/>
          <w:lang w:val="en-US"/>
        </w:rPr>
        <w:t>cities</w:t>
      </w:r>
      <w:r w:rsidRPr="007A42BC">
        <w:rPr>
          <w:lang w:val="en-US"/>
        </w:rPr>
        <w:t xml:space="preserve"> (Cambridge, Mass.: Cambridge University, 1982).</w:t>
      </w:r>
    </w:p>
  </w:footnote>
  <w:footnote w:id="16">
    <w:p w14:paraId="3ECE822F" w14:textId="20D476AF" w:rsidR="00481210" w:rsidRPr="007A42BC" w:rsidRDefault="00481210" w:rsidP="00A30DA9">
      <w:pPr>
        <w:pStyle w:val="Notasdepie"/>
        <w:rPr>
          <w:lang w:val="en-US"/>
        </w:rPr>
      </w:pPr>
      <w:r w:rsidRPr="007A42BC">
        <w:rPr>
          <w:rStyle w:val="Refdenotaalpie"/>
        </w:rPr>
        <w:footnoteRef/>
      </w:r>
      <w:r w:rsidRPr="007A42BC">
        <w:rPr>
          <w:lang w:val="en-US"/>
        </w:rPr>
        <w:t xml:space="preserve"> </w:t>
      </w:r>
      <w:proofErr w:type="spellStart"/>
      <w:r w:rsidRPr="007A42BC">
        <w:rPr>
          <w:lang w:val="en-US"/>
        </w:rPr>
        <w:t>Avinash</w:t>
      </w:r>
      <w:proofErr w:type="spellEnd"/>
      <w:r w:rsidRPr="007A42BC">
        <w:rPr>
          <w:lang w:val="en-US"/>
        </w:rPr>
        <w:t xml:space="preserve"> Dixit and John </w:t>
      </w:r>
      <w:proofErr w:type="spellStart"/>
      <w:r w:rsidRPr="007A42BC">
        <w:rPr>
          <w:lang w:val="en-US"/>
        </w:rPr>
        <w:t>Londregan</w:t>
      </w:r>
      <w:proofErr w:type="spellEnd"/>
      <w:r w:rsidRPr="007A42BC">
        <w:rPr>
          <w:lang w:val="en-US"/>
        </w:rPr>
        <w:t xml:space="preserve">, “Ideology, Tactics, and Efficiency in Redistributive Politics”, </w:t>
      </w:r>
      <w:r w:rsidRPr="007A42BC">
        <w:rPr>
          <w:i/>
          <w:lang w:val="en-US"/>
        </w:rPr>
        <w:t>Quarterly Journal of Economics</w:t>
      </w:r>
      <w:r w:rsidRPr="007A42BC">
        <w:rPr>
          <w:lang w:val="en-US"/>
        </w:rPr>
        <w:t>,</w:t>
      </w:r>
      <w:r>
        <w:rPr>
          <w:lang w:val="en-US"/>
        </w:rPr>
        <w:t xml:space="preserve"> Vol. 113, Issue 2, (mayo 1998):</w:t>
      </w:r>
      <w:r w:rsidRPr="007A42BC">
        <w:rPr>
          <w:lang w:val="en-US"/>
        </w:rPr>
        <w:t xml:space="preserve"> 515.</w:t>
      </w:r>
    </w:p>
  </w:footnote>
  <w:footnote w:id="17">
    <w:p w14:paraId="13651075" w14:textId="7660AE80" w:rsidR="00481210" w:rsidRDefault="00481210" w:rsidP="00A30DA9">
      <w:pPr>
        <w:pStyle w:val="Notasdepie"/>
      </w:pPr>
      <w:r>
        <w:rPr>
          <w:rStyle w:val="Refdenotaalpie"/>
        </w:rPr>
        <w:footnoteRef/>
      </w:r>
      <w:r>
        <w:t xml:space="preserve"> </w:t>
      </w:r>
      <w:r w:rsidRPr="00B60F59">
        <w:t>Las fórmulas no están exentas de distorsiones distributivas. Lo único que ocurre es que el</w:t>
      </w:r>
      <w:r>
        <w:t xml:space="preserve"> poder discrecional se traslada</w:t>
      </w:r>
      <w:r w:rsidRPr="00B60F59">
        <w:t xml:space="preserve"> de las personas que asignan los recursos en cada ministración, a los encargados de diseñar las fórmulas de distribución.</w:t>
      </w:r>
    </w:p>
  </w:footnote>
  <w:footnote w:id="18">
    <w:p w14:paraId="273501A4" w14:textId="77777777" w:rsidR="00481210" w:rsidRDefault="00481210" w:rsidP="00A30DA9">
      <w:pPr>
        <w:pStyle w:val="Notasdepie"/>
      </w:pPr>
      <w:r>
        <w:rPr>
          <w:rStyle w:val="Refdenotaalpie"/>
        </w:rPr>
        <w:footnoteRef/>
      </w:r>
      <w:r>
        <w:t xml:space="preserve"> </w:t>
      </w:r>
      <w:r w:rsidRPr="00B60F59">
        <w:t>Numeral quinto de los Lineamientos para la aplicación, rendición de cuentas y transparencia de los programas y proyectos de inversión apoyados con los recursos del Fondo Regional (FONREGION)</w:t>
      </w:r>
      <w:r>
        <w:t>.</w:t>
      </w:r>
    </w:p>
  </w:footnote>
  <w:footnote w:id="19">
    <w:p w14:paraId="378CBFB4" w14:textId="77777777" w:rsidR="00481210" w:rsidRPr="003556BB" w:rsidRDefault="00481210" w:rsidP="00A30DA9">
      <w:pPr>
        <w:pStyle w:val="Notasdepie"/>
      </w:pPr>
      <w:r w:rsidRPr="003556BB">
        <w:rPr>
          <w:rStyle w:val="Refdenotaalpie"/>
        </w:rPr>
        <w:footnoteRef/>
      </w:r>
      <w:r w:rsidRPr="003556BB">
        <w:t>La Matriz de Indicadores para Resultados del Fondo se puede consultar en www.transparenciapresupuestaria.gob.mx.</w:t>
      </w:r>
    </w:p>
  </w:footnote>
  <w:footnote w:id="20">
    <w:p w14:paraId="2DA32F0A" w14:textId="08B77DEB" w:rsidR="00481210" w:rsidRPr="00203543" w:rsidRDefault="00481210" w:rsidP="000257C8">
      <w:pPr>
        <w:spacing w:line="240" w:lineRule="auto"/>
        <w:jc w:val="both"/>
        <w:rPr>
          <w:rFonts w:ascii="Times New Roman" w:hAnsi="Times New Roman" w:cs="Times New Roman"/>
          <w:sz w:val="24"/>
          <w:szCs w:val="24"/>
        </w:rPr>
      </w:pPr>
      <w:r w:rsidRPr="00A20EB3">
        <w:rPr>
          <w:rStyle w:val="Refdenotaalpie"/>
        </w:rPr>
        <w:footnoteRef/>
      </w:r>
      <w:r w:rsidRPr="00A20EB3">
        <w:t xml:space="preserve"> </w:t>
      </w:r>
      <w:r w:rsidRPr="000257C8">
        <w:rPr>
          <w:rStyle w:val="NotasdepieCar"/>
        </w:rPr>
        <w:t xml:space="preserve">Alfonso </w:t>
      </w:r>
      <w:proofErr w:type="spellStart"/>
      <w:r w:rsidRPr="000257C8">
        <w:rPr>
          <w:rStyle w:val="NotasdepieCar"/>
        </w:rPr>
        <w:t>Iracheta</w:t>
      </w:r>
      <w:proofErr w:type="spellEnd"/>
      <w:r w:rsidRPr="000257C8">
        <w:rPr>
          <w:rStyle w:val="NotasdepieCar"/>
        </w:rPr>
        <w:t xml:space="preserve">, </w:t>
      </w:r>
      <w:r w:rsidRPr="00203543">
        <w:rPr>
          <w:rStyle w:val="NotasdepieCar"/>
          <w:i/>
        </w:rPr>
        <w:t>Informe final de evaluación externa 2010 y su resumen ejecutivo versión definitiva: evaluación del Fondo Regional 2007-2009</w:t>
      </w:r>
      <w:r w:rsidRPr="000257C8">
        <w:rPr>
          <w:rStyle w:val="NotasdepieCar"/>
        </w:rPr>
        <w:t xml:space="preserve"> (BID, SHCP, El Colegio Mexiquense, 2010), 15.</w:t>
      </w:r>
    </w:p>
  </w:footnote>
  <w:footnote w:id="21">
    <w:p w14:paraId="65E3FFE9" w14:textId="263CEE8E" w:rsidR="00481210" w:rsidRDefault="00481210" w:rsidP="00AD1855">
      <w:pPr>
        <w:pStyle w:val="Notasdepie"/>
      </w:pPr>
      <w:r w:rsidRPr="000257C8">
        <w:rPr>
          <w:rStyle w:val="Refdenotaalpie"/>
        </w:rPr>
        <w:footnoteRef/>
      </w:r>
      <w:r w:rsidRPr="000257C8">
        <w:t xml:space="preserve"> Al revisar el organigrama publicado en el Portal de Obligaciones de Transparencia, el Diagnóstico sobre estructura orgánica, procesos internos y gasto de operación, así como el Reglamento Interior de la SHCP y el Manual de organización general de la SHCP, no es posible identificar algún puesto designado para cumplir con tales funciones.</w:t>
      </w:r>
      <w:r>
        <w:t xml:space="preserve"> Hay que considerar que simplemente en 2012 se aprobaron 180 proyectos para las tres entidades federativas que se estudian en esta tesina. De esos 180 proyectos, personal para el cual ni siquiera existe estructura formal debería revisar la justificación de cada proyecto, su población objetivo, monto solicitado, calendario de ministraciones, explicación de las etapas y componentes del proyecto, así como el análisis costo beneficio que debe acompañar cada solicitud. </w:t>
      </w:r>
    </w:p>
  </w:footnote>
  <w:footnote w:id="22">
    <w:p w14:paraId="6CA0FAB1" w14:textId="7695435A" w:rsidR="00481210" w:rsidRDefault="00481210" w:rsidP="00A30DA9">
      <w:pPr>
        <w:pStyle w:val="Notasdepie"/>
      </w:pPr>
      <w:r>
        <w:rPr>
          <w:rStyle w:val="Refdenotaalpie"/>
        </w:rPr>
        <w:footnoteRef/>
      </w:r>
      <w:r>
        <w:t xml:space="preserve"> </w:t>
      </w:r>
      <w:r w:rsidRPr="00A20EB3">
        <w:t>Estrategia programática del Proyecto de Presupuesto d</w:t>
      </w:r>
      <w:r>
        <w:t>e Egresos de la Federación 2011, p. 1.</w:t>
      </w:r>
      <w:r w:rsidRPr="00A20EB3">
        <w:t xml:space="preserve"> Consultado en http</w:t>
      </w:r>
      <w:proofErr w:type="gramStart"/>
      <w:r w:rsidRPr="00A20EB3">
        <w:t>:/</w:t>
      </w:r>
      <w:proofErr w:type="gramEnd"/>
      <w:r w:rsidRPr="00A20EB3">
        <w:t>/www.apartados.hacienda.gob.mx/presupuesto/temas/ppef/2011</w:t>
      </w:r>
      <w:r>
        <w:t>/temas/tomos/23/r23_ep.pdf, (Fecha de consulta: 7 de septiembre de 2013)</w:t>
      </w:r>
      <w:r w:rsidRPr="00A20EB3">
        <w:t>.</w:t>
      </w:r>
    </w:p>
  </w:footnote>
  <w:footnote w:id="23">
    <w:p w14:paraId="76BE4F49" w14:textId="54334586" w:rsidR="00481210" w:rsidRPr="00F94195" w:rsidRDefault="00481210" w:rsidP="00A30DA9">
      <w:pPr>
        <w:pStyle w:val="Notasdepie"/>
      </w:pPr>
      <w:r w:rsidRPr="00F94195">
        <w:rPr>
          <w:rStyle w:val="Refdenotaalpie"/>
        </w:rPr>
        <w:footnoteRef/>
      </w:r>
      <w:r w:rsidRPr="00F94195">
        <w:t xml:space="preserve"> Auditoría de Inversiones Físicas: 11-0-06100-04-0473 aplicada</w:t>
      </w:r>
      <w:r>
        <w:t xml:space="preserve"> por la Auditoría Superior de la Federación </w:t>
      </w:r>
      <w:r w:rsidRPr="00F94195">
        <w:t>a la Secretaría de Hacienda y Crédito Público</w:t>
      </w:r>
      <w:r>
        <w:t>.</w:t>
      </w:r>
    </w:p>
  </w:footnote>
  <w:footnote w:id="24">
    <w:p w14:paraId="019E73A0" w14:textId="236377D0" w:rsidR="00481210" w:rsidRDefault="00481210" w:rsidP="00842C16">
      <w:pPr>
        <w:pStyle w:val="Textonotapie"/>
        <w:jc w:val="both"/>
      </w:pPr>
      <w:r>
        <w:rPr>
          <w:rStyle w:val="Refdenotaalpie"/>
        </w:rPr>
        <w:footnoteRef/>
      </w:r>
      <w:r>
        <w:t xml:space="preserve"> </w:t>
      </w:r>
      <w:r w:rsidRPr="00842C16">
        <w:rPr>
          <w:rStyle w:val="NotasdepieCar"/>
        </w:rPr>
        <w:t>El Ramo 33 al ser Aportaciones Federales contiene objetivos generales que se buscan alcanzar a través de rubros de gasto específicos en los que pueden ejercerse los recursos, mientras que el Ramo 20 se refiere a Desarrollo Social y los programas de subsidios cuentan con objetivos claros y reglas de operación más específicas</w:t>
      </w:r>
      <w:r>
        <w:rPr>
          <w:rStyle w:val="NotasdepieCar"/>
        </w:rPr>
        <w:t xml:space="preserve"> que las transferencias del Ramo 23</w:t>
      </w:r>
      <w:r w:rsidRPr="00842C16">
        <w:rPr>
          <w:rStyle w:val="NotasdepieCar"/>
        </w:rPr>
        <w:t>.</w:t>
      </w:r>
      <w:r>
        <w:t xml:space="preserve"> </w:t>
      </w:r>
    </w:p>
  </w:footnote>
  <w:footnote w:id="25">
    <w:p w14:paraId="645491C2" w14:textId="55049FA7" w:rsidR="00481210" w:rsidRDefault="00481210">
      <w:pPr>
        <w:pStyle w:val="Textonotapie"/>
      </w:pPr>
      <w:r>
        <w:rPr>
          <w:rStyle w:val="Refdenotaalpie"/>
        </w:rPr>
        <w:footnoteRef/>
      </w:r>
      <w:r>
        <w:t xml:space="preserve"> </w:t>
      </w:r>
      <w:r w:rsidRPr="00601009">
        <w:rPr>
          <w:rFonts w:ascii="Times New Roman" w:hAnsi="Times New Roman" w:cs="Times New Roman"/>
        </w:rPr>
        <w:t>Entrevista con el Dr. Guillermo Cejudo el 30 de mayo de 2013.</w:t>
      </w:r>
    </w:p>
  </w:footnote>
  <w:footnote w:id="26">
    <w:p w14:paraId="2A0966AF" w14:textId="5E8EB286" w:rsidR="00481210" w:rsidRPr="006E4E46" w:rsidRDefault="00481210" w:rsidP="00A30DA9">
      <w:pPr>
        <w:pStyle w:val="Notasdepie"/>
        <w:rPr>
          <w:lang w:val="en-US"/>
        </w:rPr>
      </w:pPr>
      <w:r w:rsidRPr="00A41DA3">
        <w:rPr>
          <w:rStyle w:val="Refdenotaalpie"/>
        </w:rPr>
        <w:footnoteRef/>
      </w:r>
      <w:r w:rsidRPr="006E4E46">
        <w:rPr>
          <w:lang w:val="en-US"/>
        </w:rPr>
        <w:t xml:space="preserve"> Gary W. Cox y Mathew D. </w:t>
      </w:r>
      <w:proofErr w:type="spellStart"/>
      <w:r w:rsidRPr="006E4E46">
        <w:rPr>
          <w:lang w:val="en-US"/>
        </w:rPr>
        <w:t>McCubbins</w:t>
      </w:r>
      <w:proofErr w:type="spellEnd"/>
      <w:r w:rsidRPr="006E4E46">
        <w:rPr>
          <w:lang w:val="en-US"/>
        </w:rPr>
        <w:t xml:space="preserve">, “Electoral Politics as a </w:t>
      </w:r>
      <w:proofErr w:type="spellStart"/>
      <w:r w:rsidRPr="006E4E46">
        <w:rPr>
          <w:lang w:val="en-US"/>
        </w:rPr>
        <w:t>Redibustributive</w:t>
      </w:r>
      <w:proofErr w:type="spellEnd"/>
      <w:r w:rsidRPr="006E4E46">
        <w:rPr>
          <w:lang w:val="en-US"/>
        </w:rPr>
        <w:t xml:space="preserve"> Game”, </w:t>
      </w:r>
      <w:r w:rsidRPr="006E4E46">
        <w:rPr>
          <w:i/>
          <w:lang w:val="en-US"/>
        </w:rPr>
        <w:t>Journal of Politics</w:t>
      </w:r>
      <w:r>
        <w:rPr>
          <w:lang w:val="en-US"/>
        </w:rPr>
        <w:t>, Vol. 48, No. 2 (mayo 1986):</w:t>
      </w:r>
      <w:r w:rsidRPr="006E4E46">
        <w:rPr>
          <w:lang w:val="en-US"/>
        </w:rPr>
        <w:t xml:space="preserve"> 370-389.</w:t>
      </w:r>
      <w:r>
        <w:rPr>
          <w:lang w:val="en-US"/>
        </w:rPr>
        <w:t xml:space="preserve"> </w:t>
      </w:r>
    </w:p>
  </w:footnote>
  <w:footnote w:id="27">
    <w:p w14:paraId="45B51520" w14:textId="5D6A6955" w:rsidR="00481210" w:rsidRPr="00A41DA3" w:rsidRDefault="00481210" w:rsidP="00A30DA9">
      <w:pPr>
        <w:pStyle w:val="Notasdepie"/>
        <w:rPr>
          <w:i/>
          <w:lang w:val="en-US"/>
        </w:rPr>
      </w:pPr>
      <w:r>
        <w:rPr>
          <w:rStyle w:val="Refdenotaalpie"/>
        </w:rPr>
        <w:footnoteRef/>
      </w:r>
      <w:r w:rsidRPr="006E4E46">
        <w:rPr>
          <w:lang w:val="en-US"/>
        </w:rPr>
        <w:t xml:space="preserve"> </w:t>
      </w:r>
      <w:r w:rsidRPr="00A41DA3">
        <w:rPr>
          <w:lang w:val="en-US"/>
        </w:rPr>
        <w:t xml:space="preserve">Assar </w:t>
      </w:r>
      <w:proofErr w:type="spellStart"/>
      <w:r w:rsidRPr="00A41DA3">
        <w:rPr>
          <w:lang w:val="en-US"/>
        </w:rPr>
        <w:t>Lindbeck</w:t>
      </w:r>
      <w:proofErr w:type="spellEnd"/>
      <w:r w:rsidRPr="00A41DA3">
        <w:rPr>
          <w:lang w:val="en-US"/>
        </w:rPr>
        <w:t xml:space="preserve"> y </w:t>
      </w:r>
      <w:proofErr w:type="spellStart"/>
      <w:r w:rsidRPr="00A41DA3">
        <w:rPr>
          <w:lang w:val="en-US"/>
        </w:rPr>
        <w:t>Jörgen</w:t>
      </w:r>
      <w:proofErr w:type="spellEnd"/>
      <w:r w:rsidRPr="00A41DA3">
        <w:rPr>
          <w:lang w:val="en-US"/>
        </w:rPr>
        <w:t xml:space="preserve"> </w:t>
      </w:r>
      <w:proofErr w:type="spellStart"/>
      <w:r w:rsidRPr="00A41DA3">
        <w:rPr>
          <w:lang w:val="en-US"/>
        </w:rPr>
        <w:t>Weibul</w:t>
      </w:r>
      <w:proofErr w:type="spellEnd"/>
      <w:r w:rsidRPr="00A41DA3">
        <w:rPr>
          <w:lang w:val="en-US"/>
        </w:rPr>
        <w:t xml:space="preserve">, “A model of political equilibrium in a representative democracy”, </w:t>
      </w:r>
      <w:r w:rsidRPr="00A41DA3">
        <w:rPr>
          <w:i/>
          <w:lang w:val="en-US"/>
        </w:rPr>
        <w:t>Journal of Public Economic</w:t>
      </w:r>
      <w:r>
        <w:rPr>
          <w:i/>
          <w:lang w:val="en-US"/>
        </w:rPr>
        <w:t>s, Vol. 51, No. 2, (</w:t>
      </w:r>
      <w:proofErr w:type="spellStart"/>
      <w:r>
        <w:rPr>
          <w:i/>
          <w:lang w:val="en-US"/>
        </w:rPr>
        <w:t>junio</w:t>
      </w:r>
      <w:proofErr w:type="spellEnd"/>
      <w:r>
        <w:rPr>
          <w:i/>
          <w:lang w:val="en-US"/>
        </w:rPr>
        <w:t xml:space="preserve"> 1993):</w:t>
      </w:r>
      <w:r w:rsidRPr="00A41DA3">
        <w:rPr>
          <w:i/>
          <w:lang w:val="en-US"/>
        </w:rPr>
        <w:t xml:space="preserve"> 195-210.</w:t>
      </w:r>
    </w:p>
    <w:p w14:paraId="4EF84663" w14:textId="64B94276" w:rsidR="00481210" w:rsidRPr="006E4E46" w:rsidRDefault="00481210" w:rsidP="00A30DA9">
      <w:pPr>
        <w:pStyle w:val="Notasdepie"/>
        <w:rPr>
          <w:lang w:val="en-US"/>
        </w:rPr>
      </w:pPr>
      <w:r w:rsidRPr="00A41DA3">
        <w:rPr>
          <w:lang w:val="en-US"/>
        </w:rPr>
        <w:t xml:space="preserve">Assar </w:t>
      </w:r>
      <w:proofErr w:type="spellStart"/>
      <w:r w:rsidRPr="00A41DA3">
        <w:rPr>
          <w:lang w:val="en-US"/>
        </w:rPr>
        <w:t>Lindbeck</w:t>
      </w:r>
      <w:proofErr w:type="spellEnd"/>
      <w:r w:rsidRPr="00A41DA3">
        <w:rPr>
          <w:lang w:val="en-US"/>
        </w:rPr>
        <w:t xml:space="preserve"> y </w:t>
      </w:r>
      <w:proofErr w:type="spellStart"/>
      <w:r w:rsidRPr="00A41DA3">
        <w:rPr>
          <w:lang w:val="en-US"/>
        </w:rPr>
        <w:t>Jörgen</w:t>
      </w:r>
      <w:proofErr w:type="spellEnd"/>
      <w:r w:rsidRPr="00A41DA3">
        <w:rPr>
          <w:lang w:val="en-US"/>
        </w:rPr>
        <w:t xml:space="preserve"> </w:t>
      </w:r>
      <w:proofErr w:type="spellStart"/>
      <w:r w:rsidRPr="00A41DA3">
        <w:rPr>
          <w:lang w:val="en-US"/>
        </w:rPr>
        <w:t>Weibul</w:t>
      </w:r>
      <w:proofErr w:type="spellEnd"/>
      <w:r w:rsidRPr="00A41DA3">
        <w:rPr>
          <w:lang w:val="en-US"/>
        </w:rPr>
        <w:t>, “</w:t>
      </w:r>
      <w:r w:rsidRPr="000250D8">
        <w:rPr>
          <w:lang w:val="en-US"/>
        </w:rPr>
        <w:t>Balanced Budget redistribution and the outcome of political competition</w:t>
      </w:r>
      <w:r w:rsidRPr="00A41DA3">
        <w:rPr>
          <w:lang w:val="en-US"/>
        </w:rPr>
        <w:t>”,</w:t>
      </w:r>
      <w:r w:rsidRPr="00A41DA3">
        <w:rPr>
          <w:i/>
          <w:lang w:val="en-US"/>
        </w:rPr>
        <w:t xml:space="preserve"> Public</w:t>
      </w:r>
      <w:r>
        <w:rPr>
          <w:i/>
          <w:lang w:val="en-US"/>
        </w:rPr>
        <w:t xml:space="preserve"> Choice, Vol. 52, No. 2, (1987):</w:t>
      </w:r>
      <w:r w:rsidRPr="00A41DA3">
        <w:rPr>
          <w:i/>
          <w:lang w:val="en-US"/>
        </w:rPr>
        <w:t xml:space="preserve"> 273-297.</w:t>
      </w:r>
    </w:p>
  </w:footnote>
  <w:footnote w:id="28">
    <w:p w14:paraId="25B13509" w14:textId="17B22A7A" w:rsidR="00481210" w:rsidRPr="00D50AE6" w:rsidRDefault="00481210" w:rsidP="00A30DA9">
      <w:pPr>
        <w:pStyle w:val="Notasdepie"/>
        <w:rPr>
          <w:lang w:val="en-US"/>
        </w:rPr>
      </w:pPr>
      <w:r>
        <w:rPr>
          <w:rStyle w:val="Refdenotaalpie"/>
        </w:rPr>
        <w:footnoteRef/>
      </w:r>
      <w:r w:rsidRPr="00D50AE6">
        <w:rPr>
          <w:lang w:val="en-US"/>
        </w:rPr>
        <w:t xml:space="preserve"> </w:t>
      </w:r>
      <w:proofErr w:type="spellStart"/>
      <w:r>
        <w:rPr>
          <w:lang w:val="en-US"/>
        </w:rPr>
        <w:t>Lindbeck</w:t>
      </w:r>
      <w:proofErr w:type="spellEnd"/>
      <w:r>
        <w:rPr>
          <w:lang w:val="en-US"/>
        </w:rPr>
        <w:t xml:space="preserve"> y </w:t>
      </w:r>
      <w:proofErr w:type="spellStart"/>
      <w:r>
        <w:rPr>
          <w:lang w:val="en-US"/>
        </w:rPr>
        <w:t>Weibull</w:t>
      </w:r>
      <w:proofErr w:type="spellEnd"/>
      <w:proofErr w:type="gramStart"/>
      <w:r>
        <w:rPr>
          <w:lang w:val="en-US"/>
        </w:rPr>
        <w:t>,</w:t>
      </w:r>
      <w:r w:rsidRPr="00A20EB3">
        <w:rPr>
          <w:lang w:val="en-US"/>
        </w:rPr>
        <w:t>“</w:t>
      </w:r>
      <w:proofErr w:type="gramEnd"/>
      <w:r w:rsidRPr="00A20EB3">
        <w:rPr>
          <w:lang w:val="en-US"/>
        </w:rPr>
        <w:t>A model of political equilibrium”</w:t>
      </w:r>
      <w:r>
        <w:rPr>
          <w:lang w:val="en-US"/>
        </w:rPr>
        <w:t>: 196</w:t>
      </w:r>
      <w:r w:rsidRPr="00A20EB3">
        <w:rPr>
          <w:lang w:val="en-US"/>
        </w:rPr>
        <w:t>.</w:t>
      </w:r>
    </w:p>
  </w:footnote>
  <w:footnote w:id="29">
    <w:p w14:paraId="1A4C516B" w14:textId="134989EB" w:rsidR="00481210" w:rsidRPr="005825CF" w:rsidRDefault="00481210" w:rsidP="00A30DA9">
      <w:pPr>
        <w:pStyle w:val="Notasdepie"/>
        <w:rPr>
          <w:lang w:val="en-US"/>
        </w:rPr>
      </w:pPr>
      <w:r>
        <w:rPr>
          <w:rStyle w:val="Refdenotaalpie"/>
        </w:rPr>
        <w:footnoteRef/>
      </w:r>
      <w:r w:rsidRPr="005825CF">
        <w:rPr>
          <w:lang w:val="en-US"/>
        </w:rPr>
        <w:t xml:space="preserve"> </w:t>
      </w:r>
      <w:proofErr w:type="spellStart"/>
      <w:r w:rsidRPr="00A20EB3">
        <w:rPr>
          <w:lang w:val="en-US"/>
        </w:rPr>
        <w:t>Lindbeck</w:t>
      </w:r>
      <w:proofErr w:type="spellEnd"/>
      <w:r w:rsidRPr="00A20EB3">
        <w:rPr>
          <w:lang w:val="en-US"/>
        </w:rPr>
        <w:t xml:space="preserve"> y </w:t>
      </w:r>
      <w:proofErr w:type="spellStart"/>
      <w:r w:rsidRPr="00A20EB3">
        <w:rPr>
          <w:lang w:val="en-US"/>
        </w:rPr>
        <w:t>Weibul</w:t>
      </w:r>
      <w:r>
        <w:rPr>
          <w:lang w:val="en-US"/>
        </w:rPr>
        <w:t>l</w:t>
      </w:r>
      <w:proofErr w:type="spellEnd"/>
      <w:r w:rsidRPr="00A20EB3">
        <w:rPr>
          <w:lang w:val="en-US"/>
        </w:rPr>
        <w:t xml:space="preserve"> “</w:t>
      </w:r>
      <w:r>
        <w:rPr>
          <w:lang w:val="en-US"/>
        </w:rPr>
        <w:t>Balanced budget redistribution”: 274.</w:t>
      </w:r>
    </w:p>
  </w:footnote>
  <w:footnote w:id="30">
    <w:p w14:paraId="7CDC43B8" w14:textId="73A510CB" w:rsidR="00481210" w:rsidRPr="000C2D46" w:rsidRDefault="00481210" w:rsidP="00A30DA9">
      <w:pPr>
        <w:pStyle w:val="Notasdepie"/>
        <w:rPr>
          <w:lang w:val="en-US"/>
        </w:rPr>
      </w:pPr>
      <w:r>
        <w:rPr>
          <w:rStyle w:val="Refdenotaalpie"/>
        </w:rPr>
        <w:footnoteRef/>
      </w:r>
      <w:r w:rsidRPr="00505E85">
        <w:rPr>
          <w:lang w:val="en-US"/>
        </w:rPr>
        <w:t xml:space="preserve"> </w:t>
      </w:r>
      <w:r w:rsidRPr="006E4E46">
        <w:rPr>
          <w:lang w:val="en-US"/>
        </w:rPr>
        <w:t xml:space="preserve">Cox y </w:t>
      </w:r>
      <w:proofErr w:type="spellStart"/>
      <w:r w:rsidRPr="006E4E46">
        <w:rPr>
          <w:lang w:val="en-US"/>
        </w:rPr>
        <w:t>McCub</w:t>
      </w:r>
      <w:r>
        <w:rPr>
          <w:lang w:val="en-US"/>
        </w:rPr>
        <w:t>bins</w:t>
      </w:r>
      <w:proofErr w:type="spellEnd"/>
      <w:r>
        <w:rPr>
          <w:lang w:val="en-US"/>
        </w:rPr>
        <w:t>, “Electoral Politics”: 375-376.</w:t>
      </w:r>
    </w:p>
  </w:footnote>
  <w:footnote w:id="31">
    <w:p w14:paraId="291EDF7C" w14:textId="77777777" w:rsidR="00481210" w:rsidRPr="00505E85" w:rsidRDefault="00481210" w:rsidP="00A30DA9">
      <w:pPr>
        <w:pStyle w:val="Notasdepie"/>
        <w:rPr>
          <w:lang w:val="en-US"/>
        </w:rPr>
      </w:pPr>
      <w:r w:rsidRPr="00505E85">
        <w:rPr>
          <w:rStyle w:val="Refdenotaalpie"/>
        </w:rPr>
        <w:footnoteRef/>
      </w:r>
      <w:r w:rsidRPr="00505E85">
        <w:rPr>
          <w:lang w:val="en-US"/>
        </w:rPr>
        <w:t xml:space="preserve"> </w:t>
      </w:r>
      <w:proofErr w:type="gramStart"/>
      <w:r w:rsidRPr="00505E85">
        <w:rPr>
          <w:lang w:val="en-US"/>
        </w:rPr>
        <w:t>Ibid.,</w:t>
      </w:r>
      <w:proofErr w:type="gramEnd"/>
      <w:r w:rsidRPr="00505E85">
        <w:rPr>
          <w:lang w:val="en-US"/>
        </w:rPr>
        <w:t xml:space="preserve"> 379.</w:t>
      </w:r>
    </w:p>
  </w:footnote>
  <w:footnote w:id="32">
    <w:p w14:paraId="2070526B" w14:textId="6CCA9034" w:rsidR="00481210" w:rsidRPr="00A20EB3" w:rsidRDefault="00481210" w:rsidP="00A30DA9">
      <w:pPr>
        <w:pStyle w:val="Notasdepie"/>
        <w:rPr>
          <w:lang w:val="en-US"/>
        </w:rPr>
      </w:pPr>
      <w:r w:rsidRPr="00A20EB3">
        <w:rPr>
          <w:rStyle w:val="Refdenotaalpie"/>
        </w:rPr>
        <w:footnoteRef/>
      </w:r>
      <w:r w:rsidRPr="00A20EB3">
        <w:rPr>
          <w:lang w:val="en-US"/>
        </w:rPr>
        <w:t xml:space="preserve"> Gary W. Cox, “Swing voters, core voters and distributive politics”, en </w:t>
      </w:r>
      <w:r w:rsidRPr="00A20EB3">
        <w:rPr>
          <w:i/>
          <w:lang w:val="en-US"/>
        </w:rPr>
        <w:t>Political Representation</w:t>
      </w:r>
      <w:r w:rsidRPr="00A20EB3">
        <w:rPr>
          <w:lang w:val="en-US"/>
        </w:rPr>
        <w:t>, eds. Ian Shapiro, Susan C. Stokes, Elisabeth Jean W</w:t>
      </w:r>
      <w:r>
        <w:rPr>
          <w:lang w:val="en-US"/>
        </w:rPr>
        <w:t xml:space="preserve">ood y Alexander S. </w:t>
      </w:r>
      <w:proofErr w:type="spellStart"/>
      <w:r>
        <w:rPr>
          <w:lang w:val="en-US"/>
        </w:rPr>
        <w:t>Kirshner</w:t>
      </w:r>
      <w:proofErr w:type="spellEnd"/>
      <w:r w:rsidRPr="00A20EB3">
        <w:rPr>
          <w:lang w:val="en-US"/>
        </w:rPr>
        <w:t xml:space="preserve"> (Cambridge: Cambridge University Press, 2009)</w:t>
      </w:r>
      <w:r>
        <w:rPr>
          <w:lang w:val="en-US"/>
        </w:rPr>
        <w:t>: 349</w:t>
      </w:r>
      <w:r w:rsidRPr="00A20EB3">
        <w:rPr>
          <w:lang w:val="en-US"/>
        </w:rPr>
        <w:t>.</w:t>
      </w:r>
    </w:p>
  </w:footnote>
  <w:footnote w:id="33">
    <w:p w14:paraId="10169975" w14:textId="4A1971AB" w:rsidR="00481210" w:rsidRPr="00A20EB3" w:rsidRDefault="00481210" w:rsidP="00A30DA9">
      <w:pPr>
        <w:pStyle w:val="Notasdepie"/>
        <w:rPr>
          <w:lang w:val="en-US"/>
        </w:rPr>
      </w:pPr>
      <w:r w:rsidRPr="00A20EB3">
        <w:rPr>
          <w:rStyle w:val="Refdenotaalpie"/>
        </w:rPr>
        <w:footnoteRef/>
      </w:r>
      <w:r>
        <w:rPr>
          <w:lang w:val="en-US"/>
        </w:rPr>
        <w:t xml:space="preserve"> </w:t>
      </w:r>
      <w:proofErr w:type="spellStart"/>
      <w:r>
        <w:rPr>
          <w:lang w:val="en-US"/>
        </w:rPr>
        <w:t>Í</w:t>
      </w:r>
      <w:r w:rsidRPr="00A20EB3">
        <w:rPr>
          <w:lang w:val="en-US"/>
        </w:rPr>
        <w:t>dem</w:t>
      </w:r>
      <w:proofErr w:type="spellEnd"/>
      <w:r w:rsidRPr="00A20EB3">
        <w:rPr>
          <w:lang w:val="en-US"/>
        </w:rPr>
        <w:t xml:space="preserve">. </w:t>
      </w:r>
    </w:p>
  </w:footnote>
  <w:footnote w:id="34">
    <w:p w14:paraId="4E09D506" w14:textId="75178874" w:rsidR="00481210" w:rsidRPr="00A20EB3" w:rsidRDefault="00481210" w:rsidP="00A30DA9">
      <w:pPr>
        <w:pStyle w:val="Notasdepie"/>
        <w:rPr>
          <w:lang w:val="en-US"/>
        </w:rPr>
      </w:pPr>
      <w:r w:rsidRPr="00A20EB3">
        <w:rPr>
          <w:rStyle w:val="Refdenotaalpie"/>
        </w:rPr>
        <w:footnoteRef/>
      </w:r>
      <w:r w:rsidRPr="00A20EB3">
        <w:rPr>
          <w:lang w:val="en-US"/>
        </w:rPr>
        <w:t xml:space="preserve"> Steven Levitt y James Snyder, “Political parties and the distribution of federal outlays”, </w:t>
      </w:r>
      <w:r w:rsidRPr="00A20EB3">
        <w:rPr>
          <w:i/>
          <w:lang w:val="en-US"/>
        </w:rPr>
        <w:t>American Journal of Political Science</w:t>
      </w:r>
      <w:r w:rsidRPr="00A20EB3">
        <w:rPr>
          <w:lang w:val="en-US"/>
        </w:rPr>
        <w:t xml:space="preserve">, </w:t>
      </w:r>
      <w:r>
        <w:rPr>
          <w:lang w:val="en-US"/>
        </w:rPr>
        <w:t>Vol. 39, No. 4 (</w:t>
      </w:r>
      <w:proofErr w:type="spellStart"/>
      <w:r>
        <w:rPr>
          <w:lang w:val="en-US"/>
        </w:rPr>
        <w:t>noviembre</w:t>
      </w:r>
      <w:proofErr w:type="spellEnd"/>
      <w:r>
        <w:rPr>
          <w:lang w:val="en-US"/>
        </w:rPr>
        <w:t xml:space="preserve"> 1995):</w:t>
      </w:r>
      <w:r w:rsidRPr="00A20EB3">
        <w:rPr>
          <w:lang w:val="en-US"/>
        </w:rPr>
        <w:t xml:space="preserve"> 958-980.</w:t>
      </w:r>
    </w:p>
  </w:footnote>
  <w:footnote w:id="35">
    <w:p w14:paraId="6A3E37DF" w14:textId="539A58DB" w:rsidR="00481210" w:rsidRPr="00A20EB3" w:rsidRDefault="00481210" w:rsidP="00A30DA9">
      <w:pPr>
        <w:pStyle w:val="Notasdepie"/>
        <w:rPr>
          <w:lang w:val="en-US"/>
        </w:rPr>
      </w:pPr>
      <w:r w:rsidRPr="00A20EB3">
        <w:rPr>
          <w:rStyle w:val="Refdenotaalpie"/>
        </w:rPr>
        <w:footnoteRef/>
      </w:r>
      <w:r w:rsidRPr="00A20EB3">
        <w:rPr>
          <w:lang w:val="en-US"/>
        </w:rPr>
        <w:t xml:space="preserve"> Steven </w:t>
      </w:r>
      <w:proofErr w:type="spellStart"/>
      <w:r w:rsidRPr="00A20EB3">
        <w:rPr>
          <w:lang w:val="en-US"/>
        </w:rPr>
        <w:t>Balla</w:t>
      </w:r>
      <w:proofErr w:type="spellEnd"/>
      <w:r w:rsidRPr="00A20EB3">
        <w:rPr>
          <w:lang w:val="en-US"/>
        </w:rPr>
        <w:t xml:space="preserve">, E. D. Lawrence, F. </w:t>
      </w:r>
      <w:proofErr w:type="spellStart"/>
      <w:r w:rsidRPr="00A20EB3">
        <w:rPr>
          <w:lang w:val="en-US"/>
        </w:rPr>
        <w:t>Maltzman</w:t>
      </w:r>
      <w:proofErr w:type="spellEnd"/>
      <w:r w:rsidRPr="00A20EB3">
        <w:rPr>
          <w:lang w:val="en-US"/>
        </w:rPr>
        <w:t xml:space="preserve"> y L. </w:t>
      </w:r>
      <w:proofErr w:type="spellStart"/>
      <w:r w:rsidRPr="00A20EB3">
        <w:rPr>
          <w:lang w:val="en-US"/>
        </w:rPr>
        <w:t>Sigelman</w:t>
      </w:r>
      <w:proofErr w:type="spellEnd"/>
      <w:r w:rsidRPr="00A20EB3">
        <w:rPr>
          <w:lang w:val="en-US"/>
        </w:rPr>
        <w:t xml:space="preserve">, “Partisanship, blame avoidance, and the distribution of legislative pork”, </w:t>
      </w:r>
      <w:r w:rsidRPr="00A20EB3">
        <w:rPr>
          <w:i/>
          <w:lang w:val="en-US"/>
        </w:rPr>
        <w:t>American Journal of Political Science</w:t>
      </w:r>
      <w:r>
        <w:rPr>
          <w:lang w:val="en-US"/>
        </w:rPr>
        <w:t>, Vol. 46, No. 3 (</w:t>
      </w:r>
      <w:proofErr w:type="spellStart"/>
      <w:proofErr w:type="gramStart"/>
      <w:r>
        <w:rPr>
          <w:lang w:val="en-US"/>
        </w:rPr>
        <w:t>julio</w:t>
      </w:r>
      <w:proofErr w:type="spellEnd"/>
      <w:proofErr w:type="gramEnd"/>
      <w:r>
        <w:rPr>
          <w:lang w:val="en-US"/>
        </w:rPr>
        <w:t xml:space="preserve"> 2002):</w:t>
      </w:r>
      <w:r w:rsidRPr="00A20EB3">
        <w:rPr>
          <w:lang w:val="en-US"/>
        </w:rPr>
        <w:t xml:space="preserve"> 515-525. </w:t>
      </w:r>
    </w:p>
  </w:footnote>
  <w:footnote w:id="36">
    <w:p w14:paraId="6FF2470B" w14:textId="4C4FD219" w:rsidR="00481210" w:rsidRPr="00A20EB3" w:rsidRDefault="00481210" w:rsidP="00A30DA9">
      <w:pPr>
        <w:pStyle w:val="Notasdepie"/>
      </w:pPr>
      <w:r w:rsidRPr="00A20EB3">
        <w:rPr>
          <w:rStyle w:val="Refdenotaalpie"/>
        </w:rPr>
        <w:footnoteRef/>
      </w:r>
      <w:r w:rsidRPr="00A20EB3">
        <w:t xml:space="preserve"> C</w:t>
      </w:r>
      <w:r>
        <w:t>alvo y Murillo, “</w:t>
      </w:r>
      <w:proofErr w:type="spellStart"/>
      <w:r>
        <w:t>Who</w:t>
      </w:r>
      <w:proofErr w:type="spellEnd"/>
      <w:r>
        <w:t xml:space="preserve"> </w:t>
      </w:r>
      <w:proofErr w:type="spellStart"/>
      <w:r>
        <w:t>delivers</w:t>
      </w:r>
      <w:proofErr w:type="spellEnd"/>
      <w:r>
        <w:t>?”:</w:t>
      </w:r>
      <w:r w:rsidRPr="00A20EB3">
        <w:t xml:space="preserve"> 742-757.</w:t>
      </w:r>
    </w:p>
  </w:footnote>
  <w:footnote w:id="37">
    <w:p w14:paraId="3C9C5374" w14:textId="026EDBC0" w:rsidR="00481210" w:rsidRPr="00A20EB3" w:rsidRDefault="00481210" w:rsidP="00A30DA9">
      <w:pPr>
        <w:pStyle w:val="Notasdepie"/>
        <w:rPr>
          <w:lang w:val="en-US"/>
        </w:rPr>
      </w:pPr>
      <w:r w:rsidRPr="00A20EB3">
        <w:rPr>
          <w:rStyle w:val="Refdenotaalpie"/>
        </w:rPr>
        <w:footnoteRef/>
      </w:r>
      <w:r w:rsidRPr="00A20EB3">
        <w:rPr>
          <w:lang w:val="en-US"/>
        </w:rPr>
        <w:t xml:space="preserve"> Susan Stokes, “Perverse accountability: A formal model of machine politics with evidence from Argentina”, </w:t>
      </w:r>
      <w:r w:rsidRPr="00A20EB3">
        <w:rPr>
          <w:i/>
          <w:lang w:val="en-US"/>
        </w:rPr>
        <w:t>American Political Science Review</w:t>
      </w:r>
      <w:r w:rsidRPr="00A20EB3">
        <w:rPr>
          <w:lang w:val="en-US"/>
        </w:rPr>
        <w:t>, Vol. 99</w:t>
      </w:r>
      <w:r>
        <w:rPr>
          <w:lang w:val="en-US"/>
        </w:rPr>
        <w:t>, No. 3 (</w:t>
      </w:r>
      <w:proofErr w:type="spellStart"/>
      <w:r>
        <w:rPr>
          <w:lang w:val="en-US"/>
        </w:rPr>
        <w:t>agosto-noviembre</w:t>
      </w:r>
      <w:proofErr w:type="spellEnd"/>
      <w:r>
        <w:rPr>
          <w:lang w:val="en-US"/>
        </w:rPr>
        <w:t xml:space="preserve"> 2005):</w:t>
      </w:r>
      <w:r w:rsidRPr="00A20EB3">
        <w:rPr>
          <w:lang w:val="en-US"/>
        </w:rPr>
        <w:t xml:space="preserve"> 315-325.</w:t>
      </w:r>
    </w:p>
  </w:footnote>
  <w:footnote w:id="38">
    <w:p w14:paraId="543A56B1" w14:textId="47FA9D8E" w:rsidR="00481210" w:rsidRPr="00A20EB3" w:rsidRDefault="00481210" w:rsidP="00A30DA9">
      <w:pPr>
        <w:pStyle w:val="Notasdepie"/>
        <w:rPr>
          <w:lang w:val="en-US"/>
        </w:rPr>
      </w:pPr>
      <w:r w:rsidRPr="00A20EB3">
        <w:rPr>
          <w:rStyle w:val="Refdenotaalpie"/>
        </w:rPr>
        <w:footnoteRef/>
      </w:r>
      <w:r w:rsidRPr="00A20EB3">
        <w:rPr>
          <w:lang w:val="en-US"/>
        </w:rPr>
        <w:t xml:space="preserve"> </w:t>
      </w:r>
      <w:proofErr w:type="spellStart"/>
      <w:r w:rsidRPr="00A20EB3">
        <w:rPr>
          <w:lang w:val="en-US"/>
        </w:rPr>
        <w:t>Matz</w:t>
      </w:r>
      <w:proofErr w:type="spellEnd"/>
      <w:r w:rsidRPr="00A20EB3">
        <w:rPr>
          <w:lang w:val="en-US"/>
        </w:rPr>
        <w:t xml:space="preserve"> Dahlberg y Eva Johansson, “On the Vote-Purchasing Behavior of Incumbent Governments”, </w:t>
      </w:r>
      <w:r w:rsidRPr="00A20EB3">
        <w:rPr>
          <w:i/>
          <w:lang w:val="en-US"/>
        </w:rPr>
        <w:t xml:space="preserve">American Political Science Review, </w:t>
      </w:r>
      <w:r w:rsidRPr="00A20EB3">
        <w:rPr>
          <w:lang w:val="en-US"/>
        </w:rPr>
        <w:t>Vol. 96, No. 1, (</w:t>
      </w:r>
      <w:proofErr w:type="spellStart"/>
      <w:r w:rsidRPr="00A20EB3">
        <w:rPr>
          <w:lang w:val="en-US"/>
        </w:rPr>
        <w:t>marzo</w:t>
      </w:r>
      <w:proofErr w:type="spellEnd"/>
      <w:r w:rsidRPr="00A20EB3">
        <w:rPr>
          <w:lang w:val="en-US"/>
        </w:rPr>
        <w:t xml:space="preserve"> 2002)</w:t>
      </w:r>
      <w:r>
        <w:rPr>
          <w:lang w:val="en-US"/>
        </w:rPr>
        <w:t>:</w:t>
      </w:r>
      <w:r w:rsidRPr="00A20EB3">
        <w:rPr>
          <w:lang w:val="en-US"/>
        </w:rPr>
        <w:t xml:space="preserve"> 27-40.</w:t>
      </w:r>
    </w:p>
  </w:footnote>
  <w:footnote w:id="39">
    <w:p w14:paraId="5D1C9E10" w14:textId="28EBBE3B" w:rsidR="00481210" w:rsidRPr="00A20EB3" w:rsidRDefault="00481210" w:rsidP="00A30DA9">
      <w:pPr>
        <w:pStyle w:val="Notasdepie"/>
        <w:rPr>
          <w:lang w:val="en-US"/>
        </w:rPr>
      </w:pPr>
      <w:r w:rsidRPr="00A20EB3">
        <w:rPr>
          <w:rStyle w:val="Refdenotaalpie"/>
        </w:rPr>
        <w:footnoteRef/>
      </w:r>
      <w:r w:rsidRPr="00A20EB3">
        <w:rPr>
          <w:lang w:val="en-US"/>
        </w:rPr>
        <w:t xml:space="preserve"> Kenneth N. Bickers y R. M. Stein, “The electoral dynamics of the federal pork barrel”, </w:t>
      </w:r>
      <w:r w:rsidRPr="00A20EB3">
        <w:rPr>
          <w:i/>
          <w:lang w:val="en-US"/>
        </w:rPr>
        <w:t>American Journal of Political Science</w:t>
      </w:r>
      <w:r w:rsidRPr="00A20EB3">
        <w:rPr>
          <w:lang w:val="en-US"/>
        </w:rPr>
        <w:t xml:space="preserve">, </w:t>
      </w:r>
      <w:r>
        <w:rPr>
          <w:lang w:val="en-US"/>
        </w:rPr>
        <w:t>Vol. 40, No. 4 (</w:t>
      </w:r>
      <w:proofErr w:type="spellStart"/>
      <w:r>
        <w:rPr>
          <w:lang w:val="en-US"/>
        </w:rPr>
        <w:t>noviembre</w:t>
      </w:r>
      <w:proofErr w:type="spellEnd"/>
      <w:r>
        <w:rPr>
          <w:lang w:val="en-US"/>
        </w:rPr>
        <w:t xml:space="preserve"> 1996):</w:t>
      </w:r>
      <w:r w:rsidRPr="00A20EB3">
        <w:rPr>
          <w:lang w:val="en-US"/>
        </w:rPr>
        <w:t xml:space="preserve"> 1300-1325.</w:t>
      </w:r>
    </w:p>
  </w:footnote>
  <w:footnote w:id="40">
    <w:p w14:paraId="2DE8BCE1" w14:textId="6DBA9FC3" w:rsidR="00481210" w:rsidRPr="00A20EB3" w:rsidRDefault="00481210" w:rsidP="00A30DA9">
      <w:pPr>
        <w:pStyle w:val="Notasdepie"/>
        <w:rPr>
          <w:lang w:val="en-US"/>
        </w:rPr>
      </w:pPr>
      <w:r w:rsidRPr="00A20EB3">
        <w:rPr>
          <w:rStyle w:val="Refdenotaalpie"/>
        </w:rPr>
        <w:footnoteRef/>
      </w:r>
      <w:r w:rsidRPr="00A20EB3">
        <w:rPr>
          <w:lang w:val="en-US"/>
        </w:rPr>
        <w:t xml:space="preserve"> David </w:t>
      </w:r>
      <w:proofErr w:type="spellStart"/>
      <w:r w:rsidRPr="00A20EB3">
        <w:rPr>
          <w:lang w:val="en-US"/>
        </w:rPr>
        <w:t>Denemark</w:t>
      </w:r>
      <w:proofErr w:type="spellEnd"/>
      <w:r w:rsidRPr="00A20EB3">
        <w:rPr>
          <w:lang w:val="en-US"/>
        </w:rPr>
        <w:t xml:space="preserve">, “Partisan pork barrel in parliamentary </w:t>
      </w:r>
      <w:proofErr w:type="spellStart"/>
      <w:r w:rsidRPr="00A20EB3">
        <w:rPr>
          <w:lang w:val="en-US"/>
        </w:rPr>
        <w:t>sistems</w:t>
      </w:r>
      <w:proofErr w:type="spellEnd"/>
      <w:r w:rsidRPr="00A20EB3">
        <w:rPr>
          <w:lang w:val="en-US"/>
        </w:rPr>
        <w:t xml:space="preserve">: Australian constituency-level grants”, </w:t>
      </w:r>
      <w:r w:rsidRPr="00A20EB3">
        <w:rPr>
          <w:i/>
          <w:lang w:val="en-US"/>
        </w:rPr>
        <w:t>The Journal of Politics</w:t>
      </w:r>
      <w:r>
        <w:rPr>
          <w:lang w:val="en-US"/>
        </w:rPr>
        <w:t>, Vol. 62, No. 3 (</w:t>
      </w:r>
      <w:proofErr w:type="spellStart"/>
      <w:r>
        <w:rPr>
          <w:lang w:val="en-US"/>
        </w:rPr>
        <w:t>agosto</w:t>
      </w:r>
      <w:proofErr w:type="spellEnd"/>
      <w:r>
        <w:rPr>
          <w:lang w:val="en-US"/>
        </w:rPr>
        <w:t xml:space="preserve"> 2000):</w:t>
      </w:r>
      <w:r w:rsidRPr="00A20EB3">
        <w:rPr>
          <w:lang w:val="en-US"/>
        </w:rPr>
        <w:t xml:space="preserve"> 896-915.</w:t>
      </w:r>
    </w:p>
  </w:footnote>
  <w:footnote w:id="41">
    <w:p w14:paraId="54A2E13F" w14:textId="40C54999" w:rsidR="00481210" w:rsidRDefault="00481210" w:rsidP="00A30DA9">
      <w:pPr>
        <w:pStyle w:val="Notasdepie"/>
      </w:pPr>
      <w:r w:rsidRPr="00A20EB3">
        <w:rPr>
          <w:rStyle w:val="Refdenotaalpie"/>
        </w:rPr>
        <w:footnoteRef/>
      </w:r>
      <w:r>
        <w:t xml:space="preserve"> Dí</w:t>
      </w:r>
      <w:r w:rsidRPr="00A20EB3">
        <w:t>az-</w:t>
      </w:r>
      <w:proofErr w:type="spellStart"/>
      <w:r w:rsidRPr="00A20EB3">
        <w:t>Cayeros</w:t>
      </w:r>
      <w:proofErr w:type="spellEnd"/>
      <w:r w:rsidRPr="00A20EB3">
        <w:t xml:space="preserve">, Estévez y </w:t>
      </w:r>
      <w:proofErr w:type="spellStart"/>
      <w:r>
        <w:t>Magaloni</w:t>
      </w:r>
      <w:proofErr w:type="spellEnd"/>
      <w:r>
        <w:t>, “</w:t>
      </w:r>
      <w:proofErr w:type="spellStart"/>
      <w:r>
        <w:t>The</w:t>
      </w:r>
      <w:proofErr w:type="spellEnd"/>
      <w:r>
        <w:t xml:space="preserve"> </w:t>
      </w:r>
      <w:proofErr w:type="spellStart"/>
      <w:r>
        <w:t>Core</w:t>
      </w:r>
      <w:proofErr w:type="spellEnd"/>
      <w:r>
        <w:t xml:space="preserve"> </w:t>
      </w:r>
      <w:proofErr w:type="spellStart"/>
      <w:r>
        <w:t>Voter</w:t>
      </w:r>
      <w:proofErr w:type="spellEnd"/>
      <w:r>
        <w:t xml:space="preserve"> </w:t>
      </w:r>
      <w:proofErr w:type="spellStart"/>
      <w:r>
        <w:t>Model</w:t>
      </w:r>
      <w:proofErr w:type="spellEnd"/>
      <w:r>
        <w:t xml:space="preserve">: </w:t>
      </w:r>
      <w:proofErr w:type="spellStart"/>
      <w:r>
        <w:t>Evi</w:t>
      </w:r>
      <w:r w:rsidRPr="00A20EB3">
        <w:t>dence</w:t>
      </w:r>
      <w:proofErr w:type="spellEnd"/>
      <w:r w:rsidRPr="00A20EB3">
        <w:t xml:space="preserve"> </w:t>
      </w:r>
      <w:proofErr w:type="spellStart"/>
      <w:r w:rsidRPr="00A20EB3">
        <w:t>From</w:t>
      </w:r>
      <w:proofErr w:type="spellEnd"/>
      <w:r w:rsidRPr="00A20EB3">
        <w:t xml:space="preserve"> </w:t>
      </w:r>
      <w:proofErr w:type="spellStart"/>
      <w:r w:rsidRPr="00A20EB3">
        <w:t>Mexico</w:t>
      </w:r>
      <w:proofErr w:type="spellEnd"/>
      <w:r w:rsidRPr="00A20EB3">
        <w:t xml:space="preserve">”. </w:t>
      </w:r>
    </w:p>
  </w:footnote>
  <w:footnote w:id="42">
    <w:p w14:paraId="07A8221B" w14:textId="77777777" w:rsidR="00481210" w:rsidRPr="00A20EB3" w:rsidRDefault="00481210" w:rsidP="00A30DA9">
      <w:pPr>
        <w:pStyle w:val="Notasdepie"/>
      </w:pPr>
      <w:r w:rsidRPr="00A20EB3">
        <w:rPr>
          <w:rStyle w:val="Refdenotaalpie"/>
        </w:rPr>
        <w:footnoteRef/>
      </w:r>
      <w:r w:rsidRPr="00A20EB3">
        <w:t xml:space="preserve"> </w:t>
      </w:r>
      <w:proofErr w:type="spellStart"/>
      <w:r w:rsidRPr="00A20EB3">
        <w:t>Ibid</w:t>
      </w:r>
      <w:proofErr w:type="spellEnd"/>
      <w:r w:rsidRPr="00A20EB3">
        <w:t>., 4</w:t>
      </w:r>
    </w:p>
  </w:footnote>
  <w:footnote w:id="43">
    <w:p w14:paraId="58310EB8" w14:textId="77777777" w:rsidR="00481210" w:rsidRPr="00A20EB3" w:rsidRDefault="00481210" w:rsidP="00A30DA9">
      <w:pPr>
        <w:pStyle w:val="Notasdepie"/>
      </w:pPr>
      <w:r w:rsidRPr="00A20EB3">
        <w:rPr>
          <w:rStyle w:val="Refdenotaalpie"/>
        </w:rPr>
        <w:footnoteRef/>
      </w:r>
      <w:r w:rsidRPr="00A20EB3">
        <w:t xml:space="preserve"> </w:t>
      </w:r>
      <w:r>
        <w:t>Hernández y Jarillo</w:t>
      </w:r>
      <w:r w:rsidRPr="00A20EB3">
        <w:t>, “Transferencias condicionadas federales</w:t>
      </w:r>
      <w:r>
        <w:t>”.</w:t>
      </w:r>
    </w:p>
  </w:footnote>
  <w:footnote w:id="44">
    <w:p w14:paraId="6D0E896D" w14:textId="77777777" w:rsidR="00481210" w:rsidRDefault="00481210" w:rsidP="00A30DA9">
      <w:pPr>
        <w:pStyle w:val="Notasdepie"/>
      </w:pPr>
      <w:r w:rsidRPr="00A20EB3">
        <w:rPr>
          <w:rStyle w:val="Refdenotaalpie"/>
        </w:rPr>
        <w:footnoteRef/>
      </w:r>
      <w:r w:rsidRPr="00A20EB3">
        <w:t xml:space="preserve"> </w:t>
      </w:r>
      <w:proofErr w:type="spellStart"/>
      <w:r w:rsidRPr="00A20EB3">
        <w:t>Ibid</w:t>
      </w:r>
      <w:proofErr w:type="spellEnd"/>
      <w:r w:rsidRPr="00A20EB3">
        <w:t>., 171</w:t>
      </w:r>
    </w:p>
  </w:footnote>
  <w:footnote w:id="45">
    <w:p w14:paraId="61BAF99B" w14:textId="122BC056" w:rsidR="00481210" w:rsidRPr="00DE546F" w:rsidRDefault="00481210" w:rsidP="00A30DA9">
      <w:pPr>
        <w:pStyle w:val="Notasdepie"/>
      </w:pPr>
      <w:r w:rsidRPr="00DE546F">
        <w:rPr>
          <w:rStyle w:val="Refdenotaalpie"/>
        </w:rPr>
        <w:footnoteRef/>
      </w:r>
      <w:r w:rsidRPr="00DE546F">
        <w:t xml:space="preserve"> Distribución de la población según categoría rural,</w:t>
      </w:r>
      <w:r>
        <w:t xml:space="preserve"> </w:t>
      </w:r>
      <w:r w:rsidRPr="00DE546F">
        <w:t>mixta o urbana por municipio, 2010. Variable con</w:t>
      </w:r>
      <w:r>
        <w:t>s</w:t>
      </w:r>
      <w:r w:rsidRPr="00DE546F">
        <w:t xml:space="preserve">truida por el Instituto Nacional de Ecología de la SEMARNAT. La base de datos se puede consultar en el link de descarga debajo del mapa en la siguiente dirección </w:t>
      </w:r>
      <w:hyperlink r:id="rId2" w:history="1">
        <w:r w:rsidRPr="00DE546F">
          <w:rPr>
            <w:rStyle w:val="Hipervnculo"/>
          </w:rPr>
          <w:t>http://www2.inecc.gob.mx/emapas/repmex_catrmu10.html</w:t>
        </w:r>
      </w:hyperlink>
      <w:r>
        <w:rPr>
          <w:rStyle w:val="Hipervnculo"/>
        </w:rPr>
        <w:t xml:space="preserve"> </w:t>
      </w:r>
      <w:r w:rsidRPr="003C17CA">
        <w:t>(Fecha de consulta: 8 de junio de 2013)</w:t>
      </w:r>
      <w:r>
        <w:t>.</w:t>
      </w:r>
    </w:p>
  </w:footnote>
  <w:footnote w:id="46">
    <w:p w14:paraId="57DA71B8" w14:textId="2A541269" w:rsidR="00481210" w:rsidRDefault="00481210" w:rsidP="00FB1A6E">
      <w:pPr>
        <w:pStyle w:val="Notasdepie"/>
      </w:pPr>
      <w:r>
        <w:rPr>
          <w:rStyle w:val="Refdenotaalpie"/>
        </w:rPr>
        <w:footnoteRef/>
      </w:r>
      <w:r>
        <w:t xml:space="preserve"> De acuerdo con el numeral 4 de los lineamientos de 2013 se establece que el objeto del </w:t>
      </w:r>
      <w:proofErr w:type="spellStart"/>
      <w:r>
        <w:t>Fonregión</w:t>
      </w:r>
      <w:proofErr w:type="spellEnd"/>
      <w:r>
        <w:t xml:space="preserve"> es apoyar a las 10 entidades federativas con menor IDH, a través de proyectos de inversión destinados a “mantener e incrementar el capital físico, la capacidad productiva, o ambos, así como para impulsar el desarrollo regional equilibrado mediante infraestructura pública y su equipamiento”. Se establece también que primordialmente se apoyarán programas y/o proyectos de inversión en infraestructura carretera, salud y educación. Asimismo, en el numeral 19 se establece que únicamente habrá dos ministraciones durante el año.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D657B"/>
    <w:multiLevelType w:val="hybridMultilevel"/>
    <w:tmpl w:val="DAC8BAB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2EE00C75"/>
    <w:multiLevelType w:val="hybridMultilevel"/>
    <w:tmpl w:val="A244B5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C4153E1"/>
    <w:multiLevelType w:val="hybridMultilevel"/>
    <w:tmpl w:val="9DFA08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31008C5"/>
    <w:multiLevelType w:val="hybridMultilevel"/>
    <w:tmpl w:val="F2E283AC"/>
    <w:lvl w:ilvl="0" w:tplc="34DEB7E2">
      <w:start w:val="4"/>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89300EB"/>
    <w:multiLevelType w:val="hybridMultilevel"/>
    <w:tmpl w:val="657CAF3C"/>
    <w:lvl w:ilvl="0" w:tplc="15FCE1A2">
      <w:start w:val="1"/>
      <w:numFmt w:val="upperRoman"/>
      <w:pStyle w:val="Estilo1"/>
      <w:lvlText w:val="%1."/>
      <w:lvlJc w:val="left"/>
      <w:pPr>
        <w:ind w:left="1080" w:hanging="720"/>
      </w:pPr>
      <w:rPr>
        <w:rFonts w:hint="default"/>
        <w:i/>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5092258C"/>
    <w:multiLevelType w:val="hybridMultilevel"/>
    <w:tmpl w:val="511AB1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2263667"/>
    <w:multiLevelType w:val="hybridMultilevel"/>
    <w:tmpl w:val="B3E60D2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56D027F4"/>
    <w:multiLevelType w:val="hybridMultilevel"/>
    <w:tmpl w:val="7652C0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58614631"/>
    <w:multiLevelType w:val="hybridMultilevel"/>
    <w:tmpl w:val="232EF1E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6AAD4FF2"/>
    <w:multiLevelType w:val="hybridMultilevel"/>
    <w:tmpl w:val="961AC9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6F280EE7"/>
    <w:multiLevelType w:val="hybridMultilevel"/>
    <w:tmpl w:val="AD4A7F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8"/>
  </w:num>
  <w:num w:numId="4">
    <w:abstractNumId w:val="9"/>
  </w:num>
  <w:num w:numId="5">
    <w:abstractNumId w:val="6"/>
  </w:num>
  <w:num w:numId="6">
    <w:abstractNumId w:val="2"/>
  </w:num>
  <w:num w:numId="7">
    <w:abstractNumId w:val="7"/>
  </w:num>
  <w:num w:numId="8">
    <w:abstractNumId w:val="1"/>
  </w:num>
  <w:num w:numId="9">
    <w:abstractNumId w:val="3"/>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5F7"/>
    <w:rsid w:val="00002233"/>
    <w:rsid w:val="00002382"/>
    <w:rsid w:val="00003507"/>
    <w:rsid w:val="0000592B"/>
    <w:rsid w:val="0000723E"/>
    <w:rsid w:val="00010D15"/>
    <w:rsid w:val="00011D32"/>
    <w:rsid w:val="00020F65"/>
    <w:rsid w:val="00023686"/>
    <w:rsid w:val="000250D8"/>
    <w:rsid w:val="000257C8"/>
    <w:rsid w:val="00027BA1"/>
    <w:rsid w:val="0003030F"/>
    <w:rsid w:val="00031593"/>
    <w:rsid w:val="000323CC"/>
    <w:rsid w:val="00032B73"/>
    <w:rsid w:val="00035591"/>
    <w:rsid w:val="00035BB0"/>
    <w:rsid w:val="0003658F"/>
    <w:rsid w:val="00036FB4"/>
    <w:rsid w:val="00043EFF"/>
    <w:rsid w:val="00044245"/>
    <w:rsid w:val="00044A3D"/>
    <w:rsid w:val="00046C60"/>
    <w:rsid w:val="000510AB"/>
    <w:rsid w:val="00061D4E"/>
    <w:rsid w:val="000635E1"/>
    <w:rsid w:val="00064F02"/>
    <w:rsid w:val="0007123E"/>
    <w:rsid w:val="00072B7C"/>
    <w:rsid w:val="00074C53"/>
    <w:rsid w:val="00077B15"/>
    <w:rsid w:val="0008398B"/>
    <w:rsid w:val="00086CB9"/>
    <w:rsid w:val="00087416"/>
    <w:rsid w:val="00090B67"/>
    <w:rsid w:val="000941F9"/>
    <w:rsid w:val="000964FF"/>
    <w:rsid w:val="000A0DDD"/>
    <w:rsid w:val="000A1906"/>
    <w:rsid w:val="000A2992"/>
    <w:rsid w:val="000A3A65"/>
    <w:rsid w:val="000A5FCB"/>
    <w:rsid w:val="000B3CFC"/>
    <w:rsid w:val="000B4843"/>
    <w:rsid w:val="000B52DD"/>
    <w:rsid w:val="000B5A79"/>
    <w:rsid w:val="000C0CC3"/>
    <w:rsid w:val="000C22CA"/>
    <w:rsid w:val="000C2D46"/>
    <w:rsid w:val="000C33F5"/>
    <w:rsid w:val="000C6392"/>
    <w:rsid w:val="000D045E"/>
    <w:rsid w:val="000D1004"/>
    <w:rsid w:val="000D417E"/>
    <w:rsid w:val="000D6067"/>
    <w:rsid w:val="000D67EE"/>
    <w:rsid w:val="000E1280"/>
    <w:rsid w:val="000E443E"/>
    <w:rsid w:val="000E790A"/>
    <w:rsid w:val="000F04B5"/>
    <w:rsid w:val="000F184F"/>
    <w:rsid w:val="000F2678"/>
    <w:rsid w:val="001011CA"/>
    <w:rsid w:val="00103A25"/>
    <w:rsid w:val="001046DF"/>
    <w:rsid w:val="00105E9C"/>
    <w:rsid w:val="00106AAD"/>
    <w:rsid w:val="00107521"/>
    <w:rsid w:val="0010787D"/>
    <w:rsid w:val="00107AAD"/>
    <w:rsid w:val="00107C37"/>
    <w:rsid w:val="001120A5"/>
    <w:rsid w:val="00112A2A"/>
    <w:rsid w:val="001135CB"/>
    <w:rsid w:val="00116DCA"/>
    <w:rsid w:val="00120BF5"/>
    <w:rsid w:val="00130723"/>
    <w:rsid w:val="001329CA"/>
    <w:rsid w:val="001330BF"/>
    <w:rsid w:val="00135211"/>
    <w:rsid w:val="001354CC"/>
    <w:rsid w:val="00136B6C"/>
    <w:rsid w:val="00143F3D"/>
    <w:rsid w:val="0014546B"/>
    <w:rsid w:val="00146E96"/>
    <w:rsid w:val="00153059"/>
    <w:rsid w:val="00157BC8"/>
    <w:rsid w:val="00160537"/>
    <w:rsid w:val="001606C4"/>
    <w:rsid w:val="00160C65"/>
    <w:rsid w:val="00161E3C"/>
    <w:rsid w:val="00162F4F"/>
    <w:rsid w:val="00165295"/>
    <w:rsid w:val="001656CA"/>
    <w:rsid w:val="00166166"/>
    <w:rsid w:val="00170A4F"/>
    <w:rsid w:val="00170F4C"/>
    <w:rsid w:val="001718FE"/>
    <w:rsid w:val="00173BDC"/>
    <w:rsid w:val="001740D4"/>
    <w:rsid w:val="00182D1A"/>
    <w:rsid w:val="00183EF6"/>
    <w:rsid w:val="001866C9"/>
    <w:rsid w:val="001872CA"/>
    <w:rsid w:val="00191AB4"/>
    <w:rsid w:val="001962B7"/>
    <w:rsid w:val="00197AD8"/>
    <w:rsid w:val="001A3FC5"/>
    <w:rsid w:val="001A462B"/>
    <w:rsid w:val="001A7DD5"/>
    <w:rsid w:val="001B0C17"/>
    <w:rsid w:val="001B2D0A"/>
    <w:rsid w:val="001B3A56"/>
    <w:rsid w:val="001B4DCA"/>
    <w:rsid w:val="001B5F64"/>
    <w:rsid w:val="001C0289"/>
    <w:rsid w:val="001C1C73"/>
    <w:rsid w:val="001C1F37"/>
    <w:rsid w:val="001C6BAE"/>
    <w:rsid w:val="001D2818"/>
    <w:rsid w:val="001D64A9"/>
    <w:rsid w:val="001E0340"/>
    <w:rsid w:val="001E0C55"/>
    <w:rsid w:val="001E1054"/>
    <w:rsid w:val="001E15F0"/>
    <w:rsid w:val="001E3CB3"/>
    <w:rsid w:val="001E4097"/>
    <w:rsid w:val="001E655A"/>
    <w:rsid w:val="001E7D49"/>
    <w:rsid w:val="001F0202"/>
    <w:rsid w:val="001F1269"/>
    <w:rsid w:val="001F2FD0"/>
    <w:rsid w:val="001F31DE"/>
    <w:rsid w:val="001F4C6F"/>
    <w:rsid w:val="001F754E"/>
    <w:rsid w:val="00203543"/>
    <w:rsid w:val="00203BED"/>
    <w:rsid w:val="00204252"/>
    <w:rsid w:val="00212FF8"/>
    <w:rsid w:val="00213A10"/>
    <w:rsid w:val="0022271A"/>
    <w:rsid w:val="00223580"/>
    <w:rsid w:val="00224223"/>
    <w:rsid w:val="00224D44"/>
    <w:rsid w:val="002267EE"/>
    <w:rsid w:val="002276E2"/>
    <w:rsid w:val="0023642C"/>
    <w:rsid w:val="00241802"/>
    <w:rsid w:val="00243294"/>
    <w:rsid w:val="00243541"/>
    <w:rsid w:val="0025325B"/>
    <w:rsid w:val="002570EB"/>
    <w:rsid w:val="00260FF5"/>
    <w:rsid w:val="002647D2"/>
    <w:rsid w:val="00266393"/>
    <w:rsid w:val="00266BA8"/>
    <w:rsid w:val="00272850"/>
    <w:rsid w:val="00272AF4"/>
    <w:rsid w:val="0027613D"/>
    <w:rsid w:val="00277049"/>
    <w:rsid w:val="002775A5"/>
    <w:rsid w:val="00277BAC"/>
    <w:rsid w:val="002841B1"/>
    <w:rsid w:val="002875A4"/>
    <w:rsid w:val="002916B5"/>
    <w:rsid w:val="00296661"/>
    <w:rsid w:val="002972F6"/>
    <w:rsid w:val="002A1E0D"/>
    <w:rsid w:val="002A322D"/>
    <w:rsid w:val="002B1256"/>
    <w:rsid w:val="002B2803"/>
    <w:rsid w:val="002B4EEB"/>
    <w:rsid w:val="002B5725"/>
    <w:rsid w:val="002B5BA8"/>
    <w:rsid w:val="002B7F7A"/>
    <w:rsid w:val="002C2BA3"/>
    <w:rsid w:val="002C2F01"/>
    <w:rsid w:val="002D0A95"/>
    <w:rsid w:val="002E0392"/>
    <w:rsid w:val="002E55D9"/>
    <w:rsid w:val="002E6AB0"/>
    <w:rsid w:val="002F311F"/>
    <w:rsid w:val="002F5921"/>
    <w:rsid w:val="002F6952"/>
    <w:rsid w:val="002F7D51"/>
    <w:rsid w:val="00300B3C"/>
    <w:rsid w:val="0030222D"/>
    <w:rsid w:val="003030A4"/>
    <w:rsid w:val="003057E4"/>
    <w:rsid w:val="003118BC"/>
    <w:rsid w:val="00311F47"/>
    <w:rsid w:val="00312EC5"/>
    <w:rsid w:val="00313567"/>
    <w:rsid w:val="003157B2"/>
    <w:rsid w:val="00316310"/>
    <w:rsid w:val="00320D3B"/>
    <w:rsid w:val="00320DBE"/>
    <w:rsid w:val="00322B63"/>
    <w:rsid w:val="003234DB"/>
    <w:rsid w:val="00324DCC"/>
    <w:rsid w:val="00325D87"/>
    <w:rsid w:val="003262CC"/>
    <w:rsid w:val="00326872"/>
    <w:rsid w:val="0032703C"/>
    <w:rsid w:val="0033281C"/>
    <w:rsid w:val="00332F68"/>
    <w:rsid w:val="00334545"/>
    <w:rsid w:val="0033486E"/>
    <w:rsid w:val="00336523"/>
    <w:rsid w:val="003418CC"/>
    <w:rsid w:val="003419E6"/>
    <w:rsid w:val="00343682"/>
    <w:rsid w:val="00343A0B"/>
    <w:rsid w:val="00347DD6"/>
    <w:rsid w:val="00350B2E"/>
    <w:rsid w:val="003525F8"/>
    <w:rsid w:val="00352ACD"/>
    <w:rsid w:val="003539EA"/>
    <w:rsid w:val="00361B09"/>
    <w:rsid w:val="0036490B"/>
    <w:rsid w:val="00367B52"/>
    <w:rsid w:val="003712B1"/>
    <w:rsid w:val="00372865"/>
    <w:rsid w:val="00373338"/>
    <w:rsid w:val="00376AB1"/>
    <w:rsid w:val="00377918"/>
    <w:rsid w:val="003807C5"/>
    <w:rsid w:val="00381C42"/>
    <w:rsid w:val="00384182"/>
    <w:rsid w:val="00384400"/>
    <w:rsid w:val="00384F09"/>
    <w:rsid w:val="003855AC"/>
    <w:rsid w:val="00385F97"/>
    <w:rsid w:val="00391B2B"/>
    <w:rsid w:val="00391F56"/>
    <w:rsid w:val="00393208"/>
    <w:rsid w:val="003961F7"/>
    <w:rsid w:val="00397AE3"/>
    <w:rsid w:val="003A1225"/>
    <w:rsid w:val="003A30DF"/>
    <w:rsid w:val="003B1054"/>
    <w:rsid w:val="003B38BF"/>
    <w:rsid w:val="003B50DF"/>
    <w:rsid w:val="003C17CA"/>
    <w:rsid w:val="003C1A23"/>
    <w:rsid w:val="003C3106"/>
    <w:rsid w:val="003C4B6A"/>
    <w:rsid w:val="003C585A"/>
    <w:rsid w:val="003C6E49"/>
    <w:rsid w:val="003D101E"/>
    <w:rsid w:val="003D11AE"/>
    <w:rsid w:val="003D15C9"/>
    <w:rsid w:val="003D1900"/>
    <w:rsid w:val="003D4221"/>
    <w:rsid w:val="003D6517"/>
    <w:rsid w:val="003E070D"/>
    <w:rsid w:val="003E079F"/>
    <w:rsid w:val="003E143D"/>
    <w:rsid w:val="003E21C3"/>
    <w:rsid w:val="003E2E49"/>
    <w:rsid w:val="003E3F9E"/>
    <w:rsid w:val="003E43E5"/>
    <w:rsid w:val="003E4BA0"/>
    <w:rsid w:val="003F121C"/>
    <w:rsid w:val="003F2F5C"/>
    <w:rsid w:val="003F341D"/>
    <w:rsid w:val="003F346F"/>
    <w:rsid w:val="003F5D4A"/>
    <w:rsid w:val="003F5D61"/>
    <w:rsid w:val="003F6719"/>
    <w:rsid w:val="003F6F8C"/>
    <w:rsid w:val="00405A7B"/>
    <w:rsid w:val="00405B96"/>
    <w:rsid w:val="00407432"/>
    <w:rsid w:val="0041483B"/>
    <w:rsid w:val="00414E48"/>
    <w:rsid w:val="004217DF"/>
    <w:rsid w:val="00421A83"/>
    <w:rsid w:val="00424974"/>
    <w:rsid w:val="0043024C"/>
    <w:rsid w:val="00434558"/>
    <w:rsid w:val="0043698E"/>
    <w:rsid w:val="00440AE5"/>
    <w:rsid w:val="00442566"/>
    <w:rsid w:val="00443425"/>
    <w:rsid w:val="00445D06"/>
    <w:rsid w:val="00446F75"/>
    <w:rsid w:val="00450046"/>
    <w:rsid w:val="004514ED"/>
    <w:rsid w:val="00452BD1"/>
    <w:rsid w:val="004557D3"/>
    <w:rsid w:val="00455E09"/>
    <w:rsid w:val="00457C59"/>
    <w:rsid w:val="004624D9"/>
    <w:rsid w:val="00462510"/>
    <w:rsid w:val="00462A07"/>
    <w:rsid w:val="0046309D"/>
    <w:rsid w:val="004640F6"/>
    <w:rsid w:val="004657AA"/>
    <w:rsid w:val="00467D62"/>
    <w:rsid w:val="004712A0"/>
    <w:rsid w:val="004718E5"/>
    <w:rsid w:val="004719DA"/>
    <w:rsid w:val="00471AFA"/>
    <w:rsid w:val="004737BB"/>
    <w:rsid w:val="00481210"/>
    <w:rsid w:val="004833F6"/>
    <w:rsid w:val="004837D0"/>
    <w:rsid w:val="00483978"/>
    <w:rsid w:val="00483BDF"/>
    <w:rsid w:val="00483EDF"/>
    <w:rsid w:val="0048404C"/>
    <w:rsid w:val="00485D26"/>
    <w:rsid w:val="00487671"/>
    <w:rsid w:val="004914AE"/>
    <w:rsid w:val="00493252"/>
    <w:rsid w:val="00497234"/>
    <w:rsid w:val="004A0562"/>
    <w:rsid w:val="004A080E"/>
    <w:rsid w:val="004A4B9E"/>
    <w:rsid w:val="004A7A88"/>
    <w:rsid w:val="004B0371"/>
    <w:rsid w:val="004B1DD0"/>
    <w:rsid w:val="004B2108"/>
    <w:rsid w:val="004B313E"/>
    <w:rsid w:val="004B4377"/>
    <w:rsid w:val="004B4789"/>
    <w:rsid w:val="004B5631"/>
    <w:rsid w:val="004B5BB4"/>
    <w:rsid w:val="004B691E"/>
    <w:rsid w:val="004C2C9D"/>
    <w:rsid w:val="004C3B9B"/>
    <w:rsid w:val="004C3D2B"/>
    <w:rsid w:val="004C650F"/>
    <w:rsid w:val="004D3E72"/>
    <w:rsid w:val="004D441D"/>
    <w:rsid w:val="004D7D47"/>
    <w:rsid w:val="004E0E06"/>
    <w:rsid w:val="004E70E2"/>
    <w:rsid w:val="004E79FE"/>
    <w:rsid w:val="004F0786"/>
    <w:rsid w:val="004F4AEA"/>
    <w:rsid w:val="005015EE"/>
    <w:rsid w:val="00504A43"/>
    <w:rsid w:val="00505E85"/>
    <w:rsid w:val="00507083"/>
    <w:rsid w:val="005071EA"/>
    <w:rsid w:val="0051401B"/>
    <w:rsid w:val="0051520D"/>
    <w:rsid w:val="005154D8"/>
    <w:rsid w:val="0051734D"/>
    <w:rsid w:val="005178B0"/>
    <w:rsid w:val="00517915"/>
    <w:rsid w:val="00517FA3"/>
    <w:rsid w:val="00520B1B"/>
    <w:rsid w:val="00522202"/>
    <w:rsid w:val="00522333"/>
    <w:rsid w:val="005255B8"/>
    <w:rsid w:val="0052671A"/>
    <w:rsid w:val="00533266"/>
    <w:rsid w:val="00535227"/>
    <w:rsid w:val="00535A1F"/>
    <w:rsid w:val="0054154C"/>
    <w:rsid w:val="00541887"/>
    <w:rsid w:val="00542318"/>
    <w:rsid w:val="0054257F"/>
    <w:rsid w:val="005427D9"/>
    <w:rsid w:val="00546A50"/>
    <w:rsid w:val="0054791E"/>
    <w:rsid w:val="00555368"/>
    <w:rsid w:val="0056109A"/>
    <w:rsid w:val="005623A1"/>
    <w:rsid w:val="005639CB"/>
    <w:rsid w:val="00567ED1"/>
    <w:rsid w:val="00574E4F"/>
    <w:rsid w:val="00577375"/>
    <w:rsid w:val="0058197B"/>
    <w:rsid w:val="005825CF"/>
    <w:rsid w:val="00590662"/>
    <w:rsid w:val="0059234E"/>
    <w:rsid w:val="005929DC"/>
    <w:rsid w:val="00592E47"/>
    <w:rsid w:val="00596748"/>
    <w:rsid w:val="005976B2"/>
    <w:rsid w:val="0059773D"/>
    <w:rsid w:val="00597C91"/>
    <w:rsid w:val="005A27C9"/>
    <w:rsid w:val="005A39F6"/>
    <w:rsid w:val="005A478A"/>
    <w:rsid w:val="005A49C4"/>
    <w:rsid w:val="005B4816"/>
    <w:rsid w:val="005B4BFB"/>
    <w:rsid w:val="005C02B5"/>
    <w:rsid w:val="005C14A0"/>
    <w:rsid w:val="005C199B"/>
    <w:rsid w:val="005C4221"/>
    <w:rsid w:val="005C7A55"/>
    <w:rsid w:val="005D0ABB"/>
    <w:rsid w:val="005D1B73"/>
    <w:rsid w:val="005D1E0D"/>
    <w:rsid w:val="005D5BC2"/>
    <w:rsid w:val="005D6C9B"/>
    <w:rsid w:val="005E17D7"/>
    <w:rsid w:val="005E1860"/>
    <w:rsid w:val="005E23EB"/>
    <w:rsid w:val="005E3562"/>
    <w:rsid w:val="005E5E18"/>
    <w:rsid w:val="005E6A2D"/>
    <w:rsid w:val="005F13D8"/>
    <w:rsid w:val="005F20B6"/>
    <w:rsid w:val="005F2809"/>
    <w:rsid w:val="005F59B6"/>
    <w:rsid w:val="005F60B2"/>
    <w:rsid w:val="005F6834"/>
    <w:rsid w:val="00601009"/>
    <w:rsid w:val="00605ECE"/>
    <w:rsid w:val="00607281"/>
    <w:rsid w:val="00607429"/>
    <w:rsid w:val="00607CB3"/>
    <w:rsid w:val="00610F80"/>
    <w:rsid w:val="00611E37"/>
    <w:rsid w:val="00613816"/>
    <w:rsid w:val="00615983"/>
    <w:rsid w:val="00617418"/>
    <w:rsid w:val="00623B36"/>
    <w:rsid w:val="00624352"/>
    <w:rsid w:val="00632005"/>
    <w:rsid w:val="006376F7"/>
    <w:rsid w:val="00640FA2"/>
    <w:rsid w:val="00641A92"/>
    <w:rsid w:val="00642283"/>
    <w:rsid w:val="00652DB1"/>
    <w:rsid w:val="00656A0E"/>
    <w:rsid w:val="00661320"/>
    <w:rsid w:val="00663FDE"/>
    <w:rsid w:val="0066668B"/>
    <w:rsid w:val="00667378"/>
    <w:rsid w:val="00667EE3"/>
    <w:rsid w:val="006806EA"/>
    <w:rsid w:val="00680AF4"/>
    <w:rsid w:val="006846A9"/>
    <w:rsid w:val="00687D5D"/>
    <w:rsid w:val="00690433"/>
    <w:rsid w:val="006904F0"/>
    <w:rsid w:val="00691A9B"/>
    <w:rsid w:val="00691FC8"/>
    <w:rsid w:val="00692791"/>
    <w:rsid w:val="00693382"/>
    <w:rsid w:val="00694C85"/>
    <w:rsid w:val="00696799"/>
    <w:rsid w:val="006979C2"/>
    <w:rsid w:val="006A08C3"/>
    <w:rsid w:val="006A5634"/>
    <w:rsid w:val="006A5C71"/>
    <w:rsid w:val="006A63FE"/>
    <w:rsid w:val="006C0ACE"/>
    <w:rsid w:val="006C1BC3"/>
    <w:rsid w:val="006C24AE"/>
    <w:rsid w:val="006C2526"/>
    <w:rsid w:val="006C603E"/>
    <w:rsid w:val="006D017E"/>
    <w:rsid w:val="006D0C50"/>
    <w:rsid w:val="006D1049"/>
    <w:rsid w:val="006D256B"/>
    <w:rsid w:val="006D45D1"/>
    <w:rsid w:val="006D51B2"/>
    <w:rsid w:val="006E4E46"/>
    <w:rsid w:val="006F5952"/>
    <w:rsid w:val="006F6BAC"/>
    <w:rsid w:val="006F77E5"/>
    <w:rsid w:val="00702603"/>
    <w:rsid w:val="00703699"/>
    <w:rsid w:val="00704EC2"/>
    <w:rsid w:val="00706196"/>
    <w:rsid w:val="007212A6"/>
    <w:rsid w:val="00722170"/>
    <w:rsid w:val="00727AF4"/>
    <w:rsid w:val="00730C75"/>
    <w:rsid w:val="007313B9"/>
    <w:rsid w:val="00736778"/>
    <w:rsid w:val="00741455"/>
    <w:rsid w:val="00742A42"/>
    <w:rsid w:val="00742D9C"/>
    <w:rsid w:val="00745105"/>
    <w:rsid w:val="0074559F"/>
    <w:rsid w:val="00745AA6"/>
    <w:rsid w:val="007466C3"/>
    <w:rsid w:val="007471E3"/>
    <w:rsid w:val="0075049F"/>
    <w:rsid w:val="00750CFD"/>
    <w:rsid w:val="00754294"/>
    <w:rsid w:val="00762442"/>
    <w:rsid w:val="00763038"/>
    <w:rsid w:val="00763080"/>
    <w:rsid w:val="00764CCC"/>
    <w:rsid w:val="00772794"/>
    <w:rsid w:val="007758F7"/>
    <w:rsid w:val="007760D0"/>
    <w:rsid w:val="00776804"/>
    <w:rsid w:val="00777832"/>
    <w:rsid w:val="00784C8E"/>
    <w:rsid w:val="00794F58"/>
    <w:rsid w:val="00797C35"/>
    <w:rsid w:val="007A0263"/>
    <w:rsid w:val="007A26D2"/>
    <w:rsid w:val="007A42BC"/>
    <w:rsid w:val="007A7799"/>
    <w:rsid w:val="007B444B"/>
    <w:rsid w:val="007B6609"/>
    <w:rsid w:val="007C081A"/>
    <w:rsid w:val="007C184C"/>
    <w:rsid w:val="007C71AB"/>
    <w:rsid w:val="007D0CFF"/>
    <w:rsid w:val="007D4090"/>
    <w:rsid w:val="007D569F"/>
    <w:rsid w:val="007D572E"/>
    <w:rsid w:val="007E0F1C"/>
    <w:rsid w:val="007E213B"/>
    <w:rsid w:val="007E5FC9"/>
    <w:rsid w:val="007E6734"/>
    <w:rsid w:val="007F1E44"/>
    <w:rsid w:val="007F2F68"/>
    <w:rsid w:val="007F3272"/>
    <w:rsid w:val="007F4936"/>
    <w:rsid w:val="007F5AC7"/>
    <w:rsid w:val="007F7804"/>
    <w:rsid w:val="00800809"/>
    <w:rsid w:val="00802BE4"/>
    <w:rsid w:val="00803FAD"/>
    <w:rsid w:val="008055C2"/>
    <w:rsid w:val="00807A1B"/>
    <w:rsid w:val="00811F01"/>
    <w:rsid w:val="00814614"/>
    <w:rsid w:val="00815FC2"/>
    <w:rsid w:val="008178ED"/>
    <w:rsid w:val="008326D7"/>
    <w:rsid w:val="00832D29"/>
    <w:rsid w:val="008360DA"/>
    <w:rsid w:val="00841A37"/>
    <w:rsid w:val="00842219"/>
    <w:rsid w:val="00842C16"/>
    <w:rsid w:val="00843620"/>
    <w:rsid w:val="00847992"/>
    <w:rsid w:val="00854FA1"/>
    <w:rsid w:val="00855D7B"/>
    <w:rsid w:val="008562FE"/>
    <w:rsid w:val="008569AD"/>
    <w:rsid w:val="00860B66"/>
    <w:rsid w:val="00860CF8"/>
    <w:rsid w:val="00862550"/>
    <w:rsid w:val="0086308B"/>
    <w:rsid w:val="00863169"/>
    <w:rsid w:val="00870FDB"/>
    <w:rsid w:val="008715FF"/>
    <w:rsid w:val="008720BF"/>
    <w:rsid w:val="008729E9"/>
    <w:rsid w:val="00872BAA"/>
    <w:rsid w:val="00872E2C"/>
    <w:rsid w:val="0087485C"/>
    <w:rsid w:val="0088194A"/>
    <w:rsid w:val="00886CDA"/>
    <w:rsid w:val="00887E60"/>
    <w:rsid w:val="008910AD"/>
    <w:rsid w:val="00893F38"/>
    <w:rsid w:val="008A1D04"/>
    <w:rsid w:val="008A2D56"/>
    <w:rsid w:val="008A5502"/>
    <w:rsid w:val="008A5B77"/>
    <w:rsid w:val="008B138E"/>
    <w:rsid w:val="008B219C"/>
    <w:rsid w:val="008B296E"/>
    <w:rsid w:val="008B48AC"/>
    <w:rsid w:val="008B6792"/>
    <w:rsid w:val="008C71DE"/>
    <w:rsid w:val="008D4F1C"/>
    <w:rsid w:val="008D762D"/>
    <w:rsid w:val="008D7CAD"/>
    <w:rsid w:val="008E1518"/>
    <w:rsid w:val="008E1E04"/>
    <w:rsid w:val="008E638F"/>
    <w:rsid w:val="008F36DE"/>
    <w:rsid w:val="008F4E45"/>
    <w:rsid w:val="008F53C2"/>
    <w:rsid w:val="008F5AC0"/>
    <w:rsid w:val="008F69A1"/>
    <w:rsid w:val="00903D26"/>
    <w:rsid w:val="00903D5F"/>
    <w:rsid w:val="00905F92"/>
    <w:rsid w:val="009063C6"/>
    <w:rsid w:val="00906A02"/>
    <w:rsid w:val="00910C59"/>
    <w:rsid w:val="00910FA6"/>
    <w:rsid w:val="0091184E"/>
    <w:rsid w:val="00915C3E"/>
    <w:rsid w:val="009163D6"/>
    <w:rsid w:val="009219BC"/>
    <w:rsid w:val="00922094"/>
    <w:rsid w:val="009237AA"/>
    <w:rsid w:val="009265FC"/>
    <w:rsid w:val="00933039"/>
    <w:rsid w:val="009334D4"/>
    <w:rsid w:val="009418D5"/>
    <w:rsid w:val="0094319E"/>
    <w:rsid w:val="00943BF8"/>
    <w:rsid w:val="00945C58"/>
    <w:rsid w:val="00945CEC"/>
    <w:rsid w:val="009542A7"/>
    <w:rsid w:val="00954E6D"/>
    <w:rsid w:val="00954E7A"/>
    <w:rsid w:val="00955C99"/>
    <w:rsid w:val="00955CB4"/>
    <w:rsid w:val="00960858"/>
    <w:rsid w:val="009610CE"/>
    <w:rsid w:val="00962D34"/>
    <w:rsid w:val="00964967"/>
    <w:rsid w:val="00964A25"/>
    <w:rsid w:val="00964E7F"/>
    <w:rsid w:val="00966505"/>
    <w:rsid w:val="0096687D"/>
    <w:rsid w:val="009709DD"/>
    <w:rsid w:val="009716DD"/>
    <w:rsid w:val="00971A79"/>
    <w:rsid w:val="009732D0"/>
    <w:rsid w:val="0097520D"/>
    <w:rsid w:val="00975362"/>
    <w:rsid w:val="00975A67"/>
    <w:rsid w:val="00980537"/>
    <w:rsid w:val="00990BDC"/>
    <w:rsid w:val="00992397"/>
    <w:rsid w:val="009963AA"/>
    <w:rsid w:val="00997102"/>
    <w:rsid w:val="009A231B"/>
    <w:rsid w:val="009A49B7"/>
    <w:rsid w:val="009A6D52"/>
    <w:rsid w:val="009B2570"/>
    <w:rsid w:val="009B2F03"/>
    <w:rsid w:val="009C054C"/>
    <w:rsid w:val="009C1B7F"/>
    <w:rsid w:val="009C4F57"/>
    <w:rsid w:val="009C5089"/>
    <w:rsid w:val="009C6152"/>
    <w:rsid w:val="009C784B"/>
    <w:rsid w:val="009D01DC"/>
    <w:rsid w:val="009D0D8A"/>
    <w:rsid w:val="009D1307"/>
    <w:rsid w:val="009D20BA"/>
    <w:rsid w:val="009D28A9"/>
    <w:rsid w:val="009D2D67"/>
    <w:rsid w:val="009D3B93"/>
    <w:rsid w:val="009D7389"/>
    <w:rsid w:val="009D76CD"/>
    <w:rsid w:val="009E0064"/>
    <w:rsid w:val="009E2455"/>
    <w:rsid w:val="009F143A"/>
    <w:rsid w:val="009F3D59"/>
    <w:rsid w:val="009F5822"/>
    <w:rsid w:val="009F5D15"/>
    <w:rsid w:val="009F604C"/>
    <w:rsid w:val="009F646C"/>
    <w:rsid w:val="00A018D9"/>
    <w:rsid w:val="00A01BC6"/>
    <w:rsid w:val="00A031B3"/>
    <w:rsid w:val="00A05CDD"/>
    <w:rsid w:val="00A06C6B"/>
    <w:rsid w:val="00A07375"/>
    <w:rsid w:val="00A12589"/>
    <w:rsid w:val="00A127AB"/>
    <w:rsid w:val="00A1293A"/>
    <w:rsid w:val="00A12CB1"/>
    <w:rsid w:val="00A12FD2"/>
    <w:rsid w:val="00A170DF"/>
    <w:rsid w:val="00A17687"/>
    <w:rsid w:val="00A20DB1"/>
    <w:rsid w:val="00A20EB3"/>
    <w:rsid w:val="00A21DAA"/>
    <w:rsid w:val="00A2267F"/>
    <w:rsid w:val="00A276AA"/>
    <w:rsid w:val="00A30DA9"/>
    <w:rsid w:val="00A31B52"/>
    <w:rsid w:val="00A31BE0"/>
    <w:rsid w:val="00A33D91"/>
    <w:rsid w:val="00A341AB"/>
    <w:rsid w:val="00A3647D"/>
    <w:rsid w:val="00A41DA3"/>
    <w:rsid w:val="00A41FE9"/>
    <w:rsid w:val="00A423A4"/>
    <w:rsid w:val="00A426E7"/>
    <w:rsid w:val="00A4307E"/>
    <w:rsid w:val="00A44FE6"/>
    <w:rsid w:val="00A45771"/>
    <w:rsid w:val="00A466AB"/>
    <w:rsid w:val="00A473CC"/>
    <w:rsid w:val="00A54001"/>
    <w:rsid w:val="00A548A7"/>
    <w:rsid w:val="00A54AAD"/>
    <w:rsid w:val="00A7188F"/>
    <w:rsid w:val="00A73DB4"/>
    <w:rsid w:val="00A76729"/>
    <w:rsid w:val="00A80822"/>
    <w:rsid w:val="00A80AB3"/>
    <w:rsid w:val="00A834E9"/>
    <w:rsid w:val="00A85749"/>
    <w:rsid w:val="00A86478"/>
    <w:rsid w:val="00A902A0"/>
    <w:rsid w:val="00A90B9B"/>
    <w:rsid w:val="00A9227F"/>
    <w:rsid w:val="00A922A7"/>
    <w:rsid w:val="00A9407A"/>
    <w:rsid w:val="00A95C92"/>
    <w:rsid w:val="00A96731"/>
    <w:rsid w:val="00AB4DC4"/>
    <w:rsid w:val="00AB5D7B"/>
    <w:rsid w:val="00AB62C5"/>
    <w:rsid w:val="00AB7065"/>
    <w:rsid w:val="00AC0288"/>
    <w:rsid w:val="00AC09C1"/>
    <w:rsid w:val="00AC10A8"/>
    <w:rsid w:val="00AC1976"/>
    <w:rsid w:val="00AC3A8A"/>
    <w:rsid w:val="00AC5576"/>
    <w:rsid w:val="00AC6F8A"/>
    <w:rsid w:val="00AC7095"/>
    <w:rsid w:val="00AD1855"/>
    <w:rsid w:val="00AD1E3E"/>
    <w:rsid w:val="00AD282E"/>
    <w:rsid w:val="00AD299E"/>
    <w:rsid w:val="00AD3B67"/>
    <w:rsid w:val="00AD5B11"/>
    <w:rsid w:val="00AE0E1D"/>
    <w:rsid w:val="00AF12D7"/>
    <w:rsid w:val="00AF1DC0"/>
    <w:rsid w:val="00AF748F"/>
    <w:rsid w:val="00B006F4"/>
    <w:rsid w:val="00B00BED"/>
    <w:rsid w:val="00B01908"/>
    <w:rsid w:val="00B02675"/>
    <w:rsid w:val="00B0454E"/>
    <w:rsid w:val="00B05E76"/>
    <w:rsid w:val="00B07D30"/>
    <w:rsid w:val="00B10345"/>
    <w:rsid w:val="00B106FB"/>
    <w:rsid w:val="00B20F23"/>
    <w:rsid w:val="00B2179D"/>
    <w:rsid w:val="00B245C1"/>
    <w:rsid w:val="00B24F80"/>
    <w:rsid w:val="00B253C9"/>
    <w:rsid w:val="00B31E76"/>
    <w:rsid w:val="00B33C08"/>
    <w:rsid w:val="00B34D5F"/>
    <w:rsid w:val="00B369FB"/>
    <w:rsid w:val="00B41EB3"/>
    <w:rsid w:val="00B453F5"/>
    <w:rsid w:val="00B46259"/>
    <w:rsid w:val="00B469C9"/>
    <w:rsid w:val="00B50552"/>
    <w:rsid w:val="00B5138F"/>
    <w:rsid w:val="00B60F59"/>
    <w:rsid w:val="00B62263"/>
    <w:rsid w:val="00B6290D"/>
    <w:rsid w:val="00B6309A"/>
    <w:rsid w:val="00B630D0"/>
    <w:rsid w:val="00B63BE8"/>
    <w:rsid w:val="00B65893"/>
    <w:rsid w:val="00B67B0E"/>
    <w:rsid w:val="00B711F5"/>
    <w:rsid w:val="00B719B9"/>
    <w:rsid w:val="00B71AF7"/>
    <w:rsid w:val="00B725BA"/>
    <w:rsid w:val="00B734ED"/>
    <w:rsid w:val="00B741A9"/>
    <w:rsid w:val="00B744D0"/>
    <w:rsid w:val="00B74B77"/>
    <w:rsid w:val="00B75577"/>
    <w:rsid w:val="00B75E51"/>
    <w:rsid w:val="00B76005"/>
    <w:rsid w:val="00B826D7"/>
    <w:rsid w:val="00B84D34"/>
    <w:rsid w:val="00B84F69"/>
    <w:rsid w:val="00B974E8"/>
    <w:rsid w:val="00BA13FA"/>
    <w:rsid w:val="00BA1CBD"/>
    <w:rsid w:val="00BA784D"/>
    <w:rsid w:val="00BB1CB2"/>
    <w:rsid w:val="00BB1CBD"/>
    <w:rsid w:val="00BB250C"/>
    <w:rsid w:val="00BB2C55"/>
    <w:rsid w:val="00BB4385"/>
    <w:rsid w:val="00BB79E3"/>
    <w:rsid w:val="00BC0ADC"/>
    <w:rsid w:val="00BC1578"/>
    <w:rsid w:val="00BC3414"/>
    <w:rsid w:val="00BC6349"/>
    <w:rsid w:val="00BC65CD"/>
    <w:rsid w:val="00BC7C48"/>
    <w:rsid w:val="00BD0C7C"/>
    <w:rsid w:val="00BD6B0F"/>
    <w:rsid w:val="00BE2A14"/>
    <w:rsid w:val="00BE2B00"/>
    <w:rsid w:val="00BE3669"/>
    <w:rsid w:val="00BE37D9"/>
    <w:rsid w:val="00BE431E"/>
    <w:rsid w:val="00BE4AB3"/>
    <w:rsid w:val="00BE71BB"/>
    <w:rsid w:val="00BE73A2"/>
    <w:rsid w:val="00BF21E1"/>
    <w:rsid w:val="00BF6717"/>
    <w:rsid w:val="00C003F8"/>
    <w:rsid w:val="00C007C3"/>
    <w:rsid w:val="00C05AB8"/>
    <w:rsid w:val="00C06FD1"/>
    <w:rsid w:val="00C1050B"/>
    <w:rsid w:val="00C123FE"/>
    <w:rsid w:val="00C12D86"/>
    <w:rsid w:val="00C14207"/>
    <w:rsid w:val="00C17A69"/>
    <w:rsid w:val="00C20F16"/>
    <w:rsid w:val="00C21022"/>
    <w:rsid w:val="00C21746"/>
    <w:rsid w:val="00C218F5"/>
    <w:rsid w:val="00C26DB1"/>
    <w:rsid w:val="00C34EF4"/>
    <w:rsid w:val="00C36145"/>
    <w:rsid w:val="00C37078"/>
    <w:rsid w:val="00C44333"/>
    <w:rsid w:val="00C44560"/>
    <w:rsid w:val="00C45CBC"/>
    <w:rsid w:val="00C52897"/>
    <w:rsid w:val="00C53903"/>
    <w:rsid w:val="00C53B56"/>
    <w:rsid w:val="00C60F2D"/>
    <w:rsid w:val="00C616D4"/>
    <w:rsid w:val="00C637FF"/>
    <w:rsid w:val="00C733F8"/>
    <w:rsid w:val="00C744DE"/>
    <w:rsid w:val="00C75AF1"/>
    <w:rsid w:val="00C7789D"/>
    <w:rsid w:val="00C80D19"/>
    <w:rsid w:val="00C81BC1"/>
    <w:rsid w:val="00C827EF"/>
    <w:rsid w:val="00C85634"/>
    <w:rsid w:val="00C8766B"/>
    <w:rsid w:val="00C906A6"/>
    <w:rsid w:val="00C91C34"/>
    <w:rsid w:val="00C92FB5"/>
    <w:rsid w:val="00C9486C"/>
    <w:rsid w:val="00C9496D"/>
    <w:rsid w:val="00C96ABF"/>
    <w:rsid w:val="00CA0187"/>
    <w:rsid w:val="00CA3A28"/>
    <w:rsid w:val="00CA4B47"/>
    <w:rsid w:val="00CA614A"/>
    <w:rsid w:val="00CA6A50"/>
    <w:rsid w:val="00CB6148"/>
    <w:rsid w:val="00CB6C54"/>
    <w:rsid w:val="00CC71FC"/>
    <w:rsid w:val="00CC7A05"/>
    <w:rsid w:val="00CD40B7"/>
    <w:rsid w:val="00CD4A34"/>
    <w:rsid w:val="00CD60DC"/>
    <w:rsid w:val="00CE4F3D"/>
    <w:rsid w:val="00CE5414"/>
    <w:rsid w:val="00CE5909"/>
    <w:rsid w:val="00CE5A7E"/>
    <w:rsid w:val="00CF0F05"/>
    <w:rsid w:val="00CF25CA"/>
    <w:rsid w:val="00CF368F"/>
    <w:rsid w:val="00CF49B7"/>
    <w:rsid w:val="00CF4C25"/>
    <w:rsid w:val="00CF67C6"/>
    <w:rsid w:val="00D02B84"/>
    <w:rsid w:val="00D06C7B"/>
    <w:rsid w:val="00D0766F"/>
    <w:rsid w:val="00D14C19"/>
    <w:rsid w:val="00D16D31"/>
    <w:rsid w:val="00D17A00"/>
    <w:rsid w:val="00D22BF7"/>
    <w:rsid w:val="00D23BB3"/>
    <w:rsid w:val="00D259DA"/>
    <w:rsid w:val="00D26FB0"/>
    <w:rsid w:val="00D273B3"/>
    <w:rsid w:val="00D348A5"/>
    <w:rsid w:val="00D35579"/>
    <w:rsid w:val="00D36093"/>
    <w:rsid w:val="00D43D40"/>
    <w:rsid w:val="00D45227"/>
    <w:rsid w:val="00D45246"/>
    <w:rsid w:val="00D47BA0"/>
    <w:rsid w:val="00D47C46"/>
    <w:rsid w:val="00D50AE6"/>
    <w:rsid w:val="00D52E60"/>
    <w:rsid w:val="00D54220"/>
    <w:rsid w:val="00D6577F"/>
    <w:rsid w:val="00D65867"/>
    <w:rsid w:val="00D67D62"/>
    <w:rsid w:val="00D73E9F"/>
    <w:rsid w:val="00D757A3"/>
    <w:rsid w:val="00D806A1"/>
    <w:rsid w:val="00D82D16"/>
    <w:rsid w:val="00D856AF"/>
    <w:rsid w:val="00D87D1C"/>
    <w:rsid w:val="00D9255F"/>
    <w:rsid w:val="00D935F7"/>
    <w:rsid w:val="00D95D33"/>
    <w:rsid w:val="00D964F8"/>
    <w:rsid w:val="00DA00D2"/>
    <w:rsid w:val="00DA398B"/>
    <w:rsid w:val="00DA4B0F"/>
    <w:rsid w:val="00DB638F"/>
    <w:rsid w:val="00DC036B"/>
    <w:rsid w:val="00DC0959"/>
    <w:rsid w:val="00DC4103"/>
    <w:rsid w:val="00DC5825"/>
    <w:rsid w:val="00DC681A"/>
    <w:rsid w:val="00DC704B"/>
    <w:rsid w:val="00DC7E84"/>
    <w:rsid w:val="00DD0640"/>
    <w:rsid w:val="00DD0798"/>
    <w:rsid w:val="00DD0C32"/>
    <w:rsid w:val="00DD185F"/>
    <w:rsid w:val="00DD2893"/>
    <w:rsid w:val="00DD2A1D"/>
    <w:rsid w:val="00DD424B"/>
    <w:rsid w:val="00DD4EC1"/>
    <w:rsid w:val="00DD5451"/>
    <w:rsid w:val="00DD6266"/>
    <w:rsid w:val="00DE3E88"/>
    <w:rsid w:val="00DE546F"/>
    <w:rsid w:val="00DE69E8"/>
    <w:rsid w:val="00DE709D"/>
    <w:rsid w:val="00DF03C2"/>
    <w:rsid w:val="00DF480B"/>
    <w:rsid w:val="00DF53BE"/>
    <w:rsid w:val="00DF5ED4"/>
    <w:rsid w:val="00DF70AB"/>
    <w:rsid w:val="00E01861"/>
    <w:rsid w:val="00E02618"/>
    <w:rsid w:val="00E04906"/>
    <w:rsid w:val="00E04D4F"/>
    <w:rsid w:val="00E0511C"/>
    <w:rsid w:val="00E056C8"/>
    <w:rsid w:val="00E1082D"/>
    <w:rsid w:val="00E15583"/>
    <w:rsid w:val="00E16AA7"/>
    <w:rsid w:val="00E20621"/>
    <w:rsid w:val="00E241E5"/>
    <w:rsid w:val="00E302A3"/>
    <w:rsid w:val="00E315A0"/>
    <w:rsid w:val="00E32CF6"/>
    <w:rsid w:val="00E331CB"/>
    <w:rsid w:val="00E41004"/>
    <w:rsid w:val="00E43B77"/>
    <w:rsid w:val="00E453D3"/>
    <w:rsid w:val="00E45667"/>
    <w:rsid w:val="00E5175B"/>
    <w:rsid w:val="00E547C4"/>
    <w:rsid w:val="00E54A37"/>
    <w:rsid w:val="00E60F0E"/>
    <w:rsid w:val="00E6714A"/>
    <w:rsid w:val="00E67EAA"/>
    <w:rsid w:val="00E7018B"/>
    <w:rsid w:val="00E7103E"/>
    <w:rsid w:val="00E714A7"/>
    <w:rsid w:val="00E71756"/>
    <w:rsid w:val="00E72C74"/>
    <w:rsid w:val="00E7383A"/>
    <w:rsid w:val="00E7443D"/>
    <w:rsid w:val="00E771A5"/>
    <w:rsid w:val="00E77AE6"/>
    <w:rsid w:val="00E840F4"/>
    <w:rsid w:val="00E84157"/>
    <w:rsid w:val="00E8453A"/>
    <w:rsid w:val="00E91D2A"/>
    <w:rsid w:val="00E92643"/>
    <w:rsid w:val="00E92759"/>
    <w:rsid w:val="00E94A8C"/>
    <w:rsid w:val="00EA0446"/>
    <w:rsid w:val="00EA18C6"/>
    <w:rsid w:val="00EA2340"/>
    <w:rsid w:val="00EA2371"/>
    <w:rsid w:val="00EA2B89"/>
    <w:rsid w:val="00EA3E6D"/>
    <w:rsid w:val="00EB1453"/>
    <w:rsid w:val="00EB1AED"/>
    <w:rsid w:val="00EB38A6"/>
    <w:rsid w:val="00EB5200"/>
    <w:rsid w:val="00EB7E41"/>
    <w:rsid w:val="00EC0EA4"/>
    <w:rsid w:val="00EC30D9"/>
    <w:rsid w:val="00ED5691"/>
    <w:rsid w:val="00EE063A"/>
    <w:rsid w:val="00EE13C9"/>
    <w:rsid w:val="00EE4D47"/>
    <w:rsid w:val="00EE739F"/>
    <w:rsid w:val="00EE7EDD"/>
    <w:rsid w:val="00EF4E1A"/>
    <w:rsid w:val="00EF55A5"/>
    <w:rsid w:val="00EF5FA0"/>
    <w:rsid w:val="00F0397C"/>
    <w:rsid w:val="00F03FB4"/>
    <w:rsid w:val="00F0444E"/>
    <w:rsid w:val="00F0473D"/>
    <w:rsid w:val="00F05EAE"/>
    <w:rsid w:val="00F105A3"/>
    <w:rsid w:val="00F12D18"/>
    <w:rsid w:val="00F136C8"/>
    <w:rsid w:val="00F140D1"/>
    <w:rsid w:val="00F152D6"/>
    <w:rsid w:val="00F158F0"/>
    <w:rsid w:val="00F16A3D"/>
    <w:rsid w:val="00F20D73"/>
    <w:rsid w:val="00F22066"/>
    <w:rsid w:val="00F223C3"/>
    <w:rsid w:val="00F26732"/>
    <w:rsid w:val="00F307A1"/>
    <w:rsid w:val="00F3310D"/>
    <w:rsid w:val="00F34E98"/>
    <w:rsid w:val="00F35FC2"/>
    <w:rsid w:val="00F414C7"/>
    <w:rsid w:val="00F41EF5"/>
    <w:rsid w:val="00F425BD"/>
    <w:rsid w:val="00F43495"/>
    <w:rsid w:val="00F43942"/>
    <w:rsid w:val="00F45F01"/>
    <w:rsid w:val="00F469D9"/>
    <w:rsid w:val="00F50189"/>
    <w:rsid w:val="00F50AD4"/>
    <w:rsid w:val="00F5331D"/>
    <w:rsid w:val="00F54431"/>
    <w:rsid w:val="00F547EA"/>
    <w:rsid w:val="00F572A1"/>
    <w:rsid w:val="00F60EA7"/>
    <w:rsid w:val="00F61D52"/>
    <w:rsid w:val="00F61F9F"/>
    <w:rsid w:val="00F62C35"/>
    <w:rsid w:val="00F644B0"/>
    <w:rsid w:val="00F66217"/>
    <w:rsid w:val="00F67C78"/>
    <w:rsid w:val="00F70689"/>
    <w:rsid w:val="00F720EA"/>
    <w:rsid w:val="00F744E7"/>
    <w:rsid w:val="00F75BDD"/>
    <w:rsid w:val="00F75CFC"/>
    <w:rsid w:val="00F8228F"/>
    <w:rsid w:val="00F82613"/>
    <w:rsid w:val="00F8455B"/>
    <w:rsid w:val="00F8460A"/>
    <w:rsid w:val="00F84E93"/>
    <w:rsid w:val="00F850F8"/>
    <w:rsid w:val="00F85240"/>
    <w:rsid w:val="00F90EF5"/>
    <w:rsid w:val="00F920F7"/>
    <w:rsid w:val="00F922A2"/>
    <w:rsid w:val="00F94195"/>
    <w:rsid w:val="00F95E67"/>
    <w:rsid w:val="00F962ED"/>
    <w:rsid w:val="00F97C59"/>
    <w:rsid w:val="00FA1290"/>
    <w:rsid w:val="00FA6332"/>
    <w:rsid w:val="00FA7C4D"/>
    <w:rsid w:val="00FB04A8"/>
    <w:rsid w:val="00FB1A6E"/>
    <w:rsid w:val="00FB2EF5"/>
    <w:rsid w:val="00FB3876"/>
    <w:rsid w:val="00FB70A4"/>
    <w:rsid w:val="00FB7770"/>
    <w:rsid w:val="00FC0B11"/>
    <w:rsid w:val="00FC13A4"/>
    <w:rsid w:val="00FC1E44"/>
    <w:rsid w:val="00FC3F64"/>
    <w:rsid w:val="00FC4BBC"/>
    <w:rsid w:val="00FD11F8"/>
    <w:rsid w:val="00FD353D"/>
    <w:rsid w:val="00FD35A5"/>
    <w:rsid w:val="00FD5E3F"/>
    <w:rsid w:val="00FE28B6"/>
    <w:rsid w:val="00FE43AF"/>
    <w:rsid w:val="00FE6DB3"/>
    <w:rsid w:val="00FF04FB"/>
    <w:rsid w:val="00FF2425"/>
    <w:rsid w:val="00FF50FB"/>
    <w:rsid w:val="00FF55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00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10F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1"/>
    <w:uiPriority w:val="99"/>
    <w:semiHidden/>
    <w:unhideWhenUsed/>
    <w:rsid w:val="00A12CB1"/>
    <w:pPr>
      <w:spacing w:after="0" w:line="240" w:lineRule="auto"/>
    </w:pPr>
    <w:rPr>
      <w:rFonts w:ascii="Tahoma" w:hAnsi="Tahoma" w:cs="Tahoma"/>
      <w:sz w:val="16"/>
      <w:szCs w:val="16"/>
    </w:rPr>
  </w:style>
  <w:style w:type="character" w:customStyle="1" w:styleId="TextodegloboCar">
    <w:name w:val="Texto de globo Car"/>
    <w:basedOn w:val="Fuentedeprrafopredeter"/>
    <w:uiPriority w:val="99"/>
    <w:semiHidden/>
    <w:rsid w:val="00E35CEF"/>
    <w:rPr>
      <w:rFonts w:ascii="Lucida Grande" w:hAnsi="Lucida Grande" w:cs="Lucida Grande"/>
      <w:sz w:val="18"/>
      <w:szCs w:val="18"/>
    </w:rPr>
  </w:style>
  <w:style w:type="paragraph" w:styleId="Prrafodelista">
    <w:name w:val="List Paragraph"/>
    <w:basedOn w:val="Normal"/>
    <w:link w:val="PrrafodelistaCar"/>
    <w:uiPriority w:val="34"/>
    <w:qFormat/>
    <w:rsid w:val="00D935F7"/>
    <w:pPr>
      <w:ind w:left="720"/>
      <w:contextualSpacing/>
    </w:pPr>
  </w:style>
  <w:style w:type="paragraph" w:styleId="Textonotapie">
    <w:name w:val="footnote text"/>
    <w:basedOn w:val="Normal"/>
    <w:link w:val="TextonotapieCar"/>
    <w:uiPriority w:val="99"/>
    <w:unhideWhenUsed/>
    <w:rsid w:val="00D935F7"/>
    <w:pPr>
      <w:spacing w:after="0" w:line="240" w:lineRule="auto"/>
    </w:pPr>
    <w:rPr>
      <w:sz w:val="20"/>
      <w:szCs w:val="20"/>
    </w:rPr>
  </w:style>
  <w:style w:type="character" w:customStyle="1" w:styleId="TextonotapieCar">
    <w:name w:val="Texto nota pie Car"/>
    <w:basedOn w:val="Fuentedeprrafopredeter"/>
    <w:link w:val="Textonotapie"/>
    <w:uiPriority w:val="99"/>
    <w:rsid w:val="00D935F7"/>
    <w:rPr>
      <w:rFonts w:eastAsiaTheme="minorEastAsia"/>
      <w:sz w:val="20"/>
      <w:szCs w:val="20"/>
      <w:lang w:eastAsia="es-MX"/>
    </w:rPr>
  </w:style>
  <w:style w:type="character" w:styleId="Refdenotaalpie">
    <w:name w:val="footnote reference"/>
    <w:basedOn w:val="Fuentedeprrafopredeter"/>
    <w:uiPriority w:val="99"/>
    <w:semiHidden/>
    <w:unhideWhenUsed/>
    <w:rsid w:val="00D935F7"/>
    <w:rPr>
      <w:vertAlign w:val="superscript"/>
    </w:rPr>
  </w:style>
  <w:style w:type="paragraph" w:styleId="Sinespaciado">
    <w:name w:val="No Spacing"/>
    <w:link w:val="SinespaciadoCar"/>
    <w:uiPriority w:val="1"/>
    <w:qFormat/>
    <w:rsid w:val="00D935F7"/>
    <w:pPr>
      <w:spacing w:after="0" w:line="240" w:lineRule="auto"/>
    </w:pPr>
  </w:style>
  <w:style w:type="paragraph" w:customStyle="1" w:styleId="Default">
    <w:name w:val="Default"/>
    <w:rsid w:val="00241802"/>
    <w:pPr>
      <w:autoSpaceDE w:val="0"/>
      <w:autoSpaceDN w:val="0"/>
      <w:adjustRightInd w:val="0"/>
      <w:spacing w:after="0" w:line="240" w:lineRule="auto"/>
    </w:pPr>
    <w:rPr>
      <w:rFonts w:ascii="Code" w:hAnsi="Code" w:cs="Code"/>
      <w:color w:val="000000"/>
      <w:sz w:val="24"/>
      <w:szCs w:val="24"/>
    </w:rPr>
  </w:style>
  <w:style w:type="character" w:customStyle="1" w:styleId="TextodegloboCar1">
    <w:name w:val="Texto de globo Car1"/>
    <w:basedOn w:val="Fuentedeprrafopredeter"/>
    <w:link w:val="Textodeglobo"/>
    <w:uiPriority w:val="99"/>
    <w:semiHidden/>
    <w:rsid w:val="00A12CB1"/>
    <w:rPr>
      <w:rFonts w:ascii="Tahoma" w:hAnsi="Tahoma" w:cs="Tahoma"/>
      <w:sz w:val="16"/>
      <w:szCs w:val="16"/>
    </w:rPr>
  </w:style>
  <w:style w:type="character" w:styleId="Textodelmarcadordeposicin">
    <w:name w:val="Placeholder Text"/>
    <w:basedOn w:val="Fuentedeprrafopredeter"/>
    <w:uiPriority w:val="99"/>
    <w:semiHidden/>
    <w:rsid w:val="00B741A9"/>
    <w:rPr>
      <w:color w:val="808080"/>
    </w:rPr>
  </w:style>
  <w:style w:type="character" w:styleId="Hipervnculo">
    <w:name w:val="Hyperlink"/>
    <w:basedOn w:val="Fuentedeprrafopredeter"/>
    <w:uiPriority w:val="99"/>
    <w:unhideWhenUsed/>
    <w:rsid w:val="004C650F"/>
    <w:rPr>
      <w:color w:val="0000FF" w:themeColor="hyperlink"/>
      <w:u w:val="single"/>
    </w:rPr>
  </w:style>
  <w:style w:type="table" w:styleId="Tablaconcuadrcula">
    <w:name w:val="Table Grid"/>
    <w:basedOn w:val="Tablanormal"/>
    <w:uiPriority w:val="59"/>
    <w:rsid w:val="00DD0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D47C4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7C46"/>
  </w:style>
  <w:style w:type="paragraph" w:styleId="Piedepgina">
    <w:name w:val="footer"/>
    <w:basedOn w:val="Normal"/>
    <w:link w:val="PiedepginaCar"/>
    <w:uiPriority w:val="99"/>
    <w:unhideWhenUsed/>
    <w:rsid w:val="00D47C4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7C46"/>
  </w:style>
  <w:style w:type="paragraph" w:customStyle="1" w:styleId="centrar">
    <w:name w:val="centrar"/>
    <w:basedOn w:val="Normal"/>
    <w:rsid w:val="001E3C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rafo">
    <w:name w:val="parrafo"/>
    <w:basedOn w:val="Normal"/>
    <w:rsid w:val="001E3CB3"/>
    <w:pPr>
      <w:spacing w:before="100" w:beforeAutospacing="1" w:after="100" w:afterAutospacing="1" w:line="240" w:lineRule="auto"/>
    </w:pPr>
    <w:rPr>
      <w:rFonts w:ascii="Times New Roman" w:eastAsia="Times New Roman" w:hAnsi="Times New Roman" w:cs="Times New Roman"/>
      <w:sz w:val="24"/>
      <w:szCs w:val="24"/>
    </w:rPr>
  </w:style>
  <w:style w:type="table" w:styleId="Listamedia2-nfasis1">
    <w:name w:val="Medium List 2 Accent 1"/>
    <w:basedOn w:val="Tablanormal"/>
    <w:uiPriority w:val="66"/>
    <w:rsid w:val="00C123F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aclara1">
    <w:name w:val="Lista clara1"/>
    <w:basedOn w:val="Tablanormal"/>
    <w:uiPriority w:val="61"/>
    <w:rsid w:val="00A21DA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ombreadoclaro1">
    <w:name w:val="Sombreado claro1"/>
    <w:basedOn w:val="Tablanormal"/>
    <w:uiPriority w:val="60"/>
    <w:rsid w:val="00A21DA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domedio1-nfasis11">
    <w:name w:val="Sombreado medio 1 - Énfasis 11"/>
    <w:basedOn w:val="Tablanormal"/>
    <w:uiPriority w:val="63"/>
    <w:rsid w:val="00A21DA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HTMLconformatoprevio">
    <w:name w:val="HTML Preformatted"/>
    <w:basedOn w:val="Normal"/>
    <w:link w:val="HTMLconformatoprevioCar"/>
    <w:uiPriority w:val="99"/>
    <w:semiHidden/>
    <w:unhideWhenUsed/>
    <w:rsid w:val="00213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13A10"/>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391B2B"/>
    <w:rPr>
      <w:color w:val="800080" w:themeColor="followedHyperlink"/>
      <w:u w:val="single"/>
    </w:rPr>
  </w:style>
  <w:style w:type="table" w:styleId="Sombreadoclaro-nfasis1">
    <w:name w:val="Light Shading Accent 1"/>
    <w:basedOn w:val="Tablanormal"/>
    <w:uiPriority w:val="60"/>
    <w:rsid w:val="001330B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medio1-nfasis1">
    <w:name w:val="Medium Shading 1 Accent 1"/>
    <w:basedOn w:val="Tablanormal"/>
    <w:uiPriority w:val="63"/>
    <w:rsid w:val="001330B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Refdecomentario">
    <w:name w:val="annotation reference"/>
    <w:basedOn w:val="Fuentedeprrafopredeter"/>
    <w:uiPriority w:val="99"/>
    <w:semiHidden/>
    <w:unhideWhenUsed/>
    <w:rsid w:val="00143F3D"/>
    <w:rPr>
      <w:sz w:val="16"/>
      <w:szCs w:val="16"/>
    </w:rPr>
  </w:style>
  <w:style w:type="paragraph" w:styleId="Textocomentario">
    <w:name w:val="annotation text"/>
    <w:basedOn w:val="Normal"/>
    <w:link w:val="TextocomentarioCar"/>
    <w:uiPriority w:val="99"/>
    <w:semiHidden/>
    <w:unhideWhenUsed/>
    <w:rsid w:val="00143F3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43F3D"/>
    <w:rPr>
      <w:sz w:val="20"/>
      <w:szCs w:val="20"/>
    </w:rPr>
  </w:style>
  <w:style w:type="paragraph" w:styleId="Asuntodelcomentario">
    <w:name w:val="annotation subject"/>
    <w:basedOn w:val="Textocomentario"/>
    <w:next w:val="Textocomentario"/>
    <w:link w:val="AsuntodelcomentarioCar"/>
    <w:uiPriority w:val="99"/>
    <w:semiHidden/>
    <w:unhideWhenUsed/>
    <w:rsid w:val="00143F3D"/>
    <w:rPr>
      <w:b/>
      <w:bCs/>
    </w:rPr>
  </w:style>
  <w:style w:type="character" w:customStyle="1" w:styleId="AsuntodelcomentarioCar">
    <w:name w:val="Asunto del comentario Car"/>
    <w:basedOn w:val="TextocomentarioCar"/>
    <w:link w:val="Asuntodelcomentario"/>
    <w:uiPriority w:val="99"/>
    <w:semiHidden/>
    <w:rsid w:val="00143F3D"/>
    <w:rPr>
      <w:b/>
      <w:bCs/>
      <w:sz w:val="20"/>
      <w:szCs w:val="20"/>
    </w:rPr>
  </w:style>
  <w:style w:type="paragraph" w:customStyle="1" w:styleId="ROMANOS">
    <w:name w:val="ROMANOS"/>
    <w:basedOn w:val="Normal"/>
    <w:rsid w:val="00FC0B11"/>
    <w:pPr>
      <w:tabs>
        <w:tab w:val="left" w:pos="720"/>
      </w:tabs>
      <w:spacing w:after="101" w:line="216" w:lineRule="atLeast"/>
      <w:ind w:left="720" w:hanging="432"/>
      <w:jc w:val="both"/>
    </w:pPr>
    <w:rPr>
      <w:rFonts w:ascii="Arial" w:eastAsia="Times New Roman" w:hAnsi="Arial" w:cs="Times New Roman"/>
      <w:sz w:val="18"/>
      <w:szCs w:val="20"/>
      <w:lang w:val="es-ES_tradnl" w:eastAsia="es-ES"/>
    </w:rPr>
  </w:style>
  <w:style w:type="paragraph" w:customStyle="1" w:styleId="INCISO">
    <w:name w:val="INCISO"/>
    <w:basedOn w:val="Normal"/>
    <w:rsid w:val="00FC0B11"/>
    <w:pPr>
      <w:tabs>
        <w:tab w:val="left" w:pos="1152"/>
      </w:tabs>
      <w:spacing w:after="101" w:line="216" w:lineRule="atLeast"/>
      <w:ind w:left="1152" w:hanging="432"/>
      <w:jc w:val="both"/>
    </w:pPr>
    <w:rPr>
      <w:rFonts w:ascii="Arial" w:eastAsia="Times New Roman" w:hAnsi="Arial" w:cs="Times New Roman"/>
      <w:sz w:val="18"/>
      <w:szCs w:val="20"/>
      <w:lang w:val="es-ES_tradnl" w:eastAsia="es-ES"/>
    </w:rPr>
  </w:style>
  <w:style w:type="paragraph" w:styleId="Revisin">
    <w:name w:val="Revision"/>
    <w:hidden/>
    <w:uiPriority w:val="99"/>
    <w:semiHidden/>
    <w:rsid w:val="000B52DD"/>
    <w:pPr>
      <w:spacing w:after="0" w:line="240" w:lineRule="auto"/>
    </w:pPr>
  </w:style>
  <w:style w:type="paragraph" w:styleId="NormalWeb">
    <w:name w:val="Normal (Web)"/>
    <w:basedOn w:val="Normal"/>
    <w:uiPriority w:val="99"/>
    <w:semiHidden/>
    <w:unhideWhenUsed/>
    <w:rsid w:val="004500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450046"/>
  </w:style>
  <w:style w:type="paragraph" w:customStyle="1" w:styleId="Notasdepie">
    <w:name w:val="Notas de pie"/>
    <w:basedOn w:val="Sinespaciado"/>
    <w:link w:val="NotasdepieCar"/>
    <w:qFormat/>
    <w:rsid w:val="00A30DA9"/>
    <w:pPr>
      <w:jc w:val="both"/>
    </w:pPr>
    <w:rPr>
      <w:rFonts w:ascii="Times New Roman" w:hAnsi="Times New Roman" w:cs="Times New Roman"/>
      <w:sz w:val="20"/>
      <w:szCs w:val="20"/>
    </w:rPr>
  </w:style>
  <w:style w:type="character" w:customStyle="1" w:styleId="SinespaciadoCar">
    <w:name w:val="Sin espaciado Car"/>
    <w:basedOn w:val="Fuentedeprrafopredeter"/>
    <w:link w:val="Sinespaciado"/>
    <w:uiPriority w:val="1"/>
    <w:rsid w:val="00A30DA9"/>
  </w:style>
  <w:style w:type="character" w:customStyle="1" w:styleId="NotasdepieCar">
    <w:name w:val="Notas de pie Car"/>
    <w:basedOn w:val="SinespaciadoCar"/>
    <w:link w:val="Notasdepie"/>
    <w:rsid w:val="00A30DA9"/>
    <w:rPr>
      <w:rFonts w:ascii="Times New Roman" w:hAnsi="Times New Roman" w:cs="Times New Roman"/>
      <w:sz w:val="20"/>
      <w:szCs w:val="20"/>
    </w:rPr>
  </w:style>
  <w:style w:type="character" w:customStyle="1" w:styleId="Ttulo1Car">
    <w:name w:val="Título 1 Car"/>
    <w:basedOn w:val="Fuentedeprrafopredeter"/>
    <w:link w:val="Ttulo1"/>
    <w:uiPriority w:val="9"/>
    <w:rsid w:val="00610F80"/>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610F80"/>
    <w:pPr>
      <w:outlineLvl w:val="9"/>
    </w:pPr>
  </w:style>
  <w:style w:type="paragraph" w:customStyle="1" w:styleId="Estilo1">
    <w:name w:val="Estilo1"/>
    <w:basedOn w:val="Prrafodelista"/>
    <w:link w:val="Estilo1Car"/>
    <w:qFormat/>
    <w:rsid w:val="00610F80"/>
    <w:pPr>
      <w:numPr>
        <w:numId w:val="1"/>
      </w:numPr>
      <w:spacing w:after="0" w:line="480" w:lineRule="auto"/>
      <w:jc w:val="both"/>
    </w:pPr>
    <w:rPr>
      <w:rFonts w:ascii="Times New Roman" w:eastAsia="Times New Roman" w:hAnsi="Times New Roman" w:cs="Times New Roman"/>
      <w:i/>
      <w:sz w:val="24"/>
      <w:szCs w:val="24"/>
      <w:u w:val="single"/>
    </w:rPr>
  </w:style>
  <w:style w:type="paragraph" w:styleId="TDC1">
    <w:name w:val="toc 1"/>
    <w:basedOn w:val="Normal"/>
    <w:next w:val="Normal"/>
    <w:autoRedefine/>
    <w:uiPriority w:val="39"/>
    <w:unhideWhenUsed/>
    <w:rsid w:val="00610F80"/>
    <w:pPr>
      <w:spacing w:after="100"/>
    </w:pPr>
  </w:style>
  <w:style w:type="character" w:customStyle="1" w:styleId="PrrafodelistaCar">
    <w:name w:val="Párrafo de lista Car"/>
    <w:basedOn w:val="Fuentedeprrafopredeter"/>
    <w:link w:val="Prrafodelista"/>
    <w:uiPriority w:val="34"/>
    <w:rsid w:val="00610F80"/>
  </w:style>
  <w:style w:type="character" w:customStyle="1" w:styleId="Estilo1Car">
    <w:name w:val="Estilo1 Car"/>
    <w:basedOn w:val="PrrafodelistaCar"/>
    <w:link w:val="Estilo1"/>
    <w:rsid w:val="00610F80"/>
    <w:rPr>
      <w:rFonts w:ascii="Times New Roman" w:eastAsia="Times New Roman" w:hAnsi="Times New Roman" w:cs="Times New Roman"/>
      <w:i/>
      <w:sz w:val="24"/>
      <w:szCs w:val="24"/>
      <w:u w:val="single"/>
    </w:rPr>
  </w:style>
  <w:style w:type="paragraph" w:styleId="TDC2">
    <w:name w:val="toc 2"/>
    <w:basedOn w:val="Normal"/>
    <w:next w:val="Normal"/>
    <w:autoRedefine/>
    <w:uiPriority w:val="39"/>
    <w:unhideWhenUsed/>
    <w:rsid w:val="00610F80"/>
    <w:pPr>
      <w:spacing w:after="100"/>
      <w:ind w:left="220"/>
    </w:pPr>
  </w:style>
  <w:style w:type="table" w:styleId="Sombreadomedio1">
    <w:name w:val="Medium Shading 1"/>
    <w:basedOn w:val="Tablanormal"/>
    <w:uiPriority w:val="63"/>
    <w:rsid w:val="0054791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stamedia2-nfasis3">
    <w:name w:val="Medium List 2 Accent 3"/>
    <w:basedOn w:val="Tablanormal"/>
    <w:uiPriority w:val="66"/>
    <w:rsid w:val="0015305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
    <w:name w:val="Medium List 2"/>
    <w:basedOn w:val="Tablanormal"/>
    <w:uiPriority w:val="66"/>
    <w:rsid w:val="0015305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10F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1"/>
    <w:uiPriority w:val="99"/>
    <w:semiHidden/>
    <w:unhideWhenUsed/>
    <w:rsid w:val="00A12CB1"/>
    <w:pPr>
      <w:spacing w:after="0" w:line="240" w:lineRule="auto"/>
    </w:pPr>
    <w:rPr>
      <w:rFonts w:ascii="Tahoma" w:hAnsi="Tahoma" w:cs="Tahoma"/>
      <w:sz w:val="16"/>
      <w:szCs w:val="16"/>
    </w:rPr>
  </w:style>
  <w:style w:type="character" w:customStyle="1" w:styleId="TextodegloboCar">
    <w:name w:val="Texto de globo Car"/>
    <w:basedOn w:val="Fuentedeprrafopredeter"/>
    <w:uiPriority w:val="99"/>
    <w:semiHidden/>
    <w:rsid w:val="00E35CEF"/>
    <w:rPr>
      <w:rFonts w:ascii="Lucida Grande" w:hAnsi="Lucida Grande" w:cs="Lucida Grande"/>
      <w:sz w:val="18"/>
      <w:szCs w:val="18"/>
    </w:rPr>
  </w:style>
  <w:style w:type="paragraph" w:styleId="Prrafodelista">
    <w:name w:val="List Paragraph"/>
    <w:basedOn w:val="Normal"/>
    <w:link w:val="PrrafodelistaCar"/>
    <w:uiPriority w:val="34"/>
    <w:qFormat/>
    <w:rsid w:val="00D935F7"/>
    <w:pPr>
      <w:ind w:left="720"/>
      <w:contextualSpacing/>
    </w:pPr>
  </w:style>
  <w:style w:type="paragraph" w:styleId="Textonotapie">
    <w:name w:val="footnote text"/>
    <w:basedOn w:val="Normal"/>
    <w:link w:val="TextonotapieCar"/>
    <w:uiPriority w:val="99"/>
    <w:unhideWhenUsed/>
    <w:rsid w:val="00D935F7"/>
    <w:pPr>
      <w:spacing w:after="0" w:line="240" w:lineRule="auto"/>
    </w:pPr>
    <w:rPr>
      <w:sz w:val="20"/>
      <w:szCs w:val="20"/>
    </w:rPr>
  </w:style>
  <w:style w:type="character" w:customStyle="1" w:styleId="TextonotapieCar">
    <w:name w:val="Texto nota pie Car"/>
    <w:basedOn w:val="Fuentedeprrafopredeter"/>
    <w:link w:val="Textonotapie"/>
    <w:uiPriority w:val="99"/>
    <w:rsid w:val="00D935F7"/>
    <w:rPr>
      <w:rFonts w:eastAsiaTheme="minorEastAsia"/>
      <w:sz w:val="20"/>
      <w:szCs w:val="20"/>
      <w:lang w:eastAsia="es-MX"/>
    </w:rPr>
  </w:style>
  <w:style w:type="character" w:styleId="Refdenotaalpie">
    <w:name w:val="footnote reference"/>
    <w:basedOn w:val="Fuentedeprrafopredeter"/>
    <w:uiPriority w:val="99"/>
    <w:semiHidden/>
    <w:unhideWhenUsed/>
    <w:rsid w:val="00D935F7"/>
    <w:rPr>
      <w:vertAlign w:val="superscript"/>
    </w:rPr>
  </w:style>
  <w:style w:type="paragraph" w:styleId="Sinespaciado">
    <w:name w:val="No Spacing"/>
    <w:link w:val="SinespaciadoCar"/>
    <w:uiPriority w:val="1"/>
    <w:qFormat/>
    <w:rsid w:val="00D935F7"/>
    <w:pPr>
      <w:spacing w:after="0" w:line="240" w:lineRule="auto"/>
    </w:pPr>
  </w:style>
  <w:style w:type="paragraph" w:customStyle="1" w:styleId="Default">
    <w:name w:val="Default"/>
    <w:rsid w:val="00241802"/>
    <w:pPr>
      <w:autoSpaceDE w:val="0"/>
      <w:autoSpaceDN w:val="0"/>
      <w:adjustRightInd w:val="0"/>
      <w:spacing w:after="0" w:line="240" w:lineRule="auto"/>
    </w:pPr>
    <w:rPr>
      <w:rFonts w:ascii="Code" w:hAnsi="Code" w:cs="Code"/>
      <w:color w:val="000000"/>
      <w:sz w:val="24"/>
      <w:szCs w:val="24"/>
    </w:rPr>
  </w:style>
  <w:style w:type="character" w:customStyle="1" w:styleId="TextodegloboCar1">
    <w:name w:val="Texto de globo Car1"/>
    <w:basedOn w:val="Fuentedeprrafopredeter"/>
    <w:link w:val="Textodeglobo"/>
    <w:uiPriority w:val="99"/>
    <w:semiHidden/>
    <w:rsid w:val="00A12CB1"/>
    <w:rPr>
      <w:rFonts w:ascii="Tahoma" w:hAnsi="Tahoma" w:cs="Tahoma"/>
      <w:sz w:val="16"/>
      <w:szCs w:val="16"/>
    </w:rPr>
  </w:style>
  <w:style w:type="character" w:styleId="Textodelmarcadordeposicin">
    <w:name w:val="Placeholder Text"/>
    <w:basedOn w:val="Fuentedeprrafopredeter"/>
    <w:uiPriority w:val="99"/>
    <w:semiHidden/>
    <w:rsid w:val="00B741A9"/>
    <w:rPr>
      <w:color w:val="808080"/>
    </w:rPr>
  </w:style>
  <w:style w:type="character" w:styleId="Hipervnculo">
    <w:name w:val="Hyperlink"/>
    <w:basedOn w:val="Fuentedeprrafopredeter"/>
    <w:uiPriority w:val="99"/>
    <w:unhideWhenUsed/>
    <w:rsid w:val="004C650F"/>
    <w:rPr>
      <w:color w:val="0000FF" w:themeColor="hyperlink"/>
      <w:u w:val="single"/>
    </w:rPr>
  </w:style>
  <w:style w:type="table" w:styleId="Tablaconcuadrcula">
    <w:name w:val="Table Grid"/>
    <w:basedOn w:val="Tablanormal"/>
    <w:uiPriority w:val="59"/>
    <w:rsid w:val="00DD0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D47C4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7C46"/>
  </w:style>
  <w:style w:type="paragraph" w:styleId="Piedepgina">
    <w:name w:val="footer"/>
    <w:basedOn w:val="Normal"/>
    <w:link w:val="PiedepginaCar"/>
    <w:uiPriority w:val="99"/>
    <w:unhideWhenUsed/>
    <w:rsid w:val="00D47C4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7C46"/>
  </w:style>
  <w:style w:type="paragraph" w:customStyle="1" w:styleId="centrar">
    <w:name w:val="centrar"/>
    <w:basedOn w:val="Normal"/>
    <w:rsid w:val="001E3C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rafo">
    <w:name w:val="parrafo"/>
    <w:basedOn w:val="Normal"/>
    <w:rsid w:val="001E3CB3"/>
    <w:pPr>
      <w:spacing w:before="100" w:beforeAutospacing="1" w:after="100" w:afterAutospacing="1" w:line="240" w:lineRule="auto"/>
    </w:pPr>
    <w:rPr>
      <w:rFonts w:ascii="Times New Roman" w:eastAsia="Times New Roman" w:hAnsi="Times New Roman" w:cs="Times New Roman"/>
      <w:sz w:val="24"/>
      <w:szCs w:val="24"/>
    </w:rPr>
  </w:style>
  <w:style w:type="table" w:styleId="Listamedia2-nfasis1">
    <w:name w:val="Medium List 2 Accent 1"/>
    <w:basedOn w:val="Tablanormal"/>
    <w:uiPriority w:val="66"/>
    <w:rsid w:val="00C123F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aclara1">
    <w:name w:val="Lista clara1"/>
    <w:basedOn w:val="Tablanormal"/>
    <w:uiPriority w:val="61"/>
    <w:rsid w:val="00A21DA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ombreadoclaro1">
    <w:name w:val="Sombreado claro1"/>
    <w:basedOn w:val="Tablanormal"/>
    <w:uiPriority w:val="60"/>
    <w:rsid w:val="00A21DA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domedio1-nfasis11">
    <w:name w:val="Sombreado medio 1 - Énfasis 11"/>
    <w:basedOn w:val="Tablanormal"/>
    <w:uiPriority w:val="63"/>
    <w:rsid w:val="00A21DA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HTMLconformatoprevio">
    <w:name w:val="HTML Preformatted"/>
    <w:basedOn w:val="Normal"/>
    <w:link w:val="HTMLconformatoprevioCar"/>
    <w:uiPriority w:val="99"/>
    <w:semiHidden/>
    <w:unhideWhenUsed/>
    <w:rsid w:val="00213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13A10"/>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391B2B"/>
    <w:rPr>
      <w:color w:val="800080" w:themeColor="followedHyperlink"/>
      <w:u w:val="single"/>
    </w:rPr>
  </w:style>
  <w:style w:type="table" w:styleId="Sombreadoclaro-nfasis1">
    <w:name w:val="Light Shading Accent 1"/>
    <w:basedOn w:val="Tablanormal"/>
    <w:uiPriority w:val="60"/>
    <w:rsid w:val="001330B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medio1-nfasis1">
    <w:name w:val="Medium Shading 1 Accent 1"/>
    <w:basedOn w:val="Tablanormal"/>
    <w:uiPriority w:val="63"/>
    <w:rsid w:val="001330B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Refdecomentario">
    <w:name w:val="annotation reference"/>
    <w:basedOn w:val="Fuentedeprrafopredeter"/>
    <w:uiPriority w:val="99"/>
    <w:semiHidden/>
    <w:unhideWhenUsed/>
    <w:rsid w:val="00143F3D"/>
    <w:rPr>
      <w:sz w:val="16"/>
      <w:szCs w:val="16"/>
    </w:rPr>
  </w:style>
  <w:style w:type="paragraph" w:styleId="Textocomentario">
    <w:name w:val="annotation text"/>
    <w:basedOn w:val="Normal"/>
    <w:link w:val="TextocomentarioCar"/>
    <w:uiPriority w:val="99"/>
    <w:semiHidden/>
    <w:unhideWhenUsed/>
    <w:rsid w:val="00143F3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43F3D"/>
    <w:rPr>
      <w:sz w:val="20"/>
      <w:szCs w:val="20"/>
    </w:rPr>
  </w:style>
  <w:style w:type="paragraph" w:styleId="Asuntodelcomentario">
    <w:name w:val="annotation subject"/>
    <w:basedOn w:val="Textocomentario"/>
    <w:next w:val="Textocomentario"/>
    <w:link w:val="AsuntodelcomentarioCar"/>
    <w:uiPriority w:val="99"/>
    <w:semiHidden/>
    <w:unhideWhenUsed/>
    <w:rsid w:val="00143F3D"/>
    <w:rPr>
      <w:b/>
      <w:bCs/>
    </w:rPr>
  </w:style>
  <w:style w:type="character" w:customStyle="1" w:styleId="AsuntodelcomentarioCar">
    <w:name w:val="Asunto del comentario Car"/>
    <w:basedOn w:val="TextocomentarioCar"/>
    <w:link w:val="Asuntodelcomentario"/>
    <w:uiPriority w:val="99"/>
    <w:semiHidden/>
    <w:rsid w:val="00143F3D"/>
    <w:rPr>
      <w:b/>
      <w:bCs/>
      <w:sz w:val="20"/>
      <w:szCs w:val="20"/>
    </w:rPr>
  </w:style>
  <w:style w:type="paragraph" w:customStyle="1" w:styleId="ROMANOS">
    <w:name w:val="ROMANOS"/>
    <w:basedOn w:val="Normal"/>
    <w:rsid w:val="00FC0B11"/>
    <w:pPr>
      <w:tabs>
        <w:tab w:val="left" w:pos="720"/>
      </w:tabs>
      <w:spacing w:after="101" w:line="216" w:lineRule="atLeast"/>
      <w:ind w:left="720" w:hanging="432"/>
      <w:jc w:val="both"/>
    </w:pPr>
    <w:rPr>
      <w:rFonts w:ascii="Arial" w:eastAsia="Times New Roman" w:hAnsi="Arial" w:cs="Times New Roman"/>
      <w:sz w:val="18"/>
      <w:szCs w:val="20"/>
      <w:lang w:val="es-ES_tradnl" w:eastAsia="es-ES"/>
    </w:rPr>
  </w:style>
  <w:style w:type="paragraph" w:customStyle="1" w:styleId="INCISO">
    <w:name w:val="INCISO"/>
    <w:basedOn w:val="Normal"/>
    <w:rsid w:val="00FC0B11"/>
    <w:pPr>
      <w:tabs>
        <w:tab w:val="left" w:pos="1152"/>
      </w:tabs>
      <w:spacing w:after="101" w:line="216" w:lineRule="atLeast"/>
      <w:ind w:left="1152" w:hanging="432"/>
      <w:jc w:val="both"/>
    </w:pPr>
    <w:rPr>
      <w:rFonts w:ascii="Arial" w:eastAsia="Times New Roman" w:hAnsi="Arial" w:cs="Times New Roman"/>
      <w:sz w:val="18"/>
      <w:szCs w:val="20"/>
      <w:lang w:val="es-ES_tradnl" w:eastAsia="es-ES"/>
    </w:rPr>
  </w:style>
  <w:style w:type="paragraph" w:styleId="Revisin">
    <w:name w:val="Revision"/>
    <w:hidden/>
    <w:uiPriority w:val="99"/>
    <w:semiHidden/>
    <w:rsid w:val="000B52DD"/>
    <w:pPr>
      <w:spacing w:after="0" w:line="240" w:lineRule="auto"/>
    </w:pPr>
  </w:style>
  <w:style w:type="paragraph" w:styleId="NormalWeb">
    <w:name w:val="Normal (Web)"/>
    <w:basedOn w:val="Normal"/>
    <w:uiPriority w:val="99"/>
    <w:semiHidden/>
    <w:unhideWhenUsed/>
    <w:rsid w:val="004500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450046"/>
  </w:style>
  <w:style w:type="paragraph" w:customStyle="1" w:styleId="Notasdepie">
    <w:name w:val="Notas de pie"/>
    <w:basedOn w:val="Sinespaciado"/>
    <w:link w:val="NotasdepieCar"/>
    <w:qFormat/>
    <w:rsid w:val="00A30DA9"/>
    <w:pPr>
      <w:jc w:val="both"/>
    </w:pPr>
    <w:rPr>
      <w:rFonts w:ascii="Times New Roman" w:hAnsi="Times New Roman" w:cs="Times New Roman"/>
      <w:sz w:val="20"/>
      <w:szCs w:val="20"/>
    </w:rPr>
  </w:style>
  <w:style w:type="character" w:customStyle="1" w:styleId="SinespaciadoCar">
    <w:name w:val="Sin espaciado Car"/>
    <w:basedOn w:val="Fuentedeprrafopredeter"/>
    <w:link w:val="Sinespaciado"/>
    <w:uiPriority w:val="1"/>
    <w:rsid w:val="00A30DA9"/>
  </w:style>
  <w:style w:type="character" w:customStyle="1" w:styleId="NotasdepieCar">
    <w:name w:val="Notas de pie Car"/>
    <w:basedOn w:val="SinespaciadoCar"/>
    <w:link w:val="Notasdepie"/>
    <w:rsid w:val="00A30DA9"/>
    <w:rPr>
      <w:rFonts w:ascii="Times New Roman" w:hAnsi="Times New Roman" w:cs="Times New Roman"/>
      <w:sz w:val="20"/>
      <w:szCs w:val="20"/>
    </w:rPr>
  </w:style>
  <w:style w:type="character" w:customStyle="1" w:styleId="Ttulo1Car">
    <w:name w:val="Título 1 Car"/>
    <w:basedOn w:val="Fuentedeprrafopredeter"/>
    <w:link w:val="Ttulo1"/>
    <w:uiPriority w:val="9"/>
    <w:rsid w:val="00610F80"/>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610F80"/>
    <w:pPr>
      <w:outlineLvl w:val="9"/>
    </w:pPr>
  </w:style>
  <w:style w:type="paragraph" w:customStyle="1" w:styleId="Estilo1">
    <w:name w:val="Estilo1"/>
    <w:basedOn w:val="Prrafodelista"/>
    <w:link w:val="Estilo1Car"/>
    <w:qFormat/>
    <w:rsid w:val="00610F80"/>
    <w:pPr>
      <w:numPr>
        <w:numId w:val="1"/>
      </w:numPr>
      <w:spacing w:after="0" w:line="480" w:lineRule="auto"/>
      <w:jc w:val="both"/>
    </w:pPr>
    <w:rPr>
      <w:rFonts w:ascii="Times New Roman" w:eastAsia="Times New Roman" w:hAnsi="Times New Roman" w:cs="Times New Roman"/>
      <w:i/>
      <w:sz w:val="24"/>
      <w:szCs w:val="24"/>
      <w:u w:val="single"/>
    </w:rPr>
  </w:style>
  <w:style w:type="paragraph" w:styleId="TDC1">
    <w:name w:val="toc 1"/>
    <w:basedOn w:val="Normal"/>
    <w:next w:val="Normal"/>
    <w:autoRedefine/>
    <w:uiPriority w:val="39"/>
    <w:unhideWhenUsed/>
    <w:rsid w:val="00610F80"/>
    <w:pPr>
      <w:spacing w:after="100"/>
    </w:pPr>
  </w:style>
  <w:style w:type="character" w:customStyle="1" w:styleId="PrrafodelistaCar">
    <w:name w:val="Párrafo de lista Car"/>
    <w:basedOn w:val="Fuentedeprrafopredeter"/>
    <w:link w:val="Prrafodelista"/>
    <w:uiPriority w:val="34"/>
    <w:rsid w:val="00610F80"/>
  </w:style>
  <w:style w:type="character" w:customStyle="1" w:styleId="Estilo1Car">
    <w:name w:val="Estilo1 Car"/>
    <w:basedOn w:val="PrrafodelistaCar"/>
    <w:link w:val="Estilo1"/>
    <w:rsid w:val="00610F80"/>
    <w:rPr>
      <w:rFonts w:ascii="Times New Roman" w:eastAsia="Times New Roman" w:hAnsi="Times New Roman" w:cs="Times New Roman"/>
      <w:i/>
      <w:sz w:val="24"/>
      <w:szCs w:val="24"/>
      <w:u w:val="single"/>
    </w:rPr>
  </w:style>
  <w:style w:type="paragraph" w:styleId="TDC2">
    <w:name w:val="toc 2"/>
    <w:basedOn w:val="Normal"/>
    <w:next w:val="Normal"/>
    <w:autoRedefine/>
    <w:uiPriority w:val="39"/>
    <w:unhideWhenUsed/>
    <w:rsid w:val="00610F80"/>
    <w:pPr>
      <w:spacing w:after="100"/>
      <w:ind w:left="220"/>
    </w:pPr>
  </w:style>
  <w:style w:type="table" w:styleId="Sombreadomedio1">
    <w:name w:val="Medium Shading 1"/>
    <w:basedOn w:val="Tablanormal"/>
    <w:uiPriority w:val="63"/>
    <w:rsid w:val="0054791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stamedia2-nfasis3">
    <w:name w:val="Medium List 2 Accent 3"/>
    <w:basedOn w:val="Tablanormal"/>
    <w:uiPriority w:val="66"/>
    <w:rsid w:val="0015305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
    <w:name w:val="Medium List 2"/>
    <w:basedOn w:val="Tablanormal"/>
    <w:uiPriority w:val="66"/>
    <w:rsid w:val="0015305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44396">
      <w:bodyDiv w:val="1"/>
      <w:marLeft w:val="0"/>
      <w:marRight w:val="0"/>
      <w:marTop w:val="0"/>
      <w:marBottom w:val="0"/>
      <w:divBdr>
        <w:top w:val="none" w:sz="0" w:space="0" w:color="auto"/>
        <w:left w:val="none" w:sz="0" w:space="0" w:color="auto"/>
        <w:bottom w:val="none" w:sz="0" w:space="0" w:color="auto"/>
        <w:right w:val="none" w:sz="0" w:space="0" w:color="auto"/>
      </w:divBdr>
    </w:div>
    <w:div w:id="140656568">
      <w:bodyDiv w:val="1"/>
      <w:marLeft w:val="0"/>
      <w:marRight w:val="0"/>
      <w:marTop w:val="0"/>
      <w:marBottom w:val="0"/>
      <w:divBdr>
        <w:top w:val="none" w:sz="0" w:space="0" w:color="auto"/>
        <w:left w:val="none" w:sz="0" w:space="0" w:color="auto"/>
        <w:bottom w:val="none" w:sz="0" w:space="0" w:color="auto"/>
        <w:right w:val="none" w:sz="0" w:space="0" w:color="auto"/>
      </w:divBdr>
    </w:div>
    <w:div w:id="180708523">
      <w:bodyDiv w:val="1"/>
      <w:marLeft w:val="0"/>
      <w:marRight w:val="0"/>
      <w:marTop w:val="0"/>
      <w:marBottom w:val="0"/>
      <w:divBdr>
        <w:top w:val="none" w:sz="0" w:space="0" w:color="auto"/>
        <w:left w:val="none" w:sz="0" w:space="0" w:color="auto"/>
        <w:bottom w:val="none" w:sz="0" w:space="0" w:color="auto"/>
        <w:right w:val="none" w:sz="0" w:space="0" w:color="auto"/>
      </w:divBdr>
    </w:div>
    <w:div w:id="329456149">
      <w:bodyDiv w:val="1"/>
      <w:marLeft w:val="0"/>
      <w:marRight w:val="0"/>
      <w:marTop w:val="0"/>
      <w:marBottom w:val="0"/>
      <w:divBdr>
        <w:top w:val="none" w:sz="0" w:space="0" w:color="auto"/>
        <w:left w:val="none" w:sz="0" w:space="0" w:color="auto"/>
        <w:bottom w:val="none" w:sz="0" w:space="0" w:color="auto"/>
        <w:right w:val="none" w:sz="0" w:space="0" w:color="auto"/>
      </w:divBdr>
    </w:div>
    <w:div w:id="391318492">
      <w:bodyDiv w:val="1"/>
      <w:marLeft w:val="0"/>
      <w:marRight w:val="0"/>
      <w:marTop w:val="0"/>
      <w:marBottom w:val="0"/>
      <w:divBdr>
        <w:top w:val="none" w:sz="0" w:space="0" w:color="auto"/>
        <w:left w:val="none" w:sz="0" w:space="0" w:color="auto"/>
        <w:bottom w:val="none" w:sz="0" w:space="0" w:color="auto"/>
        <w:right w:val="none" w:sz="0" w:space="0" w:color="auto"/>
      </w:divBdr>
    </w:div>
    <w:div w:id="398333335">
      <w:bodyDiv w:val="1"/>
      <w:marLeft w:val="0"/>
      <w:marRight w:val="0"/>
      <w:marTop w:val="0"/>
      <w:marBottom w:val="0"/>
      <w:divBdr>
        <w:top w:val="none" w:sz="0" w:space="0" w:color="auto"/>
        <w:left w:val="none" w:sz="0" w:space="0" w:color="auto"/>
        <w:bottom w:val="none" w:sz="0" w:space="0" w:color="auto"/>
        <w:right w:val="none" w:sz="0" w:space="0" w:color="auto"/>
      </w:divBdr>
    </w:div>
    <w:div w:id="527063028">
      <w:bodyDiv w:val="1"/>
      <w:marLeft w:val="0"/>
      <w:marRight w:val="0"/>
      <w:marTop w:val="0"/>
      <w:marBottom w:val="0"/>
      <w:divBdr>
        <w:top w:val="none" w:sz="0" w:space="0" w:color="auto"/>
        <w:left w:val="none" w:sz="0" w:space="0" w:color="auto"/>
        <w:bottom w:val="none" w:sz="0" w:space="0" w:color="auto"/>
        <w:right w:val="none" w:sz="0" w:space="0" w:color="auto"/>
      </w:divBdr>
    </w:div>
    <w:div w:id="684862254">
      <w:bodyDiv w:val="1"/>
      <w:marLeft w:val="0"/>
      <w:marRight w:val="0"/>
      <w:marTop w:val="0"/>
      <w:marBottom w:val="0"/>
      <w:divBdr>
        <w:top w:val="none" w:sz="0" w:space="0" w:color="auto"/>
        <w:left w:val="none" w:sz="0" w:space="0" w:color="auto"/>
        <w:bottom w:val="none" w:sz="0" w:space="0" w:color="auto"/>
        <w:right w:val="none" w:sz="0" w:space="0" w:color="auto"/>
      </w:divBdr>
    </w:div>
    <w:div w:id="896017816">
      <w:bodyDiv w:val="1"/>
      <w:marLeft w:val="0"/>
      <w:marRight w:val="0"/>
      <w:marTop w:val="0"/>
      <w:marBottom w:val="0"/>
      <w:divBdr>
        <w:top w:val="none" w:sz="0" w:space="0" w:color="auto"/>
        <w:left w:val="none" w:sz="0" w:space="0" w:color="auto"/>
        <w:bottom w:val="none" w:sz="0" w:space="0" w:color="auto"/>
        <w:right w:val="none" w:sz="0" w:space="0" w:color="auto"/>
      </w:divBdr>
    </w:div>
    <w:div w:id="1312753279">
      <w:bodyDiv w:val="1"/>
      <w:marLeft w:val="0"/>
      <w:marRight w:val="0"/>
      <w:marTop w:val="0"/>
      <w:marBottom w:val="0"/>
      <w:divBdr>
        <w:top w:val="none" w:sz="0" w:space="0" w:color="auto"/>
        <w:left w:val="none" w:sz="0" w:space="0" w:color="auto"/>
        <w:bottom w:val="none" w:sz="0" w:space="0" w:color="auto"/>
        <w:right w:val="none" w:sz="0" w:space="0" w:color="auto"/>
      </w:divBdr>
    </w:div>
    <w:div w:id="1414470653">
      <w:bodyDiv w:val="1"/>
      <w:marLeft w:val="0"/>
      <w:marRight w:val="0"/>
      <w:marTop w:val="0"/>
      <w:marBottom w:val="0"/>
      <w:divBdr>
        <w:top w:val="none" w:sz="0" w:space="0" w:color="auto"/>
        <w:left w:val="none" w:sz="0" w:space="0" w:color="auto"/>
        <w:bottom w:val="none" w:sz="0" w:space="0" w:color="auto"/>
        <w:right w:val="none" w:sz="0" w:space="0" w:color="auto"/>
      </w:divBdr>
    </w:div>
    <w:div w:id="1453327640">
      <w:bodyDiv w:val="1"/>
      <w:marLeft w:val="0"/>
      <w:marRight w:val="0"/>
      <w:marTop w:val="0"/>
      <w:marBottom w:val="0"/>
      <w:divBdr>
        <w:top w:val="none" w:sz="0" w:space="0" w:color="auto"/>
        <w:left w:val="none" w:sz="0" w:space="0" w:color="auto"/>
        <w:bottom w:val="none" w:sz="0" w:space="0" w:color="auto"/>
        <w:right w:val="none" w:sz="0" w:space="0" w:color="auto"/>
      </w:divBdr>
    </w:div>
    <w:div w:id="1574702139">
      <w:bodyDiv w:val="1"/>
      <w:marLeft w:val="0"/>
      <w:marRight w:val="0"/>
      <w:marTop w:val="0"/>
      <w:marBottom w:val="0"/>
      <w:divBdr>
        <w:top w:val="none" w:sz="0" w:space="0" w:color="auto"/>
        <w:left w:val="none" w:sz="0" w:space="0" w:color="auto"/>
        <w:bottom w:val="none" w:sz="0" w:space="0" w:color="auto"/>
        <w:right w:val="none" w:sz="0" w:space="0" w:color="auto"/>
      </w:divBdr>
    </w:div>
    <w:div w:id="1639410601">
      <w:bodyDiv w:val="1"/>
      <w:marLeft w:val="0"/>
      <w:marRight w:val="0"/>
      <w:marTop w:val="0"/>
      <w:marBottom w:val="0"/>
      <w:divBdr>
        <w:top w:val="none" w:sz="0" w:space="0" w:color="auto"/>
        <w:left w:val="none" w:sz="0" w:space="0" w:color="auto"/>
        <w:bottom w:val="none" w:sz="0" w:space="0" w:color="auto"/>
        <w:right w:val="none" w:sz="0" w:space="0" w:color="auto"/>
      </w:divBdr>
    </w:div>
    <w:div w:id="1645961784">
      <w:bodyDiv w:val="1"/>
      <w:marLeft w:val="0"/>
      <w:marRight w:val="0"/>
      <w:marTop w:val="0"/>
      <w:marBottom w:val="0"/>
      <w:divBdr>
        <w:top w:val="none" w:sz="0" w:space="0" w:color="auto"/>
        <w:left w:val="none" w:sz="0" w:space="0" w:color="auto"/>
        <w:bottom w:val="none" w:sz="0" w:space="0" w:color="auto"/>
        <w:right w:val="none" w:sz="0" w:space="0" w:color="auto"/>
      </w:divBdr>
    </w:div>
    <w:div w:id="1774279073">
      <w:bodyDiv w:val="1"/>
      <w:marLeft w:val="0"/>
      <w:marRight w:val="0"/>
      <w:marTop w:val="0"/>
      <w:marBottom w:val="0"/>
      <w:divBdr>
        <w:top w:val="none" w:sz="0" w:space="0" w:color="auto"/>
        <w:left w:val="none" w:sz="0" w:space="0" w:color="auto"/>
        <w:bottom w:val="none" w:sz="0" w:space="0" w:color="auto"/>
        <w:right w:val="none" w:sz="0" w:space="0" w:color="auto"/>
      </w:divBdr>
    </w:div>
    <w:div w:id="1874803452">
      <w:bodyDiv w:val="1"/>
      <w:marLeft w:val="0"/>
      <w:marRight w:val="0"/>
      <w:marTop w:val="0"/>
      <w:marBottom w:val="0"/>
      <w:divBdr>
        <w:top w:val="none" w:sz="0" w:space="0" w:color="auto"/>
        <w:left w:val="none" w:sz="0" w:space="0" w:color="auto"/>
        <w:bottom w:val="none" w:sz="0" w:space="0" w:color="auto"/>
        <w:right w:val="none" w:sz="0" w:space="0" w:color="auto"/>
      </w:divBdr>
    </w:div>
    <w:div w:id="207986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hyperlink" Target="https://www.cia.gov/library/publications/the-world-factbook/rankorder/2172rank.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hyperlink" Target="http://portaltransparencia.gob.mx/pot/marcoNormativo/consultar.do?method=consultar&amp;idMarcoNormativo=83&amp;idDependencia=6&amp;_idDependencia=6" TargetMode="External"/><Relationship Id="rId2" Type="http://schemas.openxmlformats.org/officeDocument/2006/relationships/numbering" Target="numbering.xml"/><Relationship Id="rId16" Type="http://schemas.openxmlformats.org/officeDocument/2006/relationships/hyperlink" Target="http://portaltransparencia.gob.mx/pot/estructura/showOrganigrama.do?method=showOrganigrama&amp;_idDependencia=6"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hyperlink" Target="http://www.asf.gob.mx/Trans/Informes/IR2011i/Grupos/Gasto_Federalizado/2011_0473_a.pdf" TargetMode="External"/><Relationship Id="rId10" Type="http://schemas.openxmlformats.org/officeDocument/2006/relationships/chart" Target="charts/chart1.xml"/><Relationship Id="rId19" Type="http://schemas.openxmlformats.org/officeDocument/2006/relationships/hyperlink" Target="http://www2.inecc.gob.mx/emapas/repmex_catrmu10.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apartados.hacienda.gob.mx/presupuesto/temas/ppef/2011/temas/tomos/23/r23_ep.pdf"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2.inecc.gob.mx/emapas/repmex_catrmu10.html" TargetMode="External"/><Relationship Id="rId1" Type="http://schemas.openxmlformats.org/officeDocument/2006/relationships/hyperlink" Target="https://www.cia.gov/library/publications/the-world-factbook/rankorder/2172rank.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F:\tesis\tesis\recursos%20por%20a&#241;o%20fonregi&#243;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tesis\tesis\recursos%20por%20a&#241;o%20fonregi&#243;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esis\Gasto%20de%20inversi&#243;n\Gr&#225;fic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view3D>
      <c:rotX val="15"/>
      <c:rotY val="20"/>
      <c:rAngAx val="1"/>
    </c:view3D>
    <c:floor>
      <c:thickness val="0"/>
    </c:floor>
    <c:sideWall>
      <c:thickness val="0"/>
    </c:sideWall>
    <c:backWall>
      <c:thickness val="0"/>
    </c:backWall>
    <c:plotArea>
      <c:layout>
        <c:manualLayout>
          <c:layoutTarget val="inner"/>
          <c:xMode val="edge"/>
          <c:yMode val="edge"/>
          <c:x val="9.3488407699037615E-2"/>
          <c:y val="5.1400554097404488E-2"/>
          <c:w val="0.70084623797025369"/>
          <c:h val="0.83724919801691455"/>
        </c:manualLayout>
      </c:layout>
      <c:bar3DChart>
        <c:barDir val="col"/>
        <c:grouping val="clustered"/>
        <c:varyColors val="0"/>
        <c:ser>
          <c:idx val="0"/>
          <c:order val="0"/>
          <c:tx>
            <c:strRef>
              <c:f>'Recursos por región'!$F$10</c:f>
              <c:strCache>
                <c:ptCount val="1"/>
                <c:pt idx="0">
                  <c:v>Guerrero, Oaxaca y Chiapas</c:v>
                </c:pt>
              </c:strCache>
            </c:strRef>
          </c:tx>
          <c:invertIfNegative val="0"/>
          <c:dLbls>
            <c:dLbl>
              <c:idx val="1"/>
              <c:layout/>
              <c:tx>
                <c:rich>
                  <a:bodyPr/>
                  <a:lstStyle/>
                  <a:p>
                    <a:r>
                      <a:rPr lang="en-US"/>
                      <a:t>50</a:t>
                    </a:r>
                  </a:p>
                </c:rich>
              </c:tx>
              <c:showLegendKey val="0"/>
              <c:showVal val="1"/>
              <c:showCatName val="0"/>
              <c:showSerName val="0"/>
              <c:showPercent val="0"/>
              <c:showBubbleSize val="0"/>
            </c:dLbl>
            <c:txPr>
              <a:bodyPr/>
              <a:lstStyle/>
              <a:p>
                <a:pPr>
                  <a:defRPr sz="1000" b="1"/>
                </a:pPr>
                <a:endParaRPr lang="es-MX"/>
              </a:p>
            </c:txPr>
            <c:showLegendKey val="0"/>
            <c:showVal val="1"/>
            <c:showCatName val="0"/>
            <c:showSerName val="0"/>
            <c:showPercent val="0"/>
            <c:showBubbleSize val="0"/>
            <c:showLeaderLines val="0"/>
          </c:dLbls>
          <c:cat>
            <c:numRef>
              <c:f>'Recursos por región'!$G$6:$L$6</c:f>
              <c:numCache>
                <c:formatCode>General</c:formatCode>
                <c:ptCount val="6"/>
                <c:pt idx="0">
                  <c:v>2009</c:v>
                </c:pt>
                <c:pt idx="1">
                  <c:v>2010</c:v>
                </c:pt>
                <c:pt idx="2">
                  <c:v>2011</c:v>
                </c:pt>
                <c:pt idx="3">
                  <c:v>2012</c:v>
                </c:pt>
                <c:pt idx="4">
                  <c:v>2013</c:v>
                </c:pt>
                <c:pt idx="5">
                  <c:v>2014</c:v>
                </c:pt>
              </c:numCache>
            </c:numRef>
          </c:cat>
          <c:val>
            <c:numRef>
              <c:f>'Recursos por región'!$G$10:$L$10</c:f>
              <c:numCache>
                <c:formatCode>0.0</c:formatCode>
                <c:ptCount val="6"/>
                <c:pt idx="0">
                  <c:v>42.553191489361701</c:v>
                </c:pt>
                <c:pt idx="1">
                  <c:v>50</c:v>
                </c:pt>
                <c:pt idx="2">
                  <c:v>60.048231511254016</c:v>
                </c:pt>
                <c:pt idx="3">
                  <c:v>60.205182328245165</c:v>
                </c:pt>
                <c:pt idx="4">
                  <c:v>60.205230769230766</c:v>
                </c:pt>
                <c:pt idx="5">
                  <c:v>60.205128205128204</c:v>
                </c:pt>
              </c:numCache>
            </c:numRef>
          </c:val>
        </c:ser>
        <c:ser>
          <c:idx val="1"/>
          <c:order val="1"/>
          <c:tx>
            <c:strRef>
              <c:f>'Recursos por región'!$F$11</c:f>
              <c:strCache>
                <c:ptCount val="1"/>
                <c:pt idx="0">
                  <c:v>7 estados restantes</c:v>
                </c:pt>
              </c:strCache>
            </c:strRef>
          </c:tx>
          <c:invertIfNegative val="0"/>
          <c:dLbls>
            <c:dLbl>
              <c:idx val="1"/>
              <c:layout>
                <c:manualLayout>
                  <c:x val="2.2222222222222223E-2"/>
                  <c:y val="0"/>
                </c:manualLayout>
              </c:layout>
              <c:tx>
                <c:rich>
                  <a:bodyPr/>
                  <a:lstStyle/>
                  <a:p>
                    <a:r>
                      <a:rPr lang="en-US"/>
                      <a:t>50</a:t>
                    </a:r>
                  </a:p>
                </c:rich>
              </c:tx>
              <c:showLegendKey val="0"/>
              <c:showVal val="1"/>
              <c:showCatName val="0"/>
              <c:showSerName val="0"/>
              <c:showPercent val="0"/>
              <c:showBubbleSize val="0"/>
            </c:dLbl>
            <c:dLbl>
              <c:idx val="2"/>
              <c:layout>
                <c:manualLayout>
                  <c:x val="2.2222222222222223E-2"/>
                  <c:y val="4.2437781360066642E-17"/>
                </c:manualLayout>
              </c:layout>
              <c:showLegendKey val="0"/>
              <c:showVal val="1"/>
              <c:showCatName val="0"/>
              <c:showSerName val="0"/>
              <c:showPercent val="0"/>
              <c:showBubbleSize val="0"/>
            </c:dLbl>
            <c:dLbl>
              <c:idx val="3"/>
              <c:layout>
                <c:manualLayout>
                  <c:x val="1.9444444444444445E-2"/>
                  <c:y val="0"/>
                </c:manualLayout>
              </c:layout>
              <c:showLegendKey val="0"/>
              <c:showVal val="1"/>
              <c:showCatName val="0"/>
              <c:showSerName val="0"/>
              <c:showPercent val="0"/>
              <c:showBubbleSize val="0"/>
            </c:dLbl>
            <c:dLbl>
              <c:idx val="4"/>
              <c:layout>
                <c:manualLayout>
                  <c:x val="3.0555555555555555E-2"/>
                  <c:y val="-4.6296296296296294E-3"/>
                </c:manualLayout>
              </c:layout>
              <c:showLegendKey val="0"/>
              <c:showVal val="1"/>
              <c:showCatName val="0"/>
              <c:showSerName val="0"/>
              <c:showPercent val="0"/>
              <c:showBubbleSize val="0"/>
            </c:dLbl>
            <c:dLbl>
              <c:idx val="5"/>
              <c:layout>
                <c:manualLayout>
                  <c:x val="2.2222222222222223E-2"/>
                  <c:y val="-9.2592592592592587E-3"/>
                </c:manualLayout>
              </c:layout>
              <c:showLegendKey val="0"/>
              <c:showVal val="1"/>
              <c:showCatName val="0"/>
              <c:showSerName val="0"/>
              <c:showPercent val="0"/>
              <c:showBubbleSize val="0"/>
            </c:dLbl>
            <c:txPr>
              <a:bodyPr/>
              <a:lstStyle/>
              <a:p>
                <a:pPr>
                  <a:defRPr sz="1000" b="1"/>
                </a:pPr>
                <a:endParaRPr lang="es-MX"/>
              </a:p>
            </c:txPr>
            <c:showLegendKey val="0"/>
            <c:showVal val="1"/>
            <c:showCatName val="0"/>
            <c:showSerName val="0"/>
            <c:showPercent val="0"/>
            <c:showBubbleSize val="0"/>
            <c:showLeaderLines val="0"/>
          </c:dLbls>
          <c:cat>
            <c:numRef>
              <c:f>'Recursos por región'!$G$6:$L$6</c:f>
              <c:numCache>
                <c:formatCode>General</c:formatCode>
                <c:ptCount val="6"/>
                <c:pt idx="0">
                  <c:v>2009</c:v>
                </c:pt>
                <c:pt idx="1">
                  <c:v>2010</c:v>
                </c:pt>
                <c:pt idx="2">
                  <c:v>2011</c:v>
                </c:pt>
                <c:pt idx="3">
                  <c:v>2012</c:v>
                </c:pt>
                <c:pt idx="4">
                  <c:v>2013</c:v>
                </c:pt>
                <c:pt idx="5">
                  <c:v>2014</c:v>
                </c:pt>
              </c:numCache>
            </c:numRef>
          </c:cat>
          <c:val>
            <c:numRef>
              <c:f>'Recursos por región'!$G$11:$L$11</c:f>
              <c:numCache>
                <c:formatCode>0.0</c:formatCode>
                <c:ptCount val="6"/>
                <c:pt idx="0">
                  <c:v>57.446808510638299</c:v>
                </c:pt>
                <c:pt idx="1">
                  <c:v>50</c:v>
                </c:pt>
                <c:pt idx="2">
                  <c:v>39.951768488745984</c:v>
                </c:pt>
                <c:pt idx="3">
                  <c:v>39.794817671754835</c:v>
                </c:pt>
                <c:pt idx="4">
                  <c:v>39.794769230769234</c:v>
                </c:pt>
                <c:pt idx="5">
                  <c:v>39.794871794871796</c:v>
                </c:pt>
              </c:numCache>
            </c:numRef>
          </c:val>
        </c:ser>
        <c:dLbls>
          <c:showLegendKey val="0"/>
          <c:showVal val="0"/>
          <c:showCatName val="0"/>
          <c:showSerName val="0"/>
          <c:showPercent val="0"/>
          <c:showBubbleSize val="0"/>
        </c:dLbls>
        <c:gapWidth val="150"/>
        <c:shape val="box"/>
        <c:axId val="83966208"/>
        <c:axId val="84000768"/>
        <c:axId val="0"/>
      </c:bar3DChart>
      <c:catAx>
        <c:axId val="83966208"/>
        <c:scaling>
          <c:orientation val="minMax"/>
        </c:scaling>
        <c:delete val="0"/>
        <c:axPos val="b"/>
        <c:numFmt formatCode="General" sourceLinked="1"/>
        <c:majorTickMark val="none"/>
        <c:minorTickMark val="none"/>
        <c:tickLblPos val="nextTo"/>
        <c:txPr>
          <a:bodyPr/>
          <a:lstStyle/>
          <a:p>
            <a:pPr>
              <a:defRPr b="1"/>
            </a:pPr>
            <a:endParaRPr lang="es-MX"/>
          </a:p>
        </c:txPr>
        <c:crossAx val="84000768"/>
        <c:crosses val="autoZero"/>
        <c:auto val="1"/>
        <c:lblAlgn val="ctr"/>
        <c:lblOffset val="100"/>
        <c:noMultiLvlLbl val="0"/>
      </c:catAx>
      <c:valAx>
        <c:axId val="84000768"/>
        <c:scaling>
          <c:orientation val="minMax"/>
        </c:scaling>
        <c:delete val="0"/>
        <c:axPos val="l"/>
        <c:majorGridlines/>
        <c:numFmt formatCode="0.0" sourceLinked="1"/>
        <c:majorTickMark val="none"/>
        <c:minorTickMark val="none"/>
        <c:tickLblPos val="nextTo"/>
        <c:txPr>
          <a:bodyPr/>
          <a:lstStyle/>
          <a:p>
            <a:pPr>
              <a:defRPr b="1"/>
            </a:pPr>
            <a:endParaRPr lang="es-MX"/>
          </a:p>
        </c:txPr>
        <c:crossAx val="83966208"/>
        <c:crosses val="autoZero"/>
        <c:crossBetween val="between"/>
      </c:valAx>
    </c:plotArea>
    <c:legend>
      <c:legendPos val="r"/>
      <c:layout>
        <c:manualLayout>
          <c:xMode val="edge"/>
          <c:yMode val="edge"/>
          <c:x val="0.76655686789151356"/>
          <c:y val="0.36034339457567804"/>
          <c:w val="0.20566535433070865"/>
          <c:h val="0.35338728492271798"/>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39"/>
    </mc:Choice>
    <mc:Fallback>
      <c:style val="39"/>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dLbls>
            <c:txPr>
              <a:bodyPr/>
              <a:lstStyle/>
              <a:p>
                <a:pPr>
                  <a:defRPr b="1"/>
                </a:pPr>
                <a:endParaRPr lang="es-MX"/>
              </a:p>
            </c:txPr>
            <c:showLegendKey val="0"/>
            <c:showVal val="1"/>
            <c:showCatName val="0"/>
            <c:showSerName val="0"/>
            <c:showPercent val="0"/>
            <c:showBubbleSize val="0"/>
            <c:showLeaderLines val="0"/>
          </c:dLbls>
          <c:cat>
            <c:numRef>
              <c:f>'Recursos por año'!$A$30:$A$37</c:f>
              <c:numCache>
                <c:formatCode>General</c:formatCode>
                <c:ptCount val="8"/>
                <c:pt idx="0">
                  <c:v>2007</c:v>
                </c:pt>
                <c:pt idx="1">
                  <c:v>2008</c:v>
                </c:pt>
                <c:pt idx="2">
                  <c:v>2009</c:v>
                </c:pt>
                <c:pt idx="3">
                  <c:v>2010</c:v>
                </c:pt>
                <c:pt idx="4">
                  <c:v>2011</c:v>
                </c:pt>
                <c:pt idx="5">
                  <c:v>2012</c:v>
                </c:pt>
                <c:pt idx="6">
                  <c:v>2013</c:v>
                </c:pt>
                <c:pt idx="7">
                  <c:v>2014</c:v>
                </c:pt>
              </c:numCache>
            </c:numRef>
          </c:cat>
          <c:val>
            <c:numRef>
              <c:f>'Recursos por año'!$E$30:$E$37</c:f>
              <c:numCache>
                <c:formatCode>0.00</c:formatCode>
                <c:ptCount val="8"/>
                <c:pt idx="0">
                  <c:v>2605.1507102436772</c:v>
                </c:pt>
                <c:pt idx="1">
                  <c:v>3668.3651344319169</c:v>
                </c:pt>
                <c:pt idx="2">
                  <c:v>6079.8461377433532</c:v>
                </c:pt>
                <c:pt idx="3">
                  <c:v>6219.621014638059</c:v>
                </c:pt>
                <c:pt idx="4">
                  <c:v>6775.0246257846457</c:v>
                </c:pt>
                <c:pt idx="5">
                  <c:v>6775.8658228438235</c:v>
                </c:pt>
                <c:pt idx="6">
                  <c:v>6574.6121424087523</c:v>
                </c:pt>
                <c:pt idx="7" formatCode="0">
                  <c:v>6747</c:v>
                </c:pt>
              </c:numCache>
            </c:numRef>
          </c:val>
        </c:ser>
        <c:dLbls>
          <c:showLegendKey val="0"/>
          <c:showVal val="0"/>
          <c:showCatName val="0"/>
          <c:showSerName val="0"/>
          <c:showPercent val="0"/>
          <c:showBubbleSize val="0"/>
        </c:dLbls>
        <c:gapWidth val="150"/>
        <c:shape val="box"/>
        <c:axId val="98638848"/>
        <c:axId val="117883648"/>
        <c:axId val="0"/>
      </c:bar3DChart>
      <c:catAx>
        <c:axId val="98638848"/>
        <c:scaling>
          <c:orientation val="minMax"/>
        </c:scaling>
        <c:delete val="0"/>
        <c:axPos val="b"/>
        <c:numFmt formatCode="General" sourceLinked="1"/>
        <c:majorTickMark val="out"/>
        <c:minorTickMark val="none"/>
        <c:tickLblPos val="nextTo"/>
        <c:txPr>
          <a:bodyPr/>
          <a:lstStyle/>
          <a:p>
            <a:pPr>
              <a:defRPr b="1"/>
            </a:pPr>
            <a:endParaRPr lang="es-MX"/>
          </a:p>
        </c:txPr>
        <c:crossAx val="117883648"/>
        <c:crosses val="autoZero"/>
        <c:auto val="1"/>
        <c:lblAlgn val="ctr"/>
        <c:lblOffset val="100"/>
        <c:noMultiLvlLbl val="0"/>
      </c:catAx>
      <c:valAx>
        <c:axId val="117883648"/>
        <c:scaling>
          <c:orientation val="minMax"/>
        </c:scaling>
        <c:delete val="0"/>
        <c:axPos val="l"/>
        <c:majorGridlines/>
        <c:numFmt formatCode="0" sourceLinked="0"/>
        <c:majorTickMark val="out"/>
        <c:minorTickMark val="none"/>
        <c:tickLblPos val="nextTo"/>
        <c:txPr>
          <a:bodyPr/>
          <a:lstStyle/>
          <a:p>
            <a:pPr>
              <a:defRPr b="1"/>
            </a:pPr>
            <a:endParaRPr lang="es-MX"/>
          </a:p>
        </c:txPr>
        <c:crossAx val="98638848"/>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39"/>
    </mc:Choice>
    <mc:Fallback>
      <c:style val="39"/>
    </mc:Fallback>
  </mc:AlternateContent>
  <c:chart>
    <c:autoTitleDeleted val="0"/>
    <c:view3D>
      <c:rotX val="15"/>
      <c:rotY val="20"/>
      <c:rAngAx val="1"/>
    </c:view3D>
    <c:floor>
      <c:thickness val="0"/>
    </c:floor>
    <c:sideWall>
      <c:thickness val="0"/>
    </c:sideWall>
    <c:backWall>
      <c:thickness val="0"/>
    </c:backWall>
    <c:plotArea>
      <c:layout>
        <c:manualLayout>
          <c:layoutTarget val="inner"/>
          <c:xMode val="edge"/>
          <c:yMode val="edge"/>
          <c:x val="0.12673840769903769"/>
          <c:y val="5.1400554097404488E-2"/>
          <c:w val="0.65281846019247614"/>
          <c:h val="0.82137357830271218"/>
        </c:manualLayout>
      </c:layout>
      <c:bar3DChart>
        <c:barDir val="col"/>
        <c:grouping val="clustered"/>
        <c:varyColors val="0"/>
        <c:ser>
          <c:idx val="0"/>
          <c:order val="0"/>
          <c:tx>
            <c:strRef>
              <c:f>Hoja1!$B$2</c:f>
              <c:strCache>
                <c:ptCount val="1"/>
                <c:pt idx="0">
                  <c:v>Gasto de inversión presupuestado</c:v>
                </c:pt>
              </c:strCache>
            </c:strRef>
          </c:tx>
          <c:invertIfNegative val="0"/>
          <c:cat>
            <c:strRef>
              <c:f>Hoja1!$A$3:$A$5</c:f>
              <c:strCache>
                <c:ptCount val="3"/>
                <c:pt idx="0">
                  <c:v>Chiapas</c:v>
                </c:pt>
                <c:pt idx="1">
                  <c:v>Guerrero</c:v>
                </c:pt>
                <c:pt idx="2">
                  <c:v>Oaxaca</c:v>
                </c:pt>
              </c:strCache>
            </c:strRef>
          </c:cat>
          <c:val>
            <c:numRef>
              <c:f>Hoja1!$B$3:$B$5</c:f>
              <c:numCache>
                <c:formatCode>General</c:formatCode>
                <c:ptCount val="3"/>
                <c:pt idx="0">
                  <c:v>21624.9</c:v>
                </c:pt>
                <c:pt idx="1">
                  <c:v>5341.35</c:v>
                </c:pt>
                <c:pt idx="2">
                  <c:v>6471.89</c:v>
                </c:pt>
              </c:numCache>
            </c:numRef>
          </c:val>
        </c:ser>
        <c:ser>
          <c:idx val="1"/>
          <c:order val="1"/>
          <c:tx>
            <c:strRef>
              <c:f>Hoja1!$C$2</c:f>
              <c:strCache>
                <c:ptCount val="1"/>
                <c:pt idx="0">
                  <c:v>Presupuesto programado Fonregión</c:v>
                </c:pt>
              </c:strCache>
            </c:strRef>
          </c:tx>
          <c:invertIfNegative val="0"/>
          <c:dLbls>
            <c:dLbl>
              <c:idx val="0"/>
              <c:layout>
                <c:manualLayout>
                  <c:x val="3.3333114610673689E-2"/>
                  <c:y val="0"/>
                </c:manualLayout>
              </c:layout>
              <c:tx>
                <c:rich>
                  <a:bodyPr/>
                  <a:lstStyle/>
                  <a:p>
                    <a:r>
                      <a:rPr lang="en-US" sz="1200" b="1"/>
                      <a:t>6.47%</a:t>
                    </a:r>
                  </a:p>
                </c:rich>
              </c:tx>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5"/>
                  <c:y val="-3.6453776619744518E-7"/>
                </c:manualLayout>
              </c:layout>
              <c:tx>
                <c:rich>
                  <a:bodyPr/>
                  <a:lstStyle/>
                  <a:p>
                    <a:r>
                      <a:rPr lang="en-US" sz="1200" b="1"/>
                      <a:t>23.95%</a:t>
                    </a:r>
                  </a:p>
                </c:rich>
              </c:tx>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5.5555555555555525E-2"/>
                  <c:y val="0"/>
                </c:manualLayout>
              </c:layout>
              <c:tx>
                <c:rich>
                  <a:bodyPr/>
                  <a:lstStyle/>
                  <a:p>
                    <a:r>
                      <a:rPr lang="en-US" sz="1200" b="1"/>
                      <a:t>18.54%</a:t>
                    </a:r>
                  </a:p>
                </c:rich>
              </c:tx>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a:lstStyle/>
              <a:p>
                <a:pPr>
                  <a:defRPr sz="1200" b="1"/>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Hoja1!$A$3:$A$5</c:f>
              <c:strCache>
                <c:ptCount val="3"/>
                <c:pt idx="0">
                  <c:v>Chiapas</c:v>
                </c:pt>
                <c:pt idx="1">
                  <c:v>Guerrero</c:v>
                </c:pt>
                <c:pt idx="2">
                  <c:v>Oaxaca</c:v>
                </c:pt>
              </c:strCache>
            </c:strRef>
          </c:cat>
          <c:val>
            <c:numRef>
              <c:f>Hoja1!$C$3:$C$5</c:f>
              <c:numCache>
                <c:formatCode>General</c:formatCode>
                <c:ptCount val="3"/>
                <c:pt idx="0">
                  <c:v>1400</c:v>
                </c:pt>
                <c:pt idx="1">
                  <c:v>1279.05</c:v>
                </c:pt>
                <c:pt idx="2">
                  <c:v>1200</c:v>
                </c:pt>
              </c:numCache>
            </c:numRef>
          </c:val>
        </c:ser>
        <c:dLbls>
          <c:showLegendKey val="0"/>
          <c:showVal val="0"/>
          <c:showCatName val="0"/>
          <c:showSerName val="0"/>
          <c:showPercent val="0"/>
          <c:showBubbleSize val="0"/>
        </c:dLbls>
        <c:gapWidth val="150"/>
        <c:shape val="box"/>
        <c:axId val="84314368"/>
        <c:axId val="84320256"/>
        <c:axId val="0"/>
      </c:bar3DChart>
      <c:catAx>
        <c:axId val="84314368"/>
        <c:scaling>
          <c:orientation val="minMax"/>
        </c:scaling>
        <c:delete val="0"/>
        <c:axPos val="b"/>
        <c:numFmt formatCode="General" sourceLinked="0"/>
        <c:majorTickMark val="out"/>
        <c:minorTickMark val="none"/>
        <c:tickLblPos val="nextTo"/>
        <c:txPr>
          <a:bodyPr/>
          <a:lstStyle/>
          <a:p>
            <a:pPr>
              <a:defRPr b="1"/>
            </a:pPr>
            <a:endParaRPr lang="es-MX"/>
          </a:p>
        </c:txPr>
        <c:crossAx val="84320256"/>
        <c:crosses val="autoZero"/>
        <c:auto val="1"/>
        <c:lblAlgn val="ctr"/>
        <c:lblOffset val="100"/>
        <c:noMultiLvlLbl val="0"/>
      </c:catAx>
      <c:valAx>
        <c:axId val="84320256"/>
        <c:scaling>
          <c:orientation val="minMax"/>
        </c:scaling>
        <c:delete val="0"/>
        <c:axPos val="l"/>
        <c:majorGridlines/>
        <c:numFmt formatCode="General" sourceLinked="1"/>
        <c:majorTickMark val="out"/>
        <c:minorTickMark val="none"/>
        <c:tickLblPos val="nextTo"/>
        <c:txPr>
          <a:bodyPr/>
          <a:lstStyle/>
          <a:p>
            <a:pPr>
              <a:defRPr b="1"/>
            </a:pPr>
            <a:endParaRPr lang="es-MX"/>
          </a:p>
        </c:txPr>
        <c:crossAx val="84314368"/>
        <c:crosses val="autoZero"/>
        <c:crossBetween val="between"/>
      </c:valAx>
    </c:plotArea>
    <c:legend>
      <c:legendPos val="r"/>
      <c:layout>
        <c:manualLayout>
          <c:xMode val="edge"/>
          <c:yMode val="edge"/>
          <c:x val="0.76566797900262451"/>
          <c:y val="0.17052930883639553"/>
          <c:w val="0.21766535433070874"/>
          <c:h val="0.62576698745990089"/>
        </c:manualLayout>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8EF4FD-0D21-4A52-A5C1-80C9FE38A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82</Pages>
  <Words>21057</Words>
  <Characters>115818</Characters>
  <Application>Microsoft Office Word</Application>
  <DocSecurity>0</DocSecurity>
  <Lines>965</Lines>
  <Paragraphs>273</Paragraphs>
  <ScaleCrop>false</ScaleCrop>
  <HeadingPairs>
    <vt:vector size="2" baseType="variant">
      <vt:variant>
        <vt:lpstr>Título</vt:lpstr>
      </vt:variant>
      <vt:variant>
        <vt:i4>1</vt:i4>
      </vt:variant>
    </vt:vector>
  </HeadingPairs>
  <TitlesOfParts>
    <vt:vector size="1" baseType="lpstr">
      <vt:lpstr/>
    </vt:vector>
  </TitlesOfParts>
  <Company>CIDE</Company>
  <LinksUpToDate>false</LinksUpToDate>
  <CharactersWithSpaces>136602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dsclab</dc:creator>
  <cp:lastModifiedBy>Ramon Narvaez Terron</cp:lastModifiedBy>
  <cp:revision>31</cp:revision>
  <cp:lastPrinted>2014-03-19T21:13:00Z</cp:lastPrinted>
  <dcterms:created xsi:type="dcterms:W3CDTF">2014-01-16T07:09:00Z</dcterms:created>
  <dcterms:modified xsi:type="dcterms:W3CDTF">2014-03-19T21:22:00Z</dcterms:modified>
</cp:coreProperties>
</file>