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ind w:right="4"/>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-49689</wp:posOffset>
            </wp:positionV>
            <wp:extent cx="7772400" cy="10134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2400" cy="101346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after="1146" w:lineRule="auto"/>
        <w:ind w:right="123"/>
        <w:jc w:val="center"/>
        <w:rPr>
          <w:sz w:val="64"/>
          <w:szCs w:val="64"/>
        </w:rPr>
      </w:pPr>
      <w:bookmarkStart w:colFirst="0" w:colLast="0" w:name="_bn1vlghtakk8" w:id="0"/>
      <w:bookmarkEnd w:id="0"/>
      <w:r w:rsidDel="00000000" w:rsidR="00000000" w:rsidRPr="00000000">
        <w:rPr>
          <w:vertAlign w:val="baseline"/>
          <w:rtl w:val="0"/>
        </w:rPr>
        <w:t xml:space="preserve">SOMMAIRE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oevuas6jvv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9tmkmwf8sq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Méthode QQQQCCP</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f0remct4s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Contraintes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146" w:before="0" w:line="256" w:lineRule="auto"/>
        <w:ind w:left="0" w:right="123" w:firstLine="0"/>
        <w:jc w:val="left"/>
        <w:rPr>
          <w:sz w:val="64"/>
          <w:szCs w:val="6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146" w:before="0" w:line="256" w:lineRule="auto"/>
        <w:ind w:left="0" w:right="123" w:firstLine="0"/>
        <w:jc w:val="center"/>
        <w:rPr>
          <w:b w:val="1"/>
          <w:sz w:val="64"/>
          <w:szCs w:val="6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601" w:before="0" w:line="240" w:lineRule="auto"/>
        <w:ind w:left="-5" w:right="0" w:hanging="1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601" w:before="0" w:line="240" w:lineRule="auto"/>
        <w:ind w:left="-5" w:right="0" w:hanging="1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601" w:before="0" w:line="240" w:lineRule="auto"/>
        <w:ind w:left="-5" w:right="0" w:hanging="1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b w:val="1"/>
          <w:sz w:val="64"/>
          <w:szCs w:val="64"/>
        </w:rPr>
      </w:pPr>
      <w:r w:rsidDel="00000000" w:rsidR="00000000" w:rsidRPr="00000000">
        <w:rPr>
          <w:rtl w:val="0"/>
        </w:rPr>
      </w:r>
    </w:p>
    <w:p w:rsidR="00000000" w:rsidDel="00000000" w:rsidP="00000000" w:rsidRDefault="00000000" w:rsidRPr="00000000" w14:paraId="0000000C">
      <w:pPr>
        <w:pStyle w:val="Heading1"/>
        <w:keepNext w:val="1"/>
        <w:keepLines w:val="1"/>
        <w:widowControl w:val="0"/>
        <w:spacing w:after="0" w:line="360" w:lineRule="auto"/>
        <w:jc w:val="center"/>
        <w:rPr>
          <w:b w:val="1"/>
          <w:sz w:val="64"/>
          <w:szCs w:val="64"/>
        </w:rPr>
      </w:pPr>
      <w:bookmarkStart w:colFirst="0" w:colLast="0" w:name="_7oevuas6jvv3" w:id="1"/>
      <w:bookmarkEnd w:id="1"/>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64"/>
          <w:szCs w:val="64"/>
        </w:rPr>
      </w:pPr>
      <w:r w:rsidDel="00000000" w:rsidR="00000000" w:rsidRPr="00000000">
        <w:rPr>
          <w:sz w:val="24"/>
          <w:szCs w:val="24"/>
          <w:rtl w:val="0"/>
        </w:rPr>
        <w:t xml:space="preserve">L’événement de team building choisi se nomme Breizh Express, c’est une activité s’inspirant de l’émission “Pekin Express”. Le Breizh Express, organisé par le Kasino de Perros-Guirec, est une course à travers la côte de granit rose visant à renforcer les liens entre les employés. Les participants, répartis en équipes de deux, doivent parcourir un itinéraire en utilisant divers moyens de transport pour atteindre le casino. Des activités sportives de cohésion et des points de passage obligatoires ajoutent de la stratégie à la compétition. L'objectif est de favoriser la communication et la collaboration entre les employés dans un cadre ludique et compétitif.</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pStyle w:val="Heading1"/>
        <w:keepNext w:val="0"/>
        <w:keepLines w:val="0"/>
        <w:widowControl w:val="0"/>
        <w:spacing w:line="360" w:lineRule="auto"/>
        <w:ind w:left="0" w:firstLine="0"/>
        <w:rPr/>
      </w:pPr>
      <w:bookmarkStart w:colFirst="0" w:colLast="0" w:name="_k74zty8mgg46" w:id="2"/>
      <w:bookmarkEnd w:id="2"/>
      <w:r w:rsidDel="00000000" w:rsidR="00000000" w:rsidRPr="00000000">
        <w:rPr>
          <w:rtl w:val="0"/>
        </w:rPr>
      </w:r>
    </w:p>
    <w:p w:rsidR="00000000" w:rsidDel="00000000" w:rsidP="00000000" w:rsidRDefault="00000000" w:rsidRPr="00000000" w14:paraId="00000022">
      <w:pPr>
        <w:pStyle w:val="Heading1"/>
        <w:keepNext w:val="1"/>
        <w:keepLines w:val="0"/>
        <w:widowControl w:val="0"/>
        <w:spacing w:line="360" w:lineRule="auto"/>
        <w:ind w:left="0" w:firstLine="0"/>
        <w:rPr/>
      </w:pPr>
      <w:bookmarkStart w:colFirst="0" w:colLast="0" w:name="_19tmkmwf8sqj" w:id="3"/>
      <w:bookmarkEnd w:id="3"/>
      <w:r w:rsidDel="00000000" w:rsidR="00000000" w:rsidRPr="00000000">
        <w:rPr>
          <w:rtl w:val="0"/>
        </w:rPr>
        <w:t xml:space="preserve">Méthode </w:t>
      </w:r>
      <w:r w:rsidDel="00000000" w:rsidR="00000000" w:rsidRPr="00000000">
        <w:rPr>
          <w:rtl w:val="0"/>
        </w:rPr>
        <w:t xml:space="preserve">Q</w:t>
      </w:r>
      <w:r w:rsidDel="00000000" w:rsidR="00000000" w:rsidRPr="00000000">
        <w:rPr>
          <w:rtl w:val="0"/>
        </w:rPr>
        <w:t xml:space="preserve">QOQCCP</w:t>
      </w:r>
    </w:p>
    <w:p w:rsidR="00000000" w:rsidDel="00000000" w:rsidP="00000000" w:rsidRDefault="00000000" w:rsidRPr="00000000" w14:paraId="00000023">
      <w:pPr>
        <w:keepNext w:val="0"/>
        <w:keepLines w:val="0"/>
        <w:widowControl w:val="0"/>
        <w:spacing w:line="360" w:lineRule="auto"/>
        <w:ind w:left="0" w:firstLine="0"/>
        <w:jc w:val="both"/>
        <w:rPr>
          <w:sz w:val="24"/>
          <w:szCs w:val="24"/>
        </w:rPr>
      </w:pPr>
      <w:r w:rsidDel="00000000" w:rsidR="00000000" w:rsidRPr="00000000">
        <w:rPr>
          <w:sz w:val="24"/>
          <w:szCs w:val="24"/>
          <w:rtl w:val="0"/>
        </w:rPr>
        <w:t xml:space="preserve">Breizh Express est un jeu grandeur nature qui est proposé par le “Kasino de Perros-Guirec”. Cette activité s’apparente à une course à travers la côte de granit rose. Les participants doivent aller d’un point A à un point B le plus rapidement possible en passant par des activités sportives de cohésion. Cette excursion est proposée par “Kasino de Perros-Guirec” pour ses employés afin de confirmer leurs liens au sein de l’équipe du casino. Le départ de Lézardrieux se fera à kayak, et le point d'arrivée est le casino à Perros Guirec. Cette expérience se passera deux fois pour diviser l’effectif afin de simplifier l’organisation. Cela se produira donc sur deux jours au printemps. Le départ se fait à 8h30 après un briefing au point de rendez-vous et se termine à 19h. Le principe est que les équipes se débrouillent le plus possible. Le staff qui organise l’événement reste joignable à tout moment pour aider les participants en cas de problème. Une enveloppe de 50€ est distribuée par équipe pour les aider, sinon l’argent personnel ne peut pas être utilisé pour les aider à avancer. A l’image de “Pékin Express” les participants devront employer tous les moyens possibles pour arriver à destination (stop, location de vélo, marche, etc…). Des points de passage sont obligatoires, les participants doivent par exemple impérativement passer par “la plage de Port-Blanc” avant de finir la course pour gagner. L'argent permettra à chaque équipe de faire des choix lors d'épreuves ou pour se déplacer, permettant à chaque équipe de tirer son épingle du jeu de part ses choix et sa stratégie. Si une équipe n’arrive pas à destination à la fin de la journée, une voiture viendra les chercher. Au total, on compte 40 participants, donc 20 par journée. Avec les 20 participants, on forme 10 équipes de 2 personnes. 2 personnes étant plus pratiques pour pouvoir se déplacer facilement. Le but de cet événement est de solidifier les liens entre les employés. Après cette journée, chaque participant aura beaucoup plus de facilité à communiquer avec son partenaire, donc aura au moins une personne à qui se confier en cas de problème ou autre. Mettre en concurrence les employés dans un cadre ludique permet aussi de détendre l’ambiance entre les employés.</w:t>
      </w:r>
    </w:p>
    <w:p w:rsidR="00000000" w:rsidDel="00000000" w:rsidP="00000000" w:rsidRDefault="00000000" w:rsidRPr="00000000" w14:paraId="00000024">
      <w:pPr>
        <w:widowControl w:val="0"/>
        <w:spacing w:after="0" w:before="200" w:line="360" w:lineRule="auto"/>
        <w:ind w:left="-5" w:hanging="10"/>
        <w:jc w:val="center"/>
        <w:rPr>
          <w:b w:val="1"/>
          <w:sz w:val="48"/>
          <w:szCs w:val="48"/>
        </w:rPr>
      </w:pPr>
      <w:r w:rsidDel="00000000" w:rsidR="00000000" w:rsidRPr="00000000">
        <w:rPr>
          <w:rtl w:val="0"/>
        </w:rPr>
      </w:r>
    </w:p>
    <w:p w:rsidR="00000000" w:rsidDel="00000000" w:rsidP="00000000" w:rsidRDefault="00000000" w:rsidRPr="00000000" w14:paraId="00000025">
      <w:pPr>
        <w:widowControl w:val="0"/>
        <w:spacing w:after="0" w:before="200" w:line="360" w:lineRule="auto"/>
        <w:ind w:left="-5" w:hanging="10"/>
        <w:jc w:val="left"/>
        <w:rPr>
          <w:b w:val="1"/>
          <w:sz w:val="48"/>
          <w:szCs w:val="48"/>
        </w:rPr>
      </w:pPr>
      <w:r w:rsidDel="00000000" w:rsidR="00000000" w:rsidRPr="00000000">
        <w:rPr>
          <w:rtl w:val="0"/>
        </w:rPr>
      </w:r>
    </w:p>
    <w:p w:rsidR="00000000" w:rsidDel="00000000" w:rsidP="00000000" w:rsidRDefault="00000000" w:rsidRPr="00000000" w14:paraId="00000026">
      <w:pPr>
        <w:pStyle w:val="Heading1"/>
        <w:widowControl w:val="0"/>
        <w:spacing w:line="360" w:lineRule="auto"/>
        <w:rPr/>
      </w:pPr>
      <w:bookmarkStart w:colFirst="0" w:colLast="0" w:name="_zf0remct4ss" w:id="4"/>
      <w:bookmarkEnd w:id="4"/>
      <w:r w:rsidDel="00000000" w:rsidR="00000000" w:rsidRPr="00000000">
        <w:rPr>
          <w:rtl w:val="0"/>
        </w:rPr>
        <w:t xml:space="preserve">Contraintes</w:t>
      </w:r>
      <w:r w:rsidDel="00000000" w:rsidR="00000000" w:rsidRPr="00000000">
        <w:rPr>
          <w:rtl w:val="0"/>
        </w:rPr>
      </w:r>
    </w:p>
    <w:tbl>
      <w:tblPr>
        <w:tblStyle w:val="Table1"/>
        <w:tblW w:w="990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095"/>
        <w:gridCol w:w="3705"/>
        <w:tblGridChange w:id="0">
          <w:tblGrid>
            <w:gridCol w:w="2100"/>
            <w:gridCol w:w="409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360" w:lineRule="auto"/>
              <w:jc w:val="center"/>
              <w:rPr>
                <w:b w:val="1"/>
                <w:sz w:val="24"/>
                <w:szCs w:val="24"/>
              </w:rPr>
            </w:pPr>
            <w:r w:rsidDel="00000000" w:rsidR="00000000" w:rsidRPr="00000000">
              <w:rPr>
                <w:b w:val="1"/>
                <w:sz w:val="24"/>
                <w:szCs w:val="24"/>
                <w:rtl w:val="0"/>
              </w:rPr>
              <w:t xml:space="preserve">Type de contrainte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360" w:lineRule="auto"/>
              <w:jc w:val="center"/>
              <w:rPr>
                <w:b w:val="1"/>
                <w:sz w:val="24"/>
                <w:szCs w:val="24"/>
              </w:rPr>
            </w:pPr>
            <w:r w:rsidDel="00000000" w:rsidR="00000000" w:rsidRPr="00000000">
              <w:rPr>
                <w:b w:val="1"/>
                <w:sz w:val="24"/>
                <w:szCs w:val="24"/>
                <w:rtl w:val="0"/>
              </w:rPr>
              <w:t xml:space="preserve">Quelle est la contrainte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360" w:lineRule="auto"/>
              <w:jc w:val="center"/>
              <w:rPr>
                <w:b w:val="1"/>
                <w:sz w:val="24"/>
                <w:szCs w:val="24"/>
              </w:rPr>
            </w:pPr>
            <w:r w:rsidDel="00000000" w:rsidR="00000000" w:rsidRPr="00000000">
              <w:rPr>
                <w:b w:val="1"/>
                <w:sz w:val="24"/>
                <w:szCs w:val="24"/>
                <w:rtl w:val="0"/>
              </w:rPr>
              <w:t xml:space="preserve">Comment lever la contrainte</w:t>
            </w:r>
          </w:p>
        </w:tc>
      </w:tr>
      <w:tr>
        <w:trPr>
          <w:cantSplit w:val="0"/>
          <w:trHeight w:val="189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2B">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2C">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2D">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2E">
            <w:pPr>
              <w:widowControl w:val="0"/>
              <w:spacing w:after="0" w:line="360" w:lineRule="auto"/>
              <w:jc w:val="center"/>
              <w:rPr>
                <w:b w:val="1"/>
                <w:sz w:val="24"/>
                <w:szCs w:val="24"/>
              </w:rPr>
            </w:pPr>
            <w:r w:rsidDel="00000000" w:rsidR="00000000" w:rsidRPr="00000000">
              <w:rPr>
                <w:b w:val="1"/>
                <w:color w:val="0d0d0d"/>
                <w:sz w:val="24"/>
                <w:szCs w:val="24"/>
                <w:rtl w:val="0"/>
              </w:rPr>
              <w:t xml:space="preserve">Temporelles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360" w:lineRule="auto"/>
              <w:rPr>
                <w:color w:val="0d0d0d"/>
                <w:sz w:val="24"/>
                <w:szCs w:val="24"/>
              </w:rPr>
            </w:pPr>
            <w:r w:rsidDel="00000000" w:rsidR="00000000" w:rsidRPr="00000000">
              <w:rPr>
                <w:color w:val="0d0d0d"/>
                <w:sz w:val="24"/>
                <w:szCs w:val="24"/>
                <w:rtl w:val="0"/>
              </w:rPr>
              <w:t xml:space="preserve"> Durée limitée pour l'organisation de l'événement, nécessitant une planification minutieuse pour respecter les horaires de travail des employés.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360" w:lineRule="auto"/>
              <w:rPr>
                <w:color w:val="0d0d0d"/>
                <w:sz w:val="24"/>
                <w:szCs w:val="24"/>
              </w:rPr>
            </w:pPr>
            <w:r w:rsidDel="00000000" w:rsidR="00000000" w:rsidRPr="00000000">
              <w:rPr>
                <w:color w:val="0d0d0d"/>
                <w:sz w:val="24"/>
                <w:szCs w:val="24"/>
                <w:rtl w:val="0"/>
              </w:rPr>
              <w:t xml:space="preserve">Définir un calendrier de planification clair avec des échéances intermédiaires pour chaque étape de l'organisation.</w:t>
            </w:r>
          </w:p>
        </w:tc>
      </w:tr>
      <w:tr>
        <w:trPr>
          <w:cantSplit w:val="0"/>
          <w:trHeight w:val="188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rPr>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360" w:lineRule="auto"/>
              <w:rPr>
                <w:color w:val="0d0d0d"/>
                <w:sz w:val="24"/>
                <w:szCs w:val="24"/>
              </w:rPr>
            </w:pPr>
            <w:r w:rsidDel="00000000" w:rsidR="00000000" w:rsidRPr="00000000">
              <w:rPr>
                <w:color w:val="0d0d0d"/>
                <w:sz w:val="24"/>
                <w:szCs w:val="24"/>
                <w:rtl w:val="0"/>
              </w:rPr>
              <w:t xml:space="preserve">Disponibilité restreinte des participants, nécessitant une coordination efficace pour trouver une date qui convienne à tous.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360" w:lineRule="auto"/>
              <w:rPr>
                <w:color w:val="0d0d0d"/>
                <w:sz w:val="24"/>
                <w:szCs w:val="24"/>
              </w:rPr>
            </w:pPr>
            <w:r w:rsidDel="00000000" w:rsidR="00000000" w:rsidRPr="00000000">
              <w:rPr>
                <w:color w:val="0d0d0d"/>
                <w:sz w:val="24"/>
                <w:szCs w:val="24"/>
                <w:rtl w:val="0"/>
              </w:rPr>
              <w:t xml:space="preserve">Utiliser des outils de sondage en ligne pour identifier les dates préférentielles des participants et choisir celle qui convient au plus grand nombre.</w:t>
            </w:r>
          </w:p>
        </w:tc>
      </w:tr>
      <w:tr>
        <w:trPr>
          <w:cantSplit w:val="0"/>
          <w:trHeight w:val="230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35">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36">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37">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38">
            <w:pPr>
              <w:widowControl w:val="0"/>
              <w:spacing w:after="0" w:line="360" w:lineRule="auto"/>
              <w:jc w:val="center"/>
              <w:rPr>
                <w:b w:val="1"/>
                <w:sz w:val="24"/>
                <w:szCs w:val="24"/>
              </w:rPr>
            </w:pPr>
            <w:r w:rsidDel="00000000" w:rsidR="00000000" w:rsidRPr="00000000">
              <w:rPr>
                <w:b w:val="1"/>
                <w:color w:val="0d0d0d"/>
                <w:sz w:val="24"/>
                <w:szCs w:val="24"/>
                <w:rtl w:val="0"/>
              </w:rPr>
              <w:t xml:space="preserve">Humaines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360" w:lineRule="auto"/>
              <w:rPr>
                <w:color w:val="0d0d0d"/>
                <w:sz w:val="24"/>
                <w:szCs w:val="24"/>
              </w:rPr>
            </w:pPr>
            <w:r w:rsidDel="00000000" w:rsidR="00000000" w:rsidRPr="00000000">
              <w:rPr>
                <w:color w:val="0d0d0d"/>
                <w:sz w:val="24"/>
                <w:szCs w:val="24"/>
                <w:rtl w:val="0"/>
              </w:rPr>
              <w:t xml:space="preserve">Participation volontaire des employés, nécessitant une communication efficace pour susciter l'engagement de chacun.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360" w:lineRule="auto"/>
              <w:rPr>
                <w:color w:val="0d0d0d"/>
                <w:sz w:val="24"/>
                <w:szCs w:val="24"/>
              </w:rPr>
            </w:pPr>
            <w:r w:rsidDel="00000000" w:rsidR="00000000" w:rsidRPr="00000000">
              <w:rPr>
                <w:color w:val="0d0d0d"/>
                <w:sz w:val="24"/>
                <w:szCs w:val="24"/>
                <w:rtl w:val="0"/>
              </w:rPr>
              <w:t xml:space="preserve">Organiser des réunions d'information et des sessions de sensibilisation pour expliquer les avantages du teambuilding et encourager la participation active.</w:t>
            </w:r>
          </w:p>
        </w:tc>
      </w:tr>
      <w:tr>
        <w:trPr>
          <w:cantSplit w:val="0"/>
          <w:trHeight w:val="186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rPr>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360" w:lineRule="auto"/>
              <w:rPr>
                <w:color w:val="0d0d0d"/>
                <w:sz w:val="24"/>
                <w:szCs w:val="24"/>
              </w:rPr>
            </w:pPr>
            <w:r w:rsidDel="00000000" w:rsidR="00000000" w:rsidRPr="00000000">
              <w:rPr>
                <w:color w:val="0d0d0d"/>
                <w:sz w:val="24"/>
                <w:szCs w:val="24"/>
                <w:rtl w:val="0"/>
              </w:rPr>
              <w:t xml:space="preserve">Établir des partenariats avec des prestataires locaux pour des services de qualité à des tarifs compétitifs.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360" w:lineRule="auto"/>
              <w:rPr>
                <w:color w:val="0d0d0d"/>
                <w:sz w:val="24"/>
                <w:szCs w:val="24"/>
              </w:rPr>
            </w:pPr>
            <w:r w:rsidDel="00000000" w:rsidR="00000000" w:rsidRPr="00000000">
              <w:rPr>
                <w:color w:val="0d0d0d"/>
                <w:sz w:val="24"/>
                <w:szCs w:val="24"/>
                <w:rtl w:val="0"/>
              </w:rPr>
              <w:t xml:space="preserve">Évaluer les compétences et les préférences des participants pour former des équipes diversifiées et complémentaires.</w:t>
            </w:r>
          </w:p>
        </w:tc>
      </w:tr>
      <w:tr>
        <w:trPr>
          <w:cantSplit w:val="0"/>
          <w:trHeight w:val="24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3F">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40">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41">
            <w:pPr>
              <w:widowControl w:val="0"/>
              <w:spacing w:after="0" w:line="360" w:lineRule="auto"/>
              <w:jc w:val="center"/>
              <w:rPr>
                <w:b w:val="1"/>
                <w:sz w:val="24"/>
                <w:szCs w:val="24"/>
              </w:rPr>
            </w:pPr>
            <w:r w:rsidDel="00000000" w:rsidR="00000000" w:rsidRPr="00000000">
              <w:rPr>
                <w:b w:val="1"/>
                <w:color w:val="0d0d0d"/>
                <w:sz w:val="24"/>
                <w:szCs w:val="24"/>
                <w:rtl w:val="0"/>
              </w:rPr>
              <w:t xml:space="preserve">Organisationnelles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360" w:lineRule="auto"/>
              <w:rPr>
                <w:color w:val="0d0d0d"/>
                <w:sz w:val="24"/>
                <w:szCs w:val="24"/>
              </w:rPr>
            </w:pPr>
            <w:r w:rsidDel="00000000" w:rsidR="00000000" w:rsidRPr="00000000">
              <w:rPr>
                <w:color w:val="0d0d0d"/>
                <w:sz w:val="24"/>
                <w:szCs w:val="24"/>
                <w:rtl w:val="0"/>
              </w:rPr>
              <w:t xml:space="preserve">Planification détaillée des itinéraires et des étapes de l'événement, en tenant compte des sites à visiter et des défis à relever tout en respectant les contraintes de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360" w:lineRule="auto"/>
              <w:rPr>
                <w:color w:val="0d0d0d"/>
                <w:sz w:val="24"/>
                <w:szCs w:val="24"/>
              </w:rPr>
            </w:pPr>
            <w:r w:rsidDel="00000000" w:rsidR="00000000" w:rsidRPr="00000000">
              <w:rPr>
                <w:color w:val="0d0d0d"/>
                <w:sz w:val="24"/>
                <w:szCs w:val="24"/>
                <w:rtl w:val="0"/>
              </w:rPr>
              <w:t xml:space="preserve"> Recourir à des agences spécialisées dans l'organisation d'événements pour bénéficier de leur expertise en matière de logistique et de planification.</w:t>
            </w:r>
          </w:p>
        </w:tc>
      </w:tr>
      <w:tr>
        <w:trPr>
          <w:cantSplit w:val="0"/>
          <w:trHeight w:val="19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360" w:lineRule="auto"/>
              <w:rPr>
                <w:color w:val="0d0d0d"/>
                <w:sz w:val="24"/>
                <w:szCs w:val="24"/>
              </w:rPr>
            </w:pPr>
            <w:r w:rsidDel="00000000" w:rsidR="00000000" w:rsidRPr="00000000">
              <w:rPr>
                <w:color w:val="0d0d0d"/>
                <w:sz w:val="24"/>
                <w:szCs w:val="24"/>
                <w:rtl w:val="0"/>
              </w:rPr>
              <w:t xml:space="preserve">Assurer la logistique pour le transport, l'hébergement, les repas, et la gestion des équipements et fournitures nécessaires.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360" w:lineRule="auto"/>
              <w:rPr>
                <w:color w:val="0d0d0d"/>
                <w:sz w:val="24"/>
                <w:szCs w:val="24"/>
              </w:rPr>
            </w:pPr>
            <w:r w:rsidDel="00000000" w:rsidR="00000000" w:rsidRPr="00000000">
              <w:rPr>
                <w:color w:val="0d0d0d"/>
                <w:sz w:val="24"/>
                <w:szCs w:val="24"/>
                <w:rtl w:val="0"/>
              </w:rPr>
              <w:t xml:space="preserve">Établir des partenariats avec des prestataires locaux fiables pour obtenir des services de qualité à des tarifs compétitifs.</w:t>
            </w:r>
          </w:p>
        </w:tc>
      </w:tr>
      <w:tr>
        <w:trPr>
          <w:cantSplit w:val="0"/>
          <w:trHeight w:val="230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48">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49">
            <w:pPr>
              <w:widowControl w:val="0"/>
              <w:spacing w:after="0" w:line="360" w:lineRule="auto"/>
              <w:jc w:val="center"/>
              <w:rPr>
                <w:b w:val="1"/>
                <w:sz w:val="24"/>
                <w:szCs w:val="24"/>
              </w:rPr>
            </w:pPr>
            <w:r w:rsidDel="00000000" w:rsidR="00000000" w:rsidRPr="00000000">
              <w:rPr>
                <w:b w:val="1"/>
                <w:color w:val="0d0d0d"/>
                <w:sz w:val="24"/>
                <w:szCs w:val="24"/>
                <w:rtl w:val="0"/>
              </w:rPr>
              <w:t xml:space="preserve">Budgétaires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360" w:lineRule="auto"/>
              <w:rPr>
                <w:color w:val="0d0d0d"/>
                <w:sz w:val="24"/>
                <w:szCs w:val="24"/>
              </w:rPr>
            </w:pPr>
            <w:r w:rsidDel="00000000" w:rsidR="00000000" w:rsidRPr="00000000">
              <w:rPr>
                <w:color w:val="0d0d0d"/>
                <w:sz w:val="24"/>
                <w:szCs w:val="24"/>
                <w:rtl w:val="0"/>
              </w:rPr>
              <w:t xml:space="preserve">Allocation de budget pour couvrir les frais de transport, de restauration, ainsi que les coûts liés à la conception et à la mise en place des défis et des activités.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360" w:lineRule="auto"/>
              <w:rPr>
                <w:color w:val="0d0d0d"/>
                <w:sz w:val="24"/>
                <w:szCs w:val="24"/>
              </w:rPr>
            </w:pPr>
            <w:r w:rsidDel="00000000" w:rsidR="00000000" w:rsidRPr="00000000">
              <w:rPr>
                <w:color w:val="0d0d0d"/>
                <w:sz w:val="24"/>
                <w:szCs w:val="24"/>
                <w:rtl w:val="0"/>
              </w:rPr>
              <w:t xml:space="preserve">Établir un budget prévisionnel détaillé en identifiant toutes les dépenses prévues et en prévoyant une marge de manœuvre pour faire face aux imprévus.</w:t>
            </w:r>
          </w:p>
        </w:tc>
      </w:tr>
      <w:tr>
        <w:trPr>
          <w:cantSplit w:val="0"/>
          <w:trHeight w:val="228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4E">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4F">
            <w:pPr>
              <w:widowControl w:val="0"/>
              <w:spacing w:after="0" w:line="360" w:lineRule="auto"/>
              <w:jc w:val="center"/>
              <w:rPr>
                <w:b w:val="1"/>
                <w:sz w:val="24"/>
                <w:szCs w:val="24"/>
              </w:rPr>
            </w:pPr>
            <w:r w:rsidDel="00000000" w:rsidR="00000000" w:rsidRPr="00000000">
              <w:rPr>
                <w:b w:val="1"/>
                <w:color w:val="0d0d0d"/>
                <w:sz w:val="24"/>
                <w:szCs w:val="24"/>
                <w:rtl w:val="0"/>
              </w:rPr>
              <w:t xml:space="preserve">Matérielles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360" w:lineRule="auto"/>
              <w:rPr>
                <w:sz w:val="24"/>
                <w:szCs w:val="24"/>
              </w:rPr>
            </w:pPr>
            <w:r w:rsidDel="00000000" w:rsidR="00000000" w:rsidRPr="00000000">
              <w:rPr>
                <w:color w:val="0d0d0d"/>
                <w:sz w:val="24"/>
                <w:szCs w:val="24"/>
                <w:rtl w:val="0"/>
              </w:rPr>
              <w:t xml:space="preserve">Acquisition ou location de matériel pour les défis et les activités, comme des cartes, des indices, des déguisements, des équipements de sécurité,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360" w:lineRule="auto"/>
              <w:rPr>
                <w:color w:val="0d0d0d"/>
                <w:sz w:val="24"/>
                <w:szCs w:val="24"/>
              </w:rPr>
            </w:pPr>
            <w:r w:rsidDel="00000000" w:rsidR="00000000" w:rsidRPr="00000000">
              <w:rPr>
                <w:color w:val="0d0d0d"/>
                <w:sz w:val="24"/>
                <w:szCs w:val="24"/>
                <w:rtl w:val="0"/>
              </w:rPr>
              <w:t xml:space="preserve">Établir un inventaire complet des équipements nécessaires et explorer les possibilités de location pour réduire les coûts d'achat.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53">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54">
            <w:pPr>
              <w:widowControl w:val="0"/>
              <w:spacing w:after="0" w:line="360" w:lineRule="auto"/>
              <w:jc w:val="center"/>
              <w:rPr>
                <w:b w:val="1"/>
                <w:sz w:val="24"/>
                <w:szCs w:val="24"/>
              </w:rPr>
            </w:pPr>
            <w:r w:rsidDel="00000000" w:rsidR="00000000" w:rsidRPr="00000000">
              <w:rPr>
                <w:b w:val="1"/>
                <w:color w:val="0d0d0d"/>
                <w:sz w:val="24"/>
                <w:szCs w:val="24"/>
                <w:rtl w:val="0"/>
              </w:rPr>
              <w:t xml:space="preserve">Juridiques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360" w:lineRule="auto"/>
              <w:rPr>
                <w:color w:val="0d0d0d"/>
                <w:sz w:val="24"/>
                <w:szCs w:val="24"/>
              </w:rPr>
            </w:pPr>
            <w:r w:rsidDel="00000000" w:rsidR="00000000" w:rsidRPr="00000000">
              <w:rPr>
                <w:color w:val="0d0d0d"/>
                <w:sz w:val="24"/>
                <w:szCs w:val="24"/>
                <w:rtl w:val="0"/>
              </w:rPr>
              <w:t xml:space="preserve">Respect des réglementations locales en matière de sécurité, de protection des données personnelles et de responsabilité civile pour garantir la conformité juridique de l'événement.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360" w:lineRule="auto"/>
              <w:rPr>
                <w:color w:val="0d0d0d"/>
                <w:sz w:val="24"/>
                <w:szCs w:val="24"/>
              </w:rPr>
            </w:pPr>
            <w:r w:rsidDel="00000000" w:rsidR="00000000" w:rsidRPr="00000000">
              <w:rPr>
                <w:color w:val="0d0d0d"/>
                <w:sz w:val="24"/>
                <w:szCs w:val="24"/>
                <w:rtl w:val="0"/>
              </w:rPr>
              <w:t xml:space="preserve">Collaborer avec des conseillers juridiques spécialisés pour s'assurer que toutes les activités prévues sont conformes aux lois et réglementations en vigueur.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360" w:lineRule="auto"/>
              <w:jc w:val="center"/>
              <w:rPr>
                <w:b w:val="1"/>
                <w:color w:val="0d0d0d"/>
                <w:sz w:val="24"/>
                <w:szCs w:val="24"/>
              </w:rPr>
            </w:pPr>
            <w:r w:rsidDel="00000000" w:rsidR="00000000" w:rsidRPr="00000000">
              <w:rPr>
                <w:rtl w:val="0"/>
              </w:rPr>
            </w:r>
          </w:p>
          <w:p w:rsidR="00000000" w:rsidDel="00000000" w:rsidP="00000000" w:rsidRDefault="00000000" w:rsidRPr="00000000" w14:paraId="00000058">
            <w:pPr>
              <w:widowControl w:val="0"/>
              <w:spacing w:after="0" w:line="360" w:lineRule="auto"/>
              <w:jc w:val="center"/>
              <w:rPr>
                <w:b w:val="1"/>
                <w:sz w:val="24"/>
                <w:szCs w:val="24"/>
              </w:rPr>
            </w:pPr>
            <w:r w:rsidDel="00000000" w:rsidR="00000000" w:rsidRPr="00000000">
              <w:rPr>
                <w:b w:val="1"/>
                <w:color w:val="0d0d0d"/>
                <w:sz w:val="24"/>
                <w:szCs w:val="24"/>
                <w:rtl w:val="0"/>
              </w:rPr>
              <w:t xml:space="preserve">Administratives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360" w:lineRule="auto"/>
              <w:rPr>
                <w:color w:val="0d0d0d"/>
                <w:sz w:val="24"/>
                <w:szCs w:val="24"/>
              </w:rPr>
            </w:pPr>
            <w:r w:rsidDel="00000000" w:rsidR="00000000" w:rsidRPr="00000000">
              <w:rPr>
                <w:color w:val="0d0d0d"/>
                <w:sz w:val="24"/>
                <w:szCs w:val="24"/>
                <w:rtl w:val="0"/>
              </w:rPr>
              <w:t xml:space="preserve">Suivi des inscriptions et communication avec les participants pour fournir les informations nécessaires et obtenir leur consentement éclairé.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360" w:lineRule="auto"/>
              <w:rPr>
                <w:color w:val="0d0d0d"/>
                <w:sz w:val="24"/>
                <w:szCs w:val="24"/>
              </w:rPr>
            </w:pPr>
            <w:r w:rsidDel="00000000" w:rsidR="00000000" w:rsidRPr="00000000">
              <w:rPr>
                <w:color w:val="0d0d0d"/>
                <w:sz w:val="24"/>
                <w:szCs w:val="24"/>
                <w:rtl w:val="0"/>
              </w:rPr>
              <w:t xml:space="preserve">Utiliser des outils pour une communication claire et efficace avec les participants pendant l'organisation.</w:t>
            </w:r>
            <w:r w:rsidDel="00000000" w:rsidR="00000000" w:rsidRPr="00000000">
              <w:rPr>
                <w:rtl w:val="0"/>
              </w:rPr>
            </w:r>
          </w:p>
        </w:tc>
      </w:tr>
    </w:tbl>
    <w:p w:rsidR="00000000" w:rsidDel="00000000" w:rsidP="00000000" w:rsidRDefault="00000000" w:rsidRPr="00000000" w14:paraId="0000005B">
      <w:pPr>
        <w:pStyle w:val="Title"/>
        <w:widowControl w:val="0"/>
        <w:spacing w:after="0" w:before="200" w:line="360" w:lineRule="auto"/>
        <w:ind w:left="-5" w:hanging="10"/>
        <w:jc w:val="left"/>
        <w:rPr>
          <w:sz w:val="24"/>
          <w:szCs w:val="24"/>
        </w:rPr>
      </w:pPr>
      <w:bookmarkStart w:colFirst="0" w:colLast="0" w:name="_3l8p8gadw6i" w:id="5"/>
      <w:bookmarkEnd w:id="5"/>
      <w:r w:rsidDel="00000000" w:rsidR="00000000" w:rsidRPr="00000000">
        <w:rPr>
          <w:rtl w:val="0"/>
        </w:rPr>
      </w:r>
    </w:p>
    <w:sectPr>
      <w:headerReference r:id="rId7" w:type="default"/>
      <w:footerReference r:id="rId8" w:type="default"/>
      <w:pgSz w:h="15840" w:w="12240" w:orient="portrait"/>
      <w:pgMar w:bottom="1383" w:top="0" w:left="1136" w:right="117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3"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7" w:before="0" w:line="256" w:lineRule="auto"/>
      <w:ind w:left="48" w:right="0" w:hanging="10"/>
      <w:jc w:val="center"/>
    </w:pPr>
    <w:rPr>
      <w:rFonts w:ascii="Calibri" w:cs="Calibri" w:eastAsia="Calibri" w:hAnsi="Calibri"/>
      <w:b w:val="0"/>
      <w:i w:val="0"/>
      <w:smallCaps w:val="0"/>
      <w:strike w:val="0"/>
      <w:color w:val="000000"/>
      <w:sz w:val="64"/>
      <w:szCs w:val="6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01" w:before="0" w:line="520" w:lineRule="auto"/>
      <w:ind w:left="10" w:right="0" w:hanging="10"/>
      <w:jc w:val="left"/>
    </w:pPr>
    <w:rPr>
      <w:rFonts w:ascii="Calibri" w:cs="Calibri" w:eastAsia="Calibri" w:hAnsi="Calibri"/>
      <w:b w:val="0"/>
      <w:i w:val="0"/>
      <w:smallCaps w:val="0"/>
      <w:strike w:val="0"/>
      <w:color w:val="000080"/>
      <w:sz w:val="52"/>
      <w:szCs w:val="5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before="200" w:line="240" w:lineRule="auto"/>
      <w:ind w:left="-5" w:hanging="10"/>
      <w:jc w:val="center"/>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