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Planejamento de Atividade Individual – 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6"/>
          <w:szCs w:val="36"/>
          <w:rtl w:val="0"/>
        </w:rPr>
        <w:t xml:space="preserve">Comparação de Desempenho de Soluções de Bancos de Dados Vetoriais para Busca Semântica: uma análise entre pgvector e Bancos de Dados Especializados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Rafael Nobre de Souza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Celson Pantoja Lima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" w:right="0" w:hanging="198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Bacharelado em Ciência da Computação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/PET-IEG; 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rafael.ns@discente.ufopa.edu.br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" w:right="0" w:hanging="198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IEG/UFOPA; 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celson.ufopa@gmail.com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34" w:line="246.99999999999994" w:lineRule="auto"/>
        <w:ind w:left="472" w:right="680" w:firstLine="0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Resumo: 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Este trabalho propõe um estudo experimental comparativo entre diferentes soluções de bancos de dados vetoriais para operações de busca semântica, com foco em aplicações de Inteligência Artificial baseadas em embeddings e Large Language Models (LLMs). Serão avaliados um banco relacional com extensão vetorial (PostgreSQL + pgvector) e bancos vetoriais especializados (como Qdrant e Weaviate), em cenários típicos de sistemas de Retrieval-Augmented Generation (RAG) e busca semântica em documentos. A comparação considerará métricas de latência, throughput, qualidade da recuperação (recall@K) e consumo de recursos, de forma a entender como essas soluções se comportam em diferentes perfis de carga e requisitos de aplicação. Espera-se que o estudo produza uma análise sistemática útil para pesquisas em bancos de dados e para equipes de desenvolvimento que precisam escolher entre alternativas de armazenamento vetorial em aplicações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1. Introdução e justificativa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1.1. Contexto acadêmico e tecnológico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Modelos de linguagem de grande porte (LLMs) e técnicas de embeddings tornaram-se centrais em várias tarefas de Processamento de Linguagem Natural (PLN), como recuperação de informação, perguntas e respostas e sumarização de documentos. Nessas aplicações, a representação vetorial de textos permite medir similaridade semântica de forma mais robusta do que abordagens baseadas apenas em palavras-chave. Bancos de dados vetoriais funcionam como memória externa para LLMs, permitindo que os modelos acessem e sintetizem quantidades enormes de dados sem necessidade de reciclagem constante (Jing et al., 2024).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fundamentação teórica dessa abordagem repousa no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2"/>
          <w:szCs w:val="22"/>
          <w:rtl w:val="0"/>
        </w:rPr>
        <w:t xml:space="preserve">Vector Space Model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 (VSM), uma técnica clássica de recuperação de informação que organiza documentos como pontos em um espaço n-dimensional, onde a proximidade dos vetores corresponde a similaridade semântica, permitindo medir a relevância através de medidas como similaridade de cosseno (Paiva, 2014). Trabalhos como o de Costa (2014) demonstraram a viabilidade de estender o VSM com enriquecimento semântico apoiado por ontologias de domínio, prefigurando a evolução para as representações vetoriais densas geradas por modelos neurais que sustentam os sistemas atuais de busca semântica e RAG.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Para que esses sistemas sejam úteis em contextos reais (e.g. jurídico, financeiro, biomédico e educacional), é comum combinar LLMs com bancos de dados vetoriais, em arquiteturas conhecidas como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2"/>
          <w:szCs w:val="22"/>
          <w:rtl w:val="0"/>
        </w:rPr>
        <w:t xml:space="preserve">Retrieval-Augmented Generation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 (RAG). Nelas, o modelo consulta um repositório de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2"/>
          <w:szCs w:val="22"/>
          <w:rtl w:val="0"/>
        </w:rPr>
        <w:t xml:space="preserve">embeddings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 para recuperar trechos relevantes de documentos antes de gerar respostas, reduzindo alucinações e aumentando a precisão factual. Sistemas RAG implementados em instituições educacionais demonstram melhoria significativa na qualidade das respostas, com scores de relevância entre 0.7–0.85 (Bovas et al., 2025).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Do ponto de vista de Sistemas de Gerenciamento de Bancos de Dados (SGBD), isso abre uma linha de pesquisa importante: como projetar, configurar e comparar infraestruturas de armazenamento vetorial para atender demandas de latência, escalabilidade e qualidade de recuperação desses sistemas?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1.2. Problema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Hoje existem duas abordagens principais para armazenamento de embeddings em aplicações de IA: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Uso de bancos de dados relacionais tradicionais com extensões vetoriais, como PostgreSQL com a extensão pgvector.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Uso de bancos de dados vetoriais especializados, projetados especificamente para indexação e busca aproximada em espaços de alta dimensão, como Qdrant, Weaviate, Milvus, Pinecone, entre outros.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Na prática, desenvolvedores e pesquisadores frequentemente precisam decidir entre essas alternativas, mas a literatura ainda carece de estudos comparativos sistemáticos que analisem, de maneira reproduzível, como essas soluções se comportam em cenários típicos de aplicações RAG e de busca semântica corporativa. Embora estudos recentes abordem otimização de RAG e avaliação de componentes específicos (como embedding models e LLMs), ainda é limitado o número de trabalhos que: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Definem cenários de uso bem caracterizados;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Medem diversas métricas em condições controladas e comparáveis;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Discutem de forma crítica os trade-offs entre usar uma solução integrada ao SGBD relacional existente e adotar bancos vetoriais especializados em contexto de benchmarking sistemático.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1.3. Justificativa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Bancos de dados vetoriais representam uma evolução natural de SGBDs na direção de suportar dados e consultas para IA. O desafio central de sistemas de recuperação é transformar informação não-estruturada em representações organizadas que permitam busca eficiente e quantificação de similaridade entre entidades semânticas (Paiva, 2014; Costa, 2014).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motivação para enriquecer representações vetoriais com semântica explícita já era central no framework SENSE proposto por Costa (2014), que estendia o VSM clássico com ontologias de domínio para capturar relações implícitas entre documentos. Sistemas RAG atuais retomam esse princípio em outro patamar, substituindo a engenharia ontológica manual por embeddings densos aprendidos, mas preservando a premissa de que a qualidade da recuperação depende de quão bem a representação captura semântica além de palavras explícitas — o que torna o desempenho da camada vetorial um fator decisivo no projeto desses sistemas.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Trabalhos recentes demonstram que a eficiência da camada de recuperação vetorial é um componente crítico para a qualidade das respostas em sistemas RAG, com impacto direto na precisão e robustez do sistema (Pawlik, 2025). A integração entre LLMs, mecanismos de recuperação vetorial e estruturas de dados de alto desempenho envolve conceitos clássicos de bancos de dados (indexação, otimização de consultas, gerenciamento de recursos) em um cenário moderno, tornando o tema adequado para pesquisa de graduação em SGBD.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Metodologias rigorosas de benchmarking de bancos de dados são bem estabelecidas na literatura, e sua aplicação em sistemas vetoriais representa uma oportunidade de contribuição acadêmica na área.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Além disso, empresas e instituições têm usado RAG e busca semântica para construir chatbots sobre bases documentais internas, sistemas de apoio à decisão, assistentes para estudantes, atendimento ao cliente, análise de relatórios e outros casos de uso onde é necessário encontrar, de forma rápida, trechos relevantes em coleções extensas de documentos.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Nessas aplicações, a escolha e configuração do banco vetorial impacta: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experiência do usuário (latência de resposta);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capacidade de atender muitos usuários simultâneos (throughput);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o custo de infraestrutura (uso de memória e armazenamento);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qualidade da recuperação (recall de passagens relevantes).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seleção apropriada de parâmetros e da solução de armazenamento vetorial representa um trade-off entre qualidade de resposta, custo computacional e limitações de hardware. Estudos acadêmicos que explorem comparativamente essas soluções podem servir como referência para equipes de engenharia que precisam tomar decisões fundamentadas sobre a arquitetura de dados em aplicações de IA.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Dessa forma, o projeto é justificado tanto como contribuição para a formação em bancos de dados e sistemas de IA, quanto como estudo aplicado com potencial de orientar decisões técnicas em ambientes reais.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2.1.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geral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Investigar experimentalmente o desempenho e o comportamento de um banco de dados relacional com extensão vetorial (PostgreSQL + pgvector) e de bancos vetoriais especializados em cenários de busca semântica e RAG, analisando métricas de desempenho, qualidade de recuperação e consumo de recursos, a fim de compreender os trade-offs envolvidos na escolha entre essas soluções em aplicações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2.2.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específicos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Definir cenários de uso representativos de aplicações de IA baseadas em embeddings, como busca semântica em coleções de documentos textuais com e sem filtros de metadados, inspirados em implementações de RAG descritas na literatura.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Construir um ambiente experimental reproduzível envolvendo PostgreSQL + pgvector e pelo menos duas soluções de banco vetorial especializado (por exemplo, Qdrant e Weaviate), com conjuntos de embeddings de diferentes tamanhos e dimensionalidades.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Medir e comparar, em cada sistema, métricas como: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latência para consultas de similaridade;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throughput (consultas por segundo);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recall@K em relação a uma busca exata ou baseline;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uso de memória e armazenamento em disco;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tempo de indexação inicial e tempo de atualização de vetores.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Adicionalmente, buscar-se-á realizar uma análise comparativa de desempenho entre a estação de trabalho local e o Cluster de High Performance do IEG da UFOPA, dependendo da viabilidade técnica e disponibilidade de acesso durante a execução do projeto.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Analisar criticamente os resultados, discutindo as vantagens e limitações de cada abordagem em diferentes cenários (por exemplo, coleções menores integradas ao banco relacional existente versus grandes coleções em serviços especializados), e sistematizar recomendações para projetos futuros.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Metodologia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 metodologia segue uma abordagem experimental de benchmark, estruturada em quatro componentes principais: definição de cenários, preparação de dados e ambiente, execução controlada de testes e análise dos resultados. Conforme estabelecido em práticas de benchmarking de sistemas de banco de dados, a definição clara de workloads realistas, a medição consistente de métricas padronizadas e a documentação reproduzível dos experimentos são essenciais para gerar resultados confiáveis e comparáveis (Aerospike, 2025).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3.1. Cenários de uso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Serão considerados cenários que se aproximam de aplicações reais de IA, variando em características de carga e tipos de consulta: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Cenário A – Busca semântica básica: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Coleção de documentos textuais curtos (por exemplo, parágrafos de artigos, seções de relatórios ou FAQs institucionais). Cada documento é convertido em embedding, e consultas semânticas são feitas para recuperar os K documentos mais similares, sem filtros estruturados.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Cenário B – Busca com filtros de metadados: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Mesmo tipo de coleção, mas com metadados associados (por exemplo, categoria, área temática, data, curso). As consultas combinam similaridade vetorial com filtros estruturados, como "documentos da área X publicados após ano Y". Este cenário reflete operações típicas em sistemas RAG corporativos e desafia a capacidade de integrar filtros com busca vetorial.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Cenário C – Carga mista (RAG simplificado):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Simulação de um sistema onde, ao longo do tempo, novos documentos são adicionados e alguns são atualizados, ao mesmo tempo em que consultas de similaridade são executadas em paralelo, aproximando o comportamento de aplicações de RAG em produção.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3.2. Dados e embeddings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Fonte de texto: serão utilizados conjuntos de textos públicos, como coleções de artigos técnicos, relatórios ou datasets de benchmark em NLP.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Geração de embeddings: os textos serão convertidos em vetores usando um modelo de embeddings de sentença disponível publicamente. Dimensionalidades típicas serão consideradas para permitir variar densidade e custo de armazenamento, refletindo escolhas comuns em implementações de RAG.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Tamanhos de dataset: serão usados tamanhos progressivos para avaliar escalabilidade. Esse escalonamento permite investigar como a performance se degrada com o crescimento da coleção, questão crítica em aplicações reais.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3.3. Sistemas avaliados e Ambiente de Hardware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Os experimentos base serão conduzidos em um notebook Dell G15 5530 , configurado com o sistema operacional Fedora Linux. As especificações técnicas principais incluem: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Processador: Intel Core i5-13450HX (13ª geração), com 10 núcleos e 16 threads, alcançando até 4.6GHz;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Memória RAM: 16GiB DDR5 (2x 8GiB) com frequência de 4800 MHz;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Armazenamento: Unidade NVMe Kingston de 1TB;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GPU: NVIDIA GeForce RTX 3050 com 6GB de memória dedicada.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Os seguintes sistemas serão configurados nesse hardware em ambiente controlado: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PostgreSQL + pgvector: banco relacional com extensão vetorial, armazenando tanto metadados quanto vetores na mesma base. Este sistema representa a abordagem "integrada" onde a solução generalista é estendida com capacidades vetoriais.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Qdrant: banco vetorial especializado open source, com suporte a índices aproximados (HNSW) e filtros de metadados nativos, projetado especificamente para recuperação vetorial eficiente.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Weaviate: banco vetorial especializado com suporte a esquemas, GraphQL e filtros, projetado para aplicações de IA, oferecendo uma alternativa com diferentes trade-offs de design.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Sempre que possível, configurações padrão recomendadas pela documentação serão utilizadas como baseline, podendo ser ajustadas posteriormente de forma controlada para investigar o impacto de diferentes parâmetros.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3.4. Métricas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As métricas avaliadas incluirão: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Latência de consulta: tempos p50, p95 e p99 para consultas de similaridade com e sem filtros, essenciais para garantir responsividade em aplicações interativas.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Throughput: quantidade de consultas atendidas por segundo sob carga controlada, indicando capacidade de escala horizontal de atender múltiplos usuários.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Recall@K: proporção de vizinhos "relevantes" recuperados entre os K primeiros resultados, estimada por comparação com um método de referência (por exemplo, busca exata), garantindo qualidade da recuperação. Esta métrica é fundamental em sistemas que usam similaridade para recuperação de informação.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Uso de recursos: memória e espaço em disco consumidos para cada tamanho de dataset, bem como tempo de indexação inicial, impactando custo operacional.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Desempenho com atualizações: impacto de inserções e atualizações contínuas na performance de consulta no cenário de carga mista, refletindo comportamento em produção.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Ferramentas como scripts em Python, bibliotecas de medição de tempo, monitoramento do sistema operacional e logs dos próprios bancos serão utilizadas para coleta sistemática e reproduzível dos dados.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3.5. Análise dos resultados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Os resultados serão analisados por meio de: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Gráficos comparando latência, throughput e recall entre sistemas para cada cenário e tamanho de dataset;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Discussão sobre o impacto de usar um banco relacional "generalista" com extensão vetorial em comparação com sistemas especializados, considerando trade-offs de performance versus simplicidade operacional;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Identificação de situações em que a simplicidade de integração (por exemplo, manter tudo no PostgreSQL) compensa eventuais perdas de desempenho, e situações em que a adoção de um banco vetorial dedicado é mais adequada;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Recomendações práticas baseadas em dados, para guiar decisões de arquitetura em projetos futuros.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Cronograma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Etapa 1: Revisão e planejamento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Levantamento bibliográfico aprofundado, detalhamento da metodologia, ajustes com orientador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Etapa 2: Preparação de dados e ambiente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Seleção de textos, geração de embeddings reproduzíveis, configuração de PostgreSQL+pgvector, Qdrant e Weaviate em Docker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Etapa 3: Experimentos – fase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Execução dos cenários A e B em tamanhos menores (100k, 500k), ajustes de scripts de benchmark e coleta inicial de métricas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before="120" w:lineRule="auto"/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Etapa 4: Experimentos – fase 2</w:t>
      </w:r>
    </w:p>
    <w:p w:rsidR="00000000" w:rsidDel="00000000" w:rsidP="00000000" w:rsidRDefault="00000000" w:rsidRPr="00000000" w14:paraId="00000066">
      <w:pPr>
        <w:spacing w:before="120" w:lineRule="auto"/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Execução dos cenários em escala maior (1M) e cenário C (carga mista), consolidação dos dados coletados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before="120" w:lineRule="auto"/>
        <w:ind w:left="72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Etapa 5: Análise e redação</w:t>
      </w:r>
    </w:p>
    <w:p w:rsidR="00000000" w:rsidDel="00000000" w:rsidP="00000000" w:rsidRDefault="00000000" w:rsidRPr="00000000" w14:paraId="00000068">
      <w:pPr>
        <w:spacing w:before="120" w:lineRule="auto"/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Análise comparativa sistemática, elaboração de tabelas e gráficos, redação do relatório final e revisão com orientador</w:t>
      </w:r>
    </w:p>
    <w:p w:rsidR="00000000" w:rsidDel="00000000" w:rsidP="00000000" w:rsidRDefault="00000000" w:rsidRPr="00000000" w14:paraId="00000069">
      <w:pPr>
        <w:spacing w:before="120" w:lineRule="auto"/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20" w:lineRule="auto"/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20" w:lineRule="auto"/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4.000000000002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311"/>
        <w:gridCol w:w="626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tblGridChange w:id="0">
          <w:tblGrid>
            <w:gridCol w:w="1311"/>
            <w:gridCol w:w="626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  <w:gridCol w:w="627"/>
          </w:tblGrid>
        </w:tblGridChange>
      </w:tblGrid>
      <w:tr>
        <w:trPr>
          <w:cantSplit w:val="0"/>
          <w:tblHeader w:val="0"/>
        </w:trPr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Jan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Fev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Abr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Ago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</w:t>
            </w:r>
          </w:p>
        </w:tc>
        <w:tc>
          <w:tcPr>
            <w:shd w:fill="767171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Dez</w:t>
            </w:r>
          </w:p>
        </w:tc>
      </w:tr>
      <w:tr>
        <w:trPr>
          <w:cantSplit w:val="0"/>
          <w:tblHeader w:val="0"/>
        </w:trPr>
        <w:tc>
          <w:tcPr>
            <w:shd w:fill="767171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67171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67171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67171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67171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before="122" w:line="270" w:lineRule="auto"/>
              <w:ind w:left="22" w:right="2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Resultados Esperados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Espera-se como resultados principais: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0" w:afterAutospacing="0" w:before="24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Um conjunto de experimentos reproduzíveis e documentados comparando PostgreSQL + pgvector e pelo menos dois bancos vetoriais especializados em cenários representativos de aplicações de IA baseadas em embeddings, com código e dados públicos no GitHub.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0" w:afterAutospacing="0" w:before="0" w:beforeAutospacing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Medições quantitativas detalhadas de latência, throughput, recall e uso de recursos em diferentes tamanhos de dataset e perfis de carga, permitindo observar como cada sistema escala e quais são seus limites práticos em contexto de RAG.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0" w:afterAutospacing="0" w:before="0" w:beforeAutospacing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Uma análise crítica dos trade-offs entre usar uma solução integrada ao banco relacional tradicional e adotar bancos vetoriais especializados, considerando aspectos de desempenho, complexidade de operação, custo computacional e perfil de uso.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0" w:afterAutospacing="0" w:before="0" w:beforeAutospacing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Um relatório final técnico e bem estruturado que sintetize a metodologia, resultados experimentais e recomendações baseadas em dados, podendo servir de base para trabalhos futuros em banco de dados e aplicações de IA dentro da UFOPA ou em contextos empresariais.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0" w:beforeAutospacing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Pretende-se, como resultado incremental, documentar a escalabilidade das soluções avaliadas em hardware de alto desempenho, caso a integração com o Cluster de High Performance do IEG se mostre viável, permitindo observar o comportamento dos bancos de dados vetoriais em um ambiente de computação paralela e distribuída.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right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right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right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right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right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2"/>
        </w:tabs>
        <w:spacing w:after="120" w:before="240" w:line="240" w:lineRule="auto"/>
        <w:ind w:right="0"/>
        <w:jc w:val="left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PAIVA, L. M. S. S.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Semantic relations extraction in unstructured information for domain ontologies enrichment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2014. Dissertação de Mestrado, Universidade Nova de Lisboa, Lisboa, 2014.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COSTA, R. D. D.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Semantic Enrichment of Knowledge Sources Supported by Domain Ontologies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2014. Tese de Doutorado, Universidade Nova de Lisboa, Lisboa, 2014.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JING, Z. et al.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When Large Language Models Meet Vector Databases: A Survey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arXiv (Cornell University), 2024.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BOVAS, A. P et al.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NAVI: RAG-powered LLM chatbot for academic institutions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International Journal for Research in Applied Science and Engineering Technology, 2025.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PAWLIK, L.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LLM Selection and Vector Database Tuning: A Methodology for Enhancing RAG Systems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Applied Sciences, v. 15, n. 20, p. 10886, 2025.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SANTANA.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Junções por similaridade aproximadas em espaços vetoriais densos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Disponível em: &lt;http://repositorio.bc.ufg.br/tede/handle/tede/13058&gt;. Acesso em: 3 dez. 2025.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AEROSPIKE.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Best practices for database benchmarking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Aerospike Blog, 2025. Disponível em: https://www.aerospike.com/blog/best-practices-for-database-benchmarking/. Acesso em: 9 dez. 2025.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PAN, J.; WANG, J.; LI, G.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Survey of Vector Database Management Systems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. arXiv (Cornell University), 2023.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pgSz w:h="16838" w:w="11906" w:orient="portrait"/>
      <w:pgMar w:bottom="1077" w:top="1417" w:left="1531" w:right="1531" w:header="102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8845"/>
      </w:tabs>
      <w:spacing w:after="0" w:before="120" w:line="240" w:lineRule="auto"/>
      <w:ind w:left="0" w:right="0" w:firstLine="0"/>
      <w:jc w:val="both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Grupo PET Bacharelado Interdisciplinar em Tecnologia da Informação da Ufopa (PET-IEG)</w:t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  <w:tab/>
      <w:t xml:space="preserve">www.ufopa.edu.br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spacing w:after="240" w:line="240" w:lineRule="auto"/>
      <w:rPr>
        <w:rFonts w:ascii="Palatino Linotype" w:cs="Palatino Linotype" w:eastAsia="Palatino Linotype" w:hAnsi="Palatino Linotype"/>
        <w:sz w:val="16"/>
        <w:szCs w:val="16"/>
      </w:rPr>
    </w:pPr>
    <w:r w:rsidDel="00000000" w:rsidR="00000000" w:rsidRPr="00000000">
      <w:rPr>
        <w:rFonts w:ascii="Palatino Linotype" w:cs="Palatino Linotype" w:eastAsia="Palatino Linotype" w:hAnsi="Palatino Linotyp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alatino Linotype" w:cs="Palatino Linotype" w:eastAsia="Palatino Linotype" w:hAnsi="Palatino Linotype"/>
        <w:sz w:val="16"/>
        <w:szCs w:val="16"/>
        <w:rtl w:val="0"/>
      </w:rPr>
      <w:t xml:space="preserve"> de </w:t>
    </w:r>
    <w:r w:rsidDel="00000000" w:rsidR="00000000" w:rsidRPr="00000000">
      <w:rPr>
        <w:rFonts w:ascii="Palatino Linotype" w:cs="Palatino Linotype" w:eastAsia="Palatino Linotype" w:hAnsi="Palatino Linotyp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Palatino Linotype" w:cs="Palatino Linotype" w:eastAsia="Palatino Linotype" w:hAnsi="Palatino Linotype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883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417"/>
      <w:gridCol w:w="4417"/>
      <w:tblGridChange w:id="0">
        <w:tblGrid>
          <w:gridCol w:w="4417"/>
          <w:gridCol w:w="441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Palatino Linotype" w:cs="Palatino Linotype" w:eastAsia="Palatino Linotype" w:hAnsi="Palatino Linotype"/>
              <w:b w:val="0"/>
              <w:bCs w:val="0"/>
              <w:i w:val="1"/>
              <w:iCs w:val="1"/>
              <w:smallCaps w:val="0"/>
              <w:strike w:val="0"/>
              <w:color w:val="000000"/>
              <w:sz w:val="2"/>
              <w:szCs w:val="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alatino Linotype" w:cs="Palatino Linotype" w:eastAsia="Palatino Linotype" w:hAnsi="Palatino Linotype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98450" cy="1153371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450" cy="11533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Palatino Linotype" w:cs="Palatino Linotype" w:eastAsia="Palatino Linotype" w:hAnsi="Palatino Linotype"/>
              <w:b w:val="0"/>
              <w:bCs w:val="0"/>
              <w:i w:val="1"/>
              <w:iCs w:val="1"/>
              <w:smallCaps w:val="0"/>
              <w:strike w:val="0"/>
              <w:color w:val="000000"/>
              <w:sz w:val="2"/>
              <w:szCs w:val="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alatino Linotype" w:cs="Palatino Linotype" w:eastAsia="Palatino Linotype" w:hAnsi="Palatino Linotype"/>
              <w:b w:val="0"/>
              <w:bCs w:val="0"/>
              <w:i w:val="1"/>
              <w:iCs w:val="1"/>
              <w:smallCaps w:val="0"/>
              <w:strike w:val="0"/>
              <w:color w:val="000000"/>
              <w:sz w:val="2"/>
              <w:szCs w:val="2"/>
              <w:u w:val="none"/>
              <w:shd w:fill="auto" w:val="clear"/>
              <w:vertAlign w:val="baseline"/>
            </w:rPr>
            <w:drawing>
              <wp:inline distB="0" distT="0" distL="0" distR="0">
                <wp:extent cx="2519253" cy="683044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9253" cy="6830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1"/>
        <w:iCs w:val="1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0" w:lineRule="auto"/>
    </w:pPr>
    <w:rPr>
      <w:rFonts w:ascii="Arial" w:cs="Arial" w:eastAsia="Arial" w:hAnsi="Arial"/>
      <w:b w:val="1"/>
      <w:bCs w:val="1"/>
      <w:u w:val="single"/>
    </w:rPr>
  </w:style>
  <w:style w:type="paragraph" w:styleId="Heading2">
    <w:name w:val="heading 2"/>
    <w:basedOn w:val="Normal"/>
    <w:next w:val="Normal"/>
    <w:pPr>
      <w:spacing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ind w:left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  <w:ind w:left="907" w:hanging="907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ind w:left="706"/>
    </w:pPr>
    <w:rPr>
      <w:b w:val="1"/>
      <w:bCs w:val="1"/>
    </w:rPr>
  </w:style>
  <w:style w:type="paragraph" w:styleId="Heading6">
    <w:name w:val="heading 6"/>
    <w:basedOn w:val="Normal"/>
    <w:next w:val="Normal"/>
    <w:pPr>
      <w:ind w:left="706"/>
    </w:pPr>
    <w:rPr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