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sz w:val="26"/>
          <w:szCs w:val="26"/>
        </w:rPr>
        <w:t xml:space="preserve">UNIVERSIDADE FEDERAL DO OESTE DO PARÁ</w:t>
      </w:r>
    </w:p>
    <w:p>
      <w:pPr>
        <w:spacing w:after="240" w:before="0"/>
        <w:jc w:val="center"/>
      </w:pPr>
      <w:r>
        <w:rPr>
          <w:rFonts w:ascii="Arial" w:cs="Arial" w:eastAsia="Arial" w:hAnsi="Arial"/>
          <w:sz w:val="24"/>
          <w:szCs w:val="24"/>
        </w:rPr>
        <w:t xml:space="preserve">INSTITUTO DE ENGENHARIA E GEOCIÊNCIAS</w:t>
      </w:r>
    </w:p>
    <w:p>
      <w:pPr>
        <w:spacing w:after="240" w:before="0"/>
        <w:jc w:val="center"/>
      </w:pPr>
      <w:r>
        <w:rPr>
          <w:rFonts w:ascii="Arial" w:cs="Arial" w:eastAsia="Arial" w:hAnsi="Arial"/>
          <w:sz w:val="24"/>
          <w:szCs w:val="24"/>
        </w:rPr>
        <w:t xml:space="preserve">BACHARELADO EM CIÊNCIA DA COMPUTAÇÃO</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after="240" w:before="240"/>
        <w:jc w:val="center"/>
      </w:pPr>
      <w:r>
        <w:rPr>
          <w:rFonts w:ascii="Arial" w:cs="Arial" w:eastAsia="Arial" w:hAnsi="Arial"/>
          <w:b/>
          <w:bCs/>
          <w:sz w:val="28"/>
          <w:szCs w:val="28"/>
        </w:rPr>
        <w:t xml:space="preserve">COMPARAÇÃO DE DESEMPENHO DE SOLUÇÕES DE BANCOS DE DADOS VETORIAIS PARA BUSCA SEMÂNTICA: UMA ANÁLISE ENTRE PGVECTOR E BANCOS DE DADOS ESPECIALIZADOS</w:t>
      </w:r>
    </w:p>
    <w:p>
      <w:pPr>
        <w:spacing w:after="120" w:before="240"/>
        <w:jc w:val="center"/>
      </w:pPr>
      <w:r>
        <w:rPr>
          <w:rFonts w:ascii="Arial" w:cs="Arial" w:eastAsia="Arial" w:hAnsi="Arial"/>
          <w:i/>
          <w:iCs/>
          <w:sz w:val="24"/>
          <w:szCs w:val="24"/>
        </w:rPr>
        <w:t xml:space="preserve">Relatório Parcial — Iniciação Científica</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after="120"/>
        <w:jc w:val="center"/>
      </w:pPr>
      <w:r>
        <w:rPr>
          <w:rFonts w:ascii="Arial" w:cs="Arial" w:eastAsia="Arial" w:hAnsi="Arial"/>
          <w:sz w:val="24"/>
          <w:szCs w:val="24"/>
        </w:rPr>
        <w:t xml:space="preserve">Bolsista: Rafael Nobre de Souza</w:t>
      </w:r>
    </w:p>
    <w:p>
      <w:pPr>
        <w:spacing w:after="360"/>
        <w:jc w:val="center"/>
      </w:pPr>
      <w:r>
        <w:rPr>
          <w:rFonts w:ascii="Arial" w:cs="Arial" w:eastAsia="Arial" w:hAnsi="Arial"/>
          <w:sz w:val="24"/>
          <w:szCs w:val="24"/>
        </w:rPr>
        <w:t xml:space="preserve">Orientador: Prof. Dr. Celson Pantoja Lima</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after="0" w:before="240"/>
        <w:jc w:val="center"/>
      </w:pPr>
      <w:r>
        <w:rPr>
          <w:rFonts w:ascii="Arial" w:cs="Arial" w:eastAsia="Arial" w:hAnsi="Arial"/>
          <w:sz w:val="24"/>
          <w:szCs w:val="24"/>
        </w:rPr>
        <w:t xml:space="preserve">Santarém — PA</w:t>
      </w:r>
    </w:p>
    <w:p>
      <w:pPr>
        <w:jc w:val="center"/>
      </w:pPr>
      <w:r>
        <w:rPr>
          <w:rFonts w:ascii="Arial" w:cs="Arial" w:eastAsia="Arial" w:hAnsi="Arial"/>
          <w:sz w:val="24"/>
          <w:szCs w:val="24"/>
        </w:rPr>
        <w:t xml:space="preserve">2026</w:t>
      </w:r>
    </w:p>
    <w:p>
      <w:r>
        <w:br w:type="page"/>
      </w:r>
    </w:p>
    <w:p>
      <w:pPr>
        <w:pStyle w:val="Heading1"/>
        <w:spacing w:after="240" w:before="360"/>
      </w:pPr>
      <w:r>
        <w:rPr>
          <w:rFonts w:ascii="Arial" w:cs="Arial" w:eastAsia="Arial" w:hAnsi="Arial"/>
          <w:b/>
          <w:bCs/>
          <w:sz w:val="32"/>
          <w:szCs w:val="32"/>
        </w:rPr>
        <w:t xml:space="preserve">Resumo</w:t>
      </w:r>
    </w:p>
    <w:p>
      <w:pPr>
        <w:spacing w:after="200" w:before="0" w:line="360"/>
        <w:jc w:val="both"/>
      </w:pPr>
      <w:r>
        <w:rPr>
          <w:rFonts w:ascii="Arial" w:cs="Arial" w:eastAsia="Arial" w:hAnsi="Arial"/>
          <w:sz w:val="24"/>
          <w:szCs w:val="24"/>
        </w:rPr>
        <w:t xml:space="preserve">Este relatório apresenta o andamento parcial do estudo experimental que compara soluções de bancos de dados vetoriais para operações de busca semântica, com foco em aplicações de Inteligência Artificial baseadas em embeddings e Large Language Models (LLMs). São avaliados um banco relacional com extensão vetorial (PostgreSQL + pgvector) e bancos vetoriais especializados (Qdrant e Weaviate), em cenários típicos de sistemas de Retrieval-Augmented Generation (RAG) e busca semântica em documentos. A comparação considera métricas de latência, throughput, qualidade da recuperação (recall@K) e consumo de recursos. Esta entrega parcial corresponde à conclusão das três primeiras etapas do projeto: revisão e planejamento, preparação de dados e ambiente experimental, e execução da primeira fase de experimentos com datasets de menor escala (100k e 500k embeddings). Os experimentos em escala maior (1M, carga mista) e a análise comparativa final ficam reservados às etapas 4 e 5, a serem apresentadas no relatório final em dezembro de 2026.</w:t>
      </w:r>
    </w:p>
    <w:p>
      <w:r>
        <w:rPr>
          <w:rFonts w:ascii="Arial" w:cs="Arial" w:eastAsia="Arial" w:hAnsi="Arial"/>
          <w:sz w:val="24"/>
          <w:szCs w:val="24"/>
        </w:rPr>
        <w:t xml:space="preserve"/>
      </w:r>
    </w:p>
    <w:p>
      <w:pPr>
        <w:spacing w:after="200" w:before="0" w:line="360"/>
        <w:jc w:val="both"/>
      </w:pPr>
      <w:r>
        <w:rPr>
          <w:rFonts w:ascii="Arial" w:cs="Arial" w:eastAsia="Arial" w:hAnsi="Arial"/>
          <w:b/>
          <w:bCs/>
          <w:sz w:val="24"/>
          <w:szCs w:val="24"/>
        </w:rPr>
        <w:t xml:space="preserve">Palavras-chave: </w:t>
      </w:r>
      <w:r>
        <w:rPr>
          <w:rFonts w:ascii="Arial" w:cs="Arial" w:eastAsia="Arial" w:hAnsi="Arial"/>
          <w:sz w:val="24"/>
          <w:szCs w:val="24"/>
        </w:rPr>
        <w:t xml:space="preserve">bancos de dados vetoriais; busca semântica; pgvector; Qdrant; Weaviate; RAG; benchmarking.</w:t>
      </w:r>
    </w:p>
    <w:p>
      <w:r>
        <w:br w:type="page"/>
      </w:r>
    </w:p>
    <w:p>
      <w:pPr>
        <w:pStyle w:val="Heading1"/>
        <w:spacing w:after="240" w:before="360"/>
      </w:pPr>
      <w:r>
        <w:rPr>
          <w:rFonts w:ascii="Arial" w:cs="Arial" w:eastAsia="Arial" w:hAnsi="Arial"/>
          <w:b/>
          <w:bCs/>
          <w:sz w:val="32"/>
          <w:szCs w:val="32"/>
        </w:rPr>
        <w:t xml:space="preserve">1. Introdução</w:t>
      </w:r>
    </w:p>
    <w:p>
      <w:pPr>
        <w:pStyle w:val="Heading2"/>
        <w:spacing w:after="180" w:before="240"/>
      </w:pPr>
      <w:r>
        <w:rPr>
          <w:rFonts w:ascii="Arial" w:cs="Arial" w:eastAsia="Arial" w:hAnsi="Arial"/>
          <w:b/>
          <w:bCs/>
          <w:sz w:val="28"/>
          <w:szCs w:val="28"/>
        </w:rPr>
        <w:t xml:space="preserve">1.1. Contexto acadêmico e tecnológico</w:t>
      </w:r>
    </w:p>
    <w:p>
      <w:pPr>
        <w:spacing w:after="200" w:before="0" w:line="360"/>
        <w:jc w:val="both"/>
      </w:pPr>
      <w:r>
        <w:rPr>
          <w:rFonts w:ascii="Arial" w:cs="Arial" w:eastAsia="Arial" w:hAnsi="Arial"/>
          <w:sz w:val="24"/>
          <w:szCs w:val="24"/>
        </w:rPr>
        <w:t xml:space="preserve">Modelos de linguagem de grande porte (LLMs) e técnicas de embeddings tornaram-se centrais em várias tarefas de Processamento de Linguagem Natural (PLN), como recuperação de informação, perguntas e respostas e sumarização de documentos. Nessas aplicações, a representação vetorial de textos permite medir similaridade semântica de forma mais robusta do que abordagens baseadas apenas em palavras-chave. Bancos de dados vetoriais funcionam como memória externa para LLMs, permitindo que os modelos acessem e sintetizem quantidades enormes de dados sem necessidade de reciclagem constante (Jing et al., 2024).</w:t>
      </w:r>
    </w:p>
    <w:p>
      <w:pPr>
        <w:spacing w:after="200" w:before="0" w:line="360"/>
        <w:jc w:val="both"/>
      </w:pPr>
      <w:r>
        <w:rPr>
          <w:rFonts w:ascii="Arial" w:cs="Arial" w:eastAsia="Arial" w:hAnsi="Arial"/>
          <w:sz w:val="24"/>
          <w:szCs w:val="24"/>
        </w:rPr>
        <w:t xml:space="preserve">A fundamentação teórica dessa abordagem repousa no Vector Space Model (VSM), uma técnica clássica de recuperação de informação que organiza documentos como pontos em um espaço n-dimensional, onde a proximidade dos vetores corresponde a similaridade semântica, permitindo medir a relevância através de medidas como similaridade de cosseno (Paiva, 2014). Trabalhos como o de Costa (2014) demonstraram a viabilidade de estender o VSM com enriquecimento semântico apoiado por ontologias de domínio, prefigurando a evolução para as representações vetoriais densas geradas por modelos neurais que sustentam os sistemas atuais de busca semântica e RAG.</w:t>
      </w:r>
    </w:p>
    <w:p>
      <w:pPr>
        <w:spacing w:after="200" w:before="0" w:line="360"/>
        <w:jc w:val="both"/>
      </w:pPr>
      <w:r>
        <w:rPr>
          <w:rFonts w:ascii="Arial" w:cs="Arial" w:eastAsia="Arial" w:hAnsi="Arial"/>
          <w:sz w:val="24"/>
          <w:szCs w:val="24"/>
        </w:rPr>
        <w:t xml:space="preserve">Para que esses sistemas sejam úteis em contextos reais (e.g. jurídico, financeiro, biomédico e educacional), é comum combinar LLMs com bancos de dados vetoriais, em arquiteturas conhecidas como Retrieval-Augmented Generation (RAG). Nelas, o modelo consulta um repositório de embeddings para recuperar trechos relevantes de documentos antes de gerar respostas, reduzindo alucinações e aumentando a precisão factual. Sistemas RAG implementados em instituições educacionais demonstram melhoria significativa na qualidade das respostas, com scores de relevância entre 0.7–0.85 (Bovas et al., 2025).</w:t>
      </w:r>
    </w:p>
    <w:p>
      <w:pPr>
        <w:spacing w:after="200" w:before="0" w:line="360"/>
        <w:jc w:val="both"/>
      </w:pPr>
      <w:r>
        <w:rPr>
          <w:rFonts w:ascii="Arial" w:cs="Arial" w:eastAsia="Arial" w:hAnsi="Arial"/>
          <w:sz w:val="24"/>
          <w:szCs w:val="24"/>
        </w:rPr>
        <w:t xml:space="preserve">Do ponto de vista de Sistemas de Gerenciamento de Bancos de Dados (SGBD), isso abre uma linha de pesquisa importante: como projetar, configurar e comparar infraestruturas de armazenamento vetorial para atender demandas de latência, escalabilidade e qualidade de recuperação desses sistemas?</w:t>
      </w:r>
    </w:p>
    <w:p>
      <w:pPr>
        <w:pStyle w:val="Heading2"/>
        <w:spacing w:after="180" w:before="240"/>
      </w:pPr>
      <w:r>
        <w:rPr>
          <w:rFonts w:ascii="Arial" w:cs="Arial" w:eastAsia="Arial" w:hAnsi="Arial"/>
          <w:b/>
          <w:bCs/>
          <w:sz w:val="28"/>
          <w:szCs w:val="28"/>
        </w:rPr>
        <w:t xml:space="preserve">1.2. Problema</w:t>
      </w:r>
    </w:p>
    <w:p>
      <w:pPr>
        <w:spacing w:after="200" w:before="0" w:line="360"/>
        <w:jc w:val="both"/>
      </w:pPr>
      <w:r>
        <w:rPr>
          <w:rFonts w:ascii="Arial" w:cs="Arial" w:eastAsia="Arial" w:hAnsi="Arial"/>
          <w:sz w:val="24"/>
          <w:szCs w:val="24"/>
        </w:rPr>
        <w:t xml:space="preserve">Hoje existem duas abordagens principais para armazenamento de embeddings em aplicações de IA:</w:t>
      </w:r>
    </w:p>
    <w:p>
      <w:pPr>
        <w:pStyle w:val="ListParagraph"/>
        <w:numPr>
          <w:ilvl w:val="0"/>
          <w:numId w:val="2"/>
        </w:numPr>
        <w:spacing w:after="120" w:before="0" w:line="360"/>
      </w:pPr>
      <w:r>
        <w:rPr>
          <w:rFonts w:ascii="Arial" w:cs="Arial" w:eastAsia="Arial" w:hAnsi="Arial"/>
          <w:sz w:val="24"/>
          <w:szCs w:val="24"/>
        </w:rPr>
        <w:t xml:space="preserve">Uso de bancos de dados relacionais tradicionais com extensões vetoriais, como PostgreSQL com a extensão pgvector.</w:t>
      </w:r>
    </w:p>
    <w:p>
      <w:pPr>
        <w:pStyle w:val="ListParagraph"/>
        <w:numPr>
          <w:ilvl w:val="0"/>
          <w:numId w:val="2"/>
        </w:numPr>
        <w:spacing w:after="120" w:before="0" w:line="360"/>
      </w:pPr>
      <w:r>
        <w:rPr>
          <w:rFonts w:ascii="Arial" w:cs="Arial" w:eastAsia="Arial" w:hAnsi="Arial"/>
          <w:sz w:val="24"/>
          <w:szCs w:val="24"/>
        </w:rPr>
        <w:t xml:space="preserve">Uso de bancos de dados vetoriais especializados, projetados especificamente para indexação e busca aproximada em espaços de alta dimensão, como Qdrant, Weaviate, Milvus, Pinecone, entre outros.</w:t>
      </w:r>
    </w:p>
    <w:p>
      <w:pPr>
        <w:spacing w:after="200" w:before="0" w:line="360"/>
        <w:jc w:val="both"/>
      </w:pPr>
      <w:r>
        <w:rPr>
          <w:rFonts w:ascii="Arial" w:cs="Arial" w:eastAsia="Arial" w:hAnsi="Arial"/>
          <w:sz w:val="24"/>
          <w:szCs w:val="24"/>
        </w:rPr>
        <w:t xml:space="preserve">Na prática, desenvolvedores e pesquisadores frequentemente precisam decidir entre essas alternativas, mas a literatura ainda carece de estudos comparativos sistemáticos que analisem, de maneira reproduzível, como essas soluções se comportam em cenários típicos de aplicações RAG e de busca semântica corporativa. Embora estudos recentes abordem otimização de RAG e avaliação de componentes específicos (como embedding models e LLMs), ainda é limitado o número de trabalhos que:</w:t>
      </w:r>
    </w:p>
    <w:p>
      <w:pPr>
        <w:pStyle w:val="ListParagraph"/>
        <w:numPr>
          <w:ilvl w:val="0"/>
          <w:numId w:val="2"/>
        </w:numPr>
        <w:spacing w:after="120" w:before="0" w:line="360"/>
      </w:pPr>
      <w:r>
        <w:rPr>
          <w:rFonts w:ascii="Arial" w:cs="Arial" w:eastAsia="Arial" w:hAnsi="Arial"/>
          <w:sz w:val="24"/>
          <w:szCs w:val="24"/>
        </w:rPr>
        <w:t xml:space="preserve">Definem cenários de uso bem caracterizados;</w:t>
      </w:r>
    </w:p>
    <w:p>
      <w:pPr>
        <w:pStyle w:val="ListParagraph"/>
        <w:numPr>
          <w:ilvl w:val="0"/>
          <w:numId w:val="2"/>
        </w:numPr>
        <w:spacing w:after="120" w:before="0" w:line="360"/>
      </w:pPr>
      <w:r>
        <w:rPr>
          <w:rFonts w:ascii="Arial" w:cs="Arial" w:eastAsia="Arial" w:hAnsi="Arial"/>
          <w:sz w:val="24"/>
          <w:szCs w:val="24"/>
        </w:rPr>
        <w:t xml:space="preserve">Medem diversas métricas em condições controladas e comparáveis;</w:t>
      </w:r>
    </w:p>
    <w:p>
      <w:pPr>
        <w:pStyle w:val="ListParagraph"/>
        <w:numPr>
          <w:ilvl w:val="0"/>
          <w:numId w:val="2"/>
        </w:numPr>
        <w:spacing w:after="120" w:before="0" w:line="360"/>
      </w:pPr>
      <w:r>
        <w:rPr>
          <w:rFonts w:ascii="Arial" w:cs="Arial" w:eastAsia="Arial" w:hAnsi="Arial"/>
          <w:sz w:val="24"/>
          <w:szCs w:val="24"/>
        </w:rPr>
        <w:t xml:space="preserve">Discutem de forma crítica os trade-offs entre usar uma solução integrada ao SGBD relacional existente e adotar bancos vetoriais especializados em contexto de benchmarking sistemático.</w:t>
      </w:r>
    </w:p>
    <w:p>
      <w:pPr>
        <w:pStyle w:val="Heading2"/>
        <w:spacing w:after="180" w:before="240"/>
      </w:pPr>
      <w:r>
        <w:rPr>
          <w:rFonts w:ascii="Arial" w:cs="Arial" w:eastAsia="Arial" w:hAnsi="Arial"/>
          <w:b/>
          <w:bCs/>
          <w:sz w:val="28"/>
          <w:szCs w:val="28"/>
        </w:rPr>
        <w:t xml:space="preserve">1.3. Justificativa</w:t>
      </w:r>
    </w:p>
    <w:p>
      <w:pPr>
        <w:spacing w:after="200" w:before="0" w:line="360"/>
        <w:jc w:val="both"/>
      </w:pPr>
      <w:r>
        <w:rPr>
          <w:rFonts w:ascii="Arial" w:cs="Arial" w:eastAsia="Arial" w:hAnsi="Arial"/>
          <w:sz w:val="24"/>
          <w:szCs w:val="24"/>
        </w:rPr>
        <w:t xml:space="preserve">Bancos de dados vetoriais representam uma evolução natural de SGBDs na direção de suportar dados e consultas para IA. O desafio central de sistemas de recuperação é transformar informação não-estruturada em representações organizadas que permitam busca eficiente e quantificação de similaridade entre entidades semânticas (Paiva, 2014; Costa, 2014).</w:t>
      </w:r>
    </w:p>
    <w:p>
      <w:pPr>
        <w:spacing w:after="200" w:before="0" w:line="360"/>
        <w:jc w:val="both"/>
      </w:pPr>
      <w:r>
        <w:rPr>
          <w:rFonts w:ascii="Arial" w:cs="Arial" w:eastAsia="Arial" w:hAnsi="Arial"/>
          <w:sz w:val="24"/>
          <w:szCs w:val="24"/>
        </w:rPr>
        <w:t xml:space="preserve">A motivação para enriquecer representações vetoriais com semântica explícita já era central no framework SENSE proposto por Costa (2014), que estendia o VSM clássico com ontologias de domínio para capturar relações implícitas entre documentos. Sistemas RAG atuais retomam esse princípio em outro patamar, substituindo a engenharia ontológica manual por embeddings densos aprendidos, mas preservando a premissa de que a qualidade da recuperação depende de quão bem a representação captura semântica além de palavras explícitas — o que torna o desempenho da camada vetorial um fator decisivo no projeto desses sistemas.</w:t>
      </w:r>
    </w:p>
    <w:p>
      <w:pPr>
        <w:spacing w:after="200" w:before="0" w:line="360"/>
        <w:jc w:val="both"/>
      </w:pPr>
      <w:r>
        <w:rPr>
          <w:rFonts w:ascii="Arial" w:cs="Arial" w:eastAsia="Arial" w:hAnsi="Arial"/>
          <w:sz w:val="24"/>
          <w:szCs w:val="24"/>
        </w:rPr>
        <w:t xml:space="preserve">Trabalhos recentes demonstram que a eficiência da camada de recuperação vetorial é um componente crítico para a qualidade das respostas em sistemas RAG, com impacto direto na precisão e robustez do sistema (Pawlik, 2025). A integração entre LLMs, mecanismos de recuperação vetorial e estruturas de dados de alto desempenho envolve conceitos clássicos de bancos de dados (indexação, otimização de consultas, gerenciamento de recursos) em um cenário moderno, tornando o tema adequado para pesquisa de graduação em SGBD.</w:t>
      </w:r>
    </w:p>
    <w:p>
      <w:pPr>
        <w:spacing w:after="200" w:before="0" w:line="360"/>
        <w:jc w:val="both"/>
      </w:pPr>
      <w:r>
        <w:rPr>
          <w:rFonts w:ascii="Arial" w:cs="Arial" w:eastAsia="Arial" w:hAnsi="Arial"/>
          <w:sz w:val="24"/>
          <w:szCs w:val="24"/>
        </w:rPr>
        <w:t xml:space="preserve">Metodologias rigorosas de benchmarking de bancos de dados são bem estabelecidas na literatura, e sua aplicação em sistemas vetoriais representa uma oportunidade de contribuição acadêmica na área.</w:t>
      </w:r>
    </w:p>
    <w:p>
      <w:pPr>
        <w:spacing w:after="200" w:before="0" w:line="360"/>
        <w:jc w:val="both"/>
      </w:pPr>
      <w:r>
        <w:rPr>
          <w:rFonts w:ascii="Arial" w:cs="Arial" w:eastAsia="Arial" w:hAnsi="Arial"/>
          <w:sz w:val="24"/>
          <w:szCs w:val="24"/>
        </w:rPr>
        <w:t xml:space="preserve">Além disso, empresas e instituições têm usado RAG e busca semântica para construir chatbots sobre bases documentais internas, sistemas de apoio à decisão, assistentes para estudantes, atendimento ao cliente, análise de relatórios e outros casos de uso onde é necessário encontrar, de forma rápida, trechos relevantes em coleções extensas de documentos. Nessas aplicações, a escolha e configuração do banco vetorial impacta:</w:t>
      </w:r>
    </w:p>
    <w:p>
      <w:pPr>
        <w:pStyle w:val="ListParagraph"/>
        <w:numPr>
          <w:ilvl w:val="0"/>
          <w:numId w:val="2"/>
        </w:numPr>
        <w:spacing w:after="120" w:before="0" w:line="360"/>
      </w:pPr>
      <w:r>
        <w:rPr>
          <w:rFonts w:ascii="Arial" w:cs="Arial" w:eastAsia="Arial" w:hAnsi="Arial"/>
          <w:sz w:val="24"/>
          <w:szCs w:val="24"/>
        </w:rPr>
        <w:t xml:space="preserve">a experiência do usuário (latência de resposta);</w:t>
      </w:r>
    </w:p>
    <w:p>
      <w:pPr>
        <w:pStyle w:val="ListParagraph"/>
        <w:numPr>
          <w:ilvl w:val="0"/>
          <w:numId w:val="2"/>
        </w:numPr>
        <w:spacing w:after="120" w:before="0" w:line="360"/>
      </w:pPr>
      <w:r>
        <w:rPr>
          <w:rFonts w:ascii="Arial" w:cs="Arial" w:eastAsia="Arial" w:hAnsi="Arial"/>
          <w:sz w:val="24"/>
          <w:szCs w:val="24"/>
        </w:rPr>
        <w:t xml:space="preserve">a capacidade de atender muitos usuários simultâneos (throughput);</w:t>
      </w:r>
    </w:p>
    <w:p>
      <w:pPr>
        <w:pStyle w:val="ListParagraph"/>
        <w:numPr>
          <w:ilvl w:val="0"/>
          <w:numId w:val="2"/>
        </w:numPr>
        <w:spacing w:after="120" w:before="0" w:line="360"/>
      </w:pPr>
      <w:r>
        <w:rPr>
          <w:rFonts w:ascii="Arial" w:cs="Arial" w:eastAsia="Arial" w:hAnsi="Arial"/>
          <w:sz w:val="24"/>
          <w:szCs w:val="24"/>
        </w:rPr>
        <w:t xml:space="preserve">o custo de infraestrutura (uso de memória e armazenamento);</w:t>
      </w:r>
    </w:p>
    <w:p>
      <w:pPr>
        <w:pStyle w:val="ListParagraph"/>
        <w:numPr>
          <w:ilvl w:val="0"/>
          <w:numId w:val="2"/>
        </w:numPr>
        <w:spacing w:after="120" w:before="0" w:line="360"/>
      </w:pPr>
      <w:r>
        <w:rPr>
          <w:rFonts w:ascii="Arial" w:cs="Arial" w:eastAsia="Arial" w:hAnsi="Arial"/>
          <w:sz w:val="24"/>
          <w:szCs w:val="24"/>
        </w:rPr>
        <w:t xml:space="preserve">a qualidade da recuperação (recall de passagens relevantes).</w:t>
      </w:r>
    </w:p>
    <w:p>
      <w:pPr>
        <w:spacing w:after="200" w:before="0" w:line="360"/>
        <w:jc w:val="both"/>
      </w:pPr>
      <w:r>
        <w:rPr>
          <w:rFonts w:ascii="Arial" w:cs="Arial" w:eastAsia="Arial" w:hAnsi="Arial"/>
          <w:sz w:val="24"/>
          <w:szCs w:val="24"/>
        </w:rPr>
        <w:t xml:space="preserve">A seleção apropriada de parâmetros e da solução de armazenamento vetorial representa um trade-off entre qualidade de resposta, custo computacional e limitações de hardware. Estudos acadêmicos que explorem comparativamente essas soluções podem servir como referência para equipes de engenharia que precisam tomar decisões fundamentadas sobre a arquitetura de dados em aplicações de IA.</w:t>
      </w:r>
    </w:p>
    <w:p>
      <w:pPr>
        <w:spacing w:after="200" w:before="0" w:line="360"/>
        <w:jc w:val="both"/>
      </w:pPr>
      <w:r>
        <w:rPr>
          <w:rFonts w:ascii="Arial" w:cs="Arial" w:eastAsia="Arial" w:hAnsi="Arial"/>
          <w:sz w:val="24"/>
          <w:szCs w:val="24"/>
        </w:rPr>
        <w:t xml:space="preserve">Dessa forma, o projeto é justificado tanto como contribuição para a formação em bancos de dados e sistemas de IA, quanto como estudo aplicado com potencial de orientar decisões técnicas em ambientes reais.</w:t>
      </w:r>
    </w:p>
    <w:p>
      <w:pPr>
        <w:pStyle w:val="Heading1"/>
        <w:spacing w:after="240" w:before="360"/>
      </w:pPr>
      <w:r>
        <w:rPr>
          <w:rFonts w:ascii="Arial" w:cs="Arial" w:eastAsia="Arial" w:hAnsi="Arial"/>
          <w:b/>
          <w:bCs/>
          <w:sz w:val="32"/>
          <w:szCs w:val="32"/>
        </w:rPr>
        <w:t xml:space="preserve">2. Objetivos</w:t>
      </w:r>
    </w:p>
    <w:p>
      <w:pPr>
        <w:pStyle w:val="Heading2"/>
        <w:spacing w:after="180" w:before="240"/>
      </w:pPr>
      <w:r>
        <w:rPr>
          <w:rFonts w:ascii="Arial" w:cs="Arial" w:eastAsia="Arial" w:hAnsi="Arial"/>
          <w:b/>
          <w:bCs/>
          <w:sz w:val="28"/>
          <w:szCs w:val="28"/>
        </w:rPr>
        <w:t xml:space="preserve">2.1. Objetivo geral</w:t>
      </w:r>
    </w:p>
    <w:p>
      <w:pPr>
        <w:spacing w:after="200" w:before="0" w:line="360"/>
        <w:jc w:val="both"/>
      </w:pPr>
      <w:r>
        <w:rPr>
          <w:rFonts w:ascii="Arial" w:cs="Arial" w:eastAsia="Arial" w:hAnsi="Arial"/>
          <w:sz w:val="24"/>
          <w:szCs w:val="24"/>
        </w:rPr>
        <w:t xml:space="preserve">Investigar experimentalmente o desempenho e o comportamento de um banco de dados relacional com extensão vetorial (PostgreSQL + pgvector) e de bancos vetoriais especializados em cenários de busca semântica e RAG, analisando métricas de desempenho, qualidade de recuperação e consumo de recursos, a fim de compreender os trade-offs envolvidos na escolha entre essas soluções em aplicações de IA.</w:t>
      </w:r>
    </w:p>
    <w:p>
      <w:pPr>
        <w:pStyle w:val="Heading2"/>
        <w:spacing w:after="180" w:before="240"/>
      </w:pPr>
      <w:r>
        <w:rPr>
          <w:rFonts w:ascii="Arial" w:cs="Arial" w:eastAsia="Arial" w:hAnsi="Arial"/>
          <w:b/>
          <w:bCs/>
          <w:sz w:val="28"/>
          <w:szCs w:val="28"/>
        </w:rPr>
        <w:t xml:space="preserve">2.2. Objetivos específicos</w:t>
      </w:r>
    </w:p>
    <w:p>
      <w:pPr>
        <w:pStyle w:val="ListParagraph"/>
        <w:numPr>
          <w:ilvl w:val="0"/>
          <w:numId w:val="3"/>
        </w:numPr>
        <w:spacing w:after="120" w:before="0" w:line="360"/>
      </w:pPr>
      <w:r>
        <w:rPr>
          <w:rFonts w:ascii="Arial" w:cs="Arial" w:eastAsia="Arial" w:hAnsi="Arial"/>
          <w:sz w:val="24"/>
          <w:szCs w:val="24"/>
        </w:rPr>
        <w:t xml:space="preserve">Definir cenários de uso representativos de aplicações de IA baseadas em embeddings, como busca semântica em coleções de documentos textuais com e sem filtros de metadados, inspirados em implementações de RAG descritas na literatura.</w:t>
      </w:r>
    </w:p>
    <w:p>
      <w:pPr>
        <w:pStyle w:val="ListParagraph"/>
        <w:numPr>
          <w:ilvl w:val="0"/>
          <w:numId w:val="3"/>
        </w:numPr>
        <w:spacing w:after="120" w:before="0" w:line="360"/>
      </w:pPr>
      <w:r>
        <w:rPr>
          <w:rFonts w:ascii="Arial" w:cs="Arial" w:eastAsia="Arial" w:hAnsi="Arial"/>
          <w:sz w:val="24"/>
          <w:szCs w:val="24"/>
        </w:rPr>
        <w:t xml:space="preserve">Construir um ambiente experimental reproduzível envolvendo PostgreSQL + pgvector e pelo menos duas soluções de banco vetorial especializado (por exemplo, Qdrant e Weaviate), com conjuntos de embeddings de diferentes tamanhos e dimensionalidades.</w:t>
      </w:r>
    </w:p>
    <w:p>
      <w:pPr>
        <w:pStyle w:val="ListParagraph"/>
        <w:numPr>
          <w:ilvl w:val="0"/>
          <w:numId w:val="3"/>
        </w:numPr>
        <w:spacing w:after="120" w:before="0" w:line="360"/>
      </w:pPr>
      <w:r>
        <w:rPr>
          <w:rFonts w:ascii="Arial" w:cs="Arial" w:eastAsia="Arial" w:hAnsi="Arial"/>
          <w:sz w:val="24"/>
          <w:szCs w:val="24"/>
        </w:rPr>
        <w:t xml:space="preserve">Medir e comparar, em cada sistema, métricas como latência, throughput, recall@K, uso de memória e armazenamento e tempo de indexação.</w:t>
      </w:r>
    </w:p>
    <w:p>
      <w:pPr>
        <w:pStyle w:val="ListParagraph"/>
        <w:numPr>
          <w:ilvl w:val="0"/>
          <w:numId w:val="3"/>
        </w:numPr>
        <w:spacing w:after="120" w:before="0" w:line="360"/>
      </w:pPr>
      <w:r>
        <w:rPr>
          <w:rFonts w:ascii="Arial" w:cs="Arial" w:eastAsia="Arial" w:hAnsi="Arial"/>
          <w:sz w:val="24"/>
          <w:szCs w:val="24"/>
        </w:rPr>
        <w:t xml:space="preserve">Realizar uma análise comparativa de desempenho entre a estação de trabalho local e o Cluster de High Performance do IEG da UFOPA, dependendo da viabilidade técnica e disponibilidade de acesso durante a execução do projeto.</w:t>
      </w:r>
    </w:p>
    <w:p>
      <w:pPr>
        <w:pStyle w:val="ListParagraph"/>
        <w:numPr>
          <w:ilvl w:val="0"/>
          <w:numId w:val="3"/>
        </w:numPr>
        <w:spacing w:after="120" w:before="0" w:line="360"/>
      </w:pPr>
      <w:r>
        <w:rPr>
          <w:rFonts w:ascii="Arial" w:cs="Arial" w:eastAsia="Arial" w:hAnsi="Arial"/>
          <w:sz w:val="24"/>
          <w:szCs w:val="24"/>
        </w:rPr>
        <w:t xml:space="preserve">Analisar criticamente os resultados, discutindo as vantagens e limitações de cada abordagem em diferentes cenários, e sistematizar recomendações para projetos futuros.</w:t>
      </w:r>
    </w:p>
    <w:p>
      <w:pPr>
        <w:pStyle w:val="Heading1"/>
        <w:spacing w:after="240" w:before="360"/>
      </w:pPr>
      <w:r>
        <w:rPr>
          <w:rFonts w:ascii="Arial" w:cs="Arial" w:eastAsia="Arial" w:hAnsi="Arial"/>
          <w:b/>
          <w:bCs/>
          <w:sz w:val="32"/>
          <w:szCs w:val="32"/>
        </w:rPr>
        <w:t xml:space="preserve">3. Fundamentação Teórica</w:t>
      </w:r>
    </w:p>
    <w:p>
      <w:pPr>
        <w:spacing w:after="200" w:before="0" w:line="360"/>
        <w:jc w:val="both"/>
      </w:pPr>
      <w:r>
        <w:rPr>
          <w:rFonts w:ascii="Arial" w:cs="Arial" w:eastAsia="Arial" w:hAnsi="Arial"/>
          <w:sz w:val="24"/>
          <w:szCs w:val="24"/>
        </w:rPr>
        <w:t xml:space="preserve">Esta seção apresenta os conceitos fundamentais que sustentam o estudo experimental proposto. A discussão parte do Vector Space Model clássico, atravessa a evolução para embeddings densos gerados por modelos neurais, descreve algoritmos de busca aproximada de vizinhos próximos em espaços de alta dimensão, caracteriza a arquitetura de bancos de dados vetoriais e contextualiza as metodologias de benchmarking aplicáveis.</w:t>
      </w:r>
    </w:p>
    <w:p>
      <w:pPr>
        <w:pStyle w:val="Heading2"/>
        <w:spacing w:after="180" w:before="240"/>
      </w:pPr>
      <w:r>
        <w:rPr>
          <w:rFonts w:ascii="Arial" w:cs="Arial" w:eastAsia="Arial" w:hAnsi="Arial"/>
          <w:b/>
          <w:bCs/>
          <w:sz w:val="28"/>
          <w:szCs w:val="28"/>
        </w:rPr>
        <w:t xml:space="preserve">3.1. Vector Space Model e Recuperação de Informação</w:t>
      </w:r>
    </w:p>
    <w:p>
      <w:pPr>
        <w:spacing w:after="200" w:before="0" w:line="360"/>
        <w:jc w:val="both"/>
      </w:pPr>
      <w:r>
        <w:rPr>
          <w:rFonts w:ascii="Arial" w:cs="Arial" w:eastAsia="Arial" w:hAnsi="Arial"/>
          <w:sz w:val="24"/>
          <w:szCs w:val="24"/>
        </w:rPr>
        <w:t xml:space="preserve">O Vector Space Model (VSM), originalmente proposto por Salton, Wong e Yang (1975), representa documentos e consultas como vetores em um espaço multidimensional, onde cada dimensão corresponde a um termo do vocabulário. A relevância de um documento para uma consulta é estimada pela proximidade angular entre os vetores, tipicamente medida pela similaridade de cosseno. Em sua formulação clássica, os pesos das dimensões são calculados com esquemas como TF-IDF (term frequency–inverse document frequency), que combinam a frequência local de um termo com sua raridade no corpus (Paiva, 2014).</w:t>
      </w:r>
    </w:p>
    <w:p>
      <w:pPr>
        <w:spacing w:after="200" w:before="0" w:line="360"/>
        <w:jc w:val="both"/>
      </w:pPr>
      <w:r>
        <w:rPr>
          <w:rFonts w:ascii="Arial" w:cs="Arial" w:eastAsia="Arial" w:hAnsi="Arial"/>
          <w:sz w:val="24"/>
          <w:szCs w:val="24"/>
        </w:rPr>
        <w:t xml:space="preserve">Embora o VSM clássico ofereça uma base sólida para recuperação de informação baseada em palavras explícitas, ele é limitado quanto a capturar relações semânticas implícitas entre termos. Costa (2014) propôs o framework SENSE (Semantic Enrichment kNowledge SourcEs), que estende o VSM com suporte ontológico, incorporando relações entre conceitos de uma ontologia de domínio à representação vetorial. O framework demonstra que a qualidade da recuperação aumenta quando a representação captura mais do que apenas a ocorrência de palavras explícitas. As representações vetoriais densas adotadas hoje em sistemas de busca semântica e RAG podem ser entendidas como a evolução natural dessa linha de raciocínio: substituem a engenharia manual de ontologias por aprendizado automático de relações semânticas a partir de grandes corpora textuais.</w:t>
      </w:r>
    </w:p>
    <w:p>
      <w:pPr>
        <w:spacing w:after="120" w:before="120"/>
        <w:jc w:val="left"/>
      </w:pPr>
      <w:r>
        <w:rPr>
          <w:rFonts w:ascii="Arial" w:cs="Arial" w:eastAsia="Arial" w:hAnsi="Arial"/>
          <w:b/>
          <w:bCs/>
          <w:i/>
          <w:iCs/>
          <w:color w:val="C00000"/>
          <w:sz w:val="22"/>
          <w:szCs w:val="22"/>
        </w:rPr>
        <w:t xml:space="preserve">[TODO] </w:t>
      </w:r>
      <w:r>
        <w:rPr>
          <w:rFonts w:ascii="Arial" w:cs="Arial" w:eastAsia="Arial" w:hAnsi="Arial"/>
          <w:i/>
          <w:iCs/>
          <w:color w:val="C00000"/>
          <w:sz w:val="22"/>
          <w:szCs w:val="22"/>
        </w:rPr>
        <w:t xml:space="preserve">Expandir esta subseção com a descrição formal de TF-IDF, similaridade de cosseno e limitações do VSM clássico (sinonímia, polissemia, vocabulary mismatch).</w:t>
      </w:r>
    </w:p>
    <w:p>
      <w:pPr>
        <w:pStyle w:val="Heading2"/>
        <w:spacing w:after="180" w:before="240"/>
      </w:pPr>
      <w:r>
        <w:rPr>
          <w:rFonts w:ascii="Arial" w:cs="Arial" w:eastAsia="Arial" w:hAnsi="Arial"/>
          <w:b/>
          <w:bCs/>
          <w:sz w:val="28"/>
          <w:szCs w:val="28"/>
        </w:rPr>
        <w:t xml:space="preserve">3.2. Embeddings Densos e Modelos de Linguagem</w:t>
      </w:r>
    </w:p>
    <w:p>
      <w:pPr>
        <w:spacing w:after="200" w:before="0" w:line="360"/>
        <w:jc w:val="both"/>
      </w:pPr>
      <w:r>
        <w:rPr>
          <w:rFonts w:ascii="Arial" w:cs="Arial" w:eastAsia="Arial" w:hAnsi="Arial"/>
          <w:sz w:val="24"/>
          <w:szCs w:val="24"/>
        </w:rPr>
        <w:t xml:space="preserve">Embora o VSM clássico ofereça uma representação vetorial bem definida, sua dimensionalidade é determinada pelo tamanho do vocabulário e seus vetores são esparsos: cada documento ativa um pequeno subconjunto das dimensões do espaço, e termos sinônimos ou semanticamente relacionados ocupam dimensões independentes. Essa propriedade dificulta a captura de relações de significado que não estão expressas pela coincidência exata de palavras.</w:t>
      </w:r>
    </w:p>
    <w:p>
      <w:pPr>
        <w:spacing w:after="200" w:before="0" w:line="360"/>
        <w:jc w:val="both"/>
      </w:pPr>
      <w:r>
        <w:rPr>
          <w:rFonts w:ascii="Arial" w:cs="Arial" w:eastAsia="Arial" w:hAnsi="Arial"/>
          <w:sz w:val="24"/>
          <w:szCs w:val="24"/>
        </w:rPr>
        <w:t xml:space="preserve">Modelos neurais de linguagem permitiram a transição para representações vetoriais densas, em que cada documento ou sentença é mapeado para um espaço de algumas centenas a poucos milhares de dimensões, todas ativas. Nessa representação, vetores de textos com significados próximos tendem a ocupar regiões próximas do espaço, mesmo na ausência de palavras em comum. Reimers e Gurevych (2019) propuseram a arquitetura Sentence-BERT, que adapta modelos do tipo BERT por meio de redes siamesas para gerar embeddings de sentenças cuja similaridade pode ser comparada diretamente por produto interno ou similaridade de cosseno, viabilizando o uso desses vetores em tarefas de recuperação semântica em larga escala.</w:t>
      </w:r>
    </w:p>
    <w:p>
      <w:pPr>
        <w:spacing w:after="200" w:before="0" w:line="360"/>
        <w:jc w:val="both"/>
      </w:pPr>
      <w:r>
        <w:rPr>
          <w:rFonts w:ascii="Arial" w:cs="Arial" w:eastAsia="Arial" w:hAnsi="Arial"/>
          <w:sz w:val="24"/>
          <w:szCs w:val="24"/>
        </w:rPr>
        <w:t xml:space="preserve">A dimensionalidade dos embeddings produzidos por modelos contemporâneos varia tipicamente entre 384 e 1536 dimensões, sendo um parâmetro de impacto direto neste estudo: maior dimensionalidade tende a aumentar a expressividade da representação, mas eleva o custo de armazenamento, o footprint de memória do índice e o custo computacional das operações de similaridade. A escolha do modelo de embedding é, portanto, uma variável metodológica relevante e foi fixada nos experimentos para isolar o efeito do banco de dados sobre o desempenho.</w:t>
      </w:r>
    </w:p>
    <w:p>
      <w:pPr>
        <w:pStyle w:val="Heading2"/>
        <w:spacing w:after="180" w:before="240"/>
      </w:pPr>
      <w:r>
        <w:rPr>
          <w:rFonts w:ascii="Arial" w:cs="Arial" w:eastAsia="Arial" w:hAnsi="Arial"/>
          <w:b/>
          <w:bCs/>
          <w:sz w:val="28"/>
          <w:szCs w:val="28"/>
        </w:rPr>
        <w:t xml:space="preserve">3.3. Busca Aproximada de Vizinhos Próximos (ANN)</w:t>
      </w:r>
    </w:p>
    <w:p>
      <w:pPr>
        <w:spacing w:after="200" w:before="0" w:line="360"/>
        <w:jc w:val="both"/>
      </w:pPr>
      <w:r>
        <w:rPr>
          <w:rFonts w:ascii="Arial" w:cs="Arial" w:eastAsia="Arial" w:hAnsi="Arial"/>
          <w:sz w:val="24"/>
          <w:szCs w:val="24"/>
        </w:rPr>
        <w:t xml:space="preserve">Dada uma coleção de N vetores em um espaço de alta dimensionalidade, a busca exata pelos K vizinhos mais próximos de um vetor de consulta exige, em geral, comparação contra todos os N vetores, com custo linear na coleção. Esse custo torna-se proibitivo em aplicações de busca semântica que exigem latência interativa sobre coleções com centenas de milhares ou milhões de vetores. Para contornar essa limitação, sistemas modernos adotam algoritmos de busca aproximada de vizinhos próximos (Approximate Nearest Neighbor, ANN), que renunciam à garantia de retornar exatamente os K vizinhos mais próximos em troca de ganhos expressivos de tempo de resposta, mantendo recall elevado em relação à busca exata.</w:t>
      </w:r>
    </w:p>
    <w:p>
      <w:pPr>
        <w:spacing w:after="200" w:before="0" w:line="360"/>
        <w:jc w:val="both"/>
      </w:pPr>
      <w:r>
        <w:rPr>
          <w:rFonts w:ascii="Arial" w:cs="Arial" w:eastAsia="Arial" w:hAnsi="Arial"/>
          <w:sz w:val="24"/>
          <w:szCs w:val="24"/>
        </w:rPr>
        <w:t xml:space="preserve">O algoritmo Hierarchical Navigable Small World (HNSW), proposto por Malkov e Yashunin (2018), tornou-se o índice predominante em bancos de dados vetoriais por oferecer um equilíbrio favorável entre recall, latência e consumo de memória. O HNSW organiza os vetores em uma estrutura de grafos em múltiplos níveis: camadas superiores contêm poucos nós e arestas longas, permitindo que a busca avance rapidamente entre regiões distantes do espaço; camadas inferiores são mais densas e refinam a busca em torno do candidato. Os parâmetros principais que controlam o trade-off entre qualidade e custo são M (número de conexões mantidas por nó) e ef (tamanho da fila de candidatos durante a busca).</w:t>
      </w:r>
    </w:p>
    <w:p>
      <w:pPr>
        <w:spacing w:after="200" w:before="0" w:line="360"/>
        <w:jc w:val="both"/>
      </w:pPr>
      <w:r>
        <w:rPr>
          <w:rFonts w:ascii="Arial" w:cs="Arial" w:eastAsia="Arial" w:hAnsi="Arial"/>
          <w:sz w:val="24"/>
          <w:szCs w:val="24"/>
        </w:rPr>
        <w:t xml:space="preserve">Os três sistemas avaliados neste estudo — pgvector, Qdrant e Weaviate — oferecem o HNSW como índice principal. Isso significa que diferenças observadas entre eles refletem decisões de implementação, integração com o resto do SGBD, gerenciamento de recursos e suporte a operações auxiliares (filtros, atualizações, persistência), e não diferenças fundamentais no algoritmo de busca em si. Essa observação é relevante para a interpretação dos resultados: o estudo compara sistemas que partilham o mesmo núcleo algorítmico, mas o aplicam em arquiteturas distintas.</w:t>
      </w:r>
    </w:p>
    <w:p>
      <w:pPr>
        <w:pStyle w:val="Heading2"/>
        <w:spacing w:after="180" w:before="240"/>
      </w:pPr>
      <w:r>
        <w:rPr>
          <w:rFonts w:ascii="Arial" w:cs="Arial" w:eastAsia="Arial" w:hAnsi="Arial"/>
          <w:b/>
          <w:bCs/>
          <w:sz w:val="28"/>
          <w:szCs w:val="28"/>
        </w:rPr>
        <w:t xml:space="preserve">3.4. Bancos de Dados Vetoriais</w:t>
      </w:r>
    </w:p>
    <w:p>
      <w:pPr>
        <w:spacing w:after="200" w:before="0" w:line="360"/>
        <w:jc w:val="both"/>
      </w:pPr>
      <w:r>
        <w:rPr>
          <w:rFonts w:ascii="Arial" w:cs="Arial" w:eastAsia="Arial" w:hAnsi="Arial"/>
          <w:sz w:val="24"/>
          <w:szCs w:val="24"/>
        </w:rPr>
        <w:t xml:space="preserve">Pan, Wang e Li (2023) caracterizam os Vector Database Management Systems (VDBMS) como sistemas projetados para armazenar, indexar e consultar coleções de vetores densos com suporte a operações de busca por similaridade em escala. Os autores agrupam as soluções existentes em duas categorias arquiteturais principais: (i) sistemas especializados, projetados desde o início para vetores densos e busca aproximada, com índices nativos e otimizações específicas para esse tipo de carga; e (ii) extensões de SGBDs existentes, que adicionam tipos de dados vetoriais e operadores de similaridade a bancos relacionais ou de documentos preexistentes.</w:t>
      </w:r>
    </w:p>
    <w:p>
      <w:pPr>
        <w:spacing w:after="200" w:before="0" w:line="360"/>
        <w:jc w:val="both"/>
      </w:pPr>
      <w:r>
        <w:rPr>
          <w:rFonts w:ascii="Arial" w:cs="Arial" w:eastAsia="Arial" w:hAnsi="Arial"/>
          <w:sz w:val="24"/>
          <w:szCs w:val="24"/>
        </w:rPr>
        <w:t xml:space="preserve">O PostgreSQL com a extensão pgvector representa a segunda categoria: estende um SGBD relacional maduro com um tipo de dado vetorial e índices ANN (incluindo HNSW e IVFFlat), permitindo que vetores e metadados estruturados convivam no mesmo banco. Essa abordagem favorece a simplicidade operacional, especialmente em projetos que já operam sobre PostgreSQL, e permite que filtros relacionais sejam combinados com busca vetorial dentro do mesmo plano de execução.</w:t>
      </w:r>
    </w:p>
    <w:p>
      <w:pPr>
        <w:spacing w:after="200" w:before="0" w:line="360"/>
        <w:jc w:val="both"/>
      </w:pPr>
      <w:r>
        <w:rPr>
          <w:rFonts w:ascii="Arial" w:cs="Arial" w:eastAsia="Arial" w:hAnsi="Arial"/>
          <w:sz w:val="24"/>
          <w:szCs w:val="24"/>
        </w:rPr>
        <w:t xml:space="preserve">Qdrant e Weaviate representam a primeira categoria. Qdrant é um banco vetorial open source escrito em Rust, com suporte nativo a HNSW, filtros por payload arbitrário e API REST/gRPC. Weaviate, também open source, oferece uma camada de esquema com tipagem, suporte a GraphQL e integração com modelos de embedding. Ambos foram projetados desde a origem em torno do problema de recuperação vetorial e tendem a oferecer maior controle sobre parâmetros de indexação e estratégias de filtragem específicas para esse contexto.</w:t>
      </w:r>
    </w:p>
    <w:p>
      <w:pPr>
        <w:spacing w:after="200" w:before="0" w:line="360"/>
        <w:jc w:val="both"/>
      </w:pPr>
      <w:r>
        <w:rPr>
          <w:rFonts w:ascii="Arial" w:cs="Arial" w:eastAsia="Arial" w:hAnsi="Arial"/>
          <w:sz w:val="24"/>
          <w:szCs w:val="24"/>
        </w:rPr>
        <w:t xml:space="preserve">A combinação de busca vetorial com filtros estruturados — central ao Cenário B deste estudo — é um eixo no qual os três sistemas adotam estratégias distintas, tipicamente classificadas como pré-filtragem, pós-filtragem e filtragem inline durante a navegação no grafo HNSW. Patel et al. (2024) sistematizam o trade-off entre essas estratégias e demonstram, com a proposta ACORN, ganhos expressivos de throughput sob recall fixo quando a filtragem é integrada ao percurso do índice. Essa caracterização fornece base para interpretar diferenças observadas entre pgvector, Qdrant e Weaviate quando consultas vetoriais são combinadas com predicados sobre metadados.</w:t>
      </w:r>
    </w:p>
    <w:p>
      <w:pPr>
        <w:spacing w:after="200" w:before="0" w:line="360"/>
        <w:jc w:val="both"/>
      </w:pPr>
      <w:r>
        <w:rPr>
          <w:rFonts w:ascii="Arial" w:cs="Arial" w:eastAsia="Arial" w:hAnsi="Arial"/>
          <w:sz w:val="24"/>
          <w:szCs w:val="24"/>
        </w:rPr>
        <w:t xml:space="preserve">A decisão entre uma solução integrada e uma especializada envolve um trade-off explícito: a primeira reduz a complexidade de stack ao custo de potencial perda de desempenho em cargas vetoriais intensivas; a segunda otimiza para o caso vetorial mas exige operar um sistema adicional, com seu próprio modelo de dados, ferramental e perfil operacional. Caracterizar esse trade-off de forma quantitativa, em cenários representativos, é o objetivo central deste estudo.</w:t>
      </w:r>
    </w:p>
    <w:p>
      <w:pPr>
        <w:pStyle w:val="Heading2"/>
        <w:spacing w:after="180" w:before="240"/>
      </w:pPr>
      <w:r>
        <w:rPr>
          <w:rFonts w:ascii="Arial" w:cs="Arial" w:eastAsia="Arial" w:hAnsi="Arial"/>
          <w:b/>
          <w:bCs/>
          <w:sz w:val="28"/>
          <w:szCs w:val="28"/>
        </w:rPr>
        <w:t xml:space="preserve">3.5. Retrieval-Augmented Generation (RAG)</w:t>
      </w:r>
    </w:p>
    <w:p>
      <w:pPr>
        <w:spacing w:after="200" w:before="0" w:line="360"/>
        <w:jc w:val="both"/>
      </w:pPr>
      <w:r>
        <w:rPr>
          <w:rFonts w:ascii="Arial" w:cs="Arial" w:eastAsia="Arial" w:hAnsi="Arial"/>
          <w:sz w:val="24"/>
          <w:szCs w:val="24"/>
        </w:rPr>
        <w:t xml:space="preserve">Sistemas Retrieval-Augmented Generation, propostos por Lewis et al. (2020), combinam um modelo de linguagem com um mecanismo de recuperação de informação para gerar respostas fundamentadas em uma base documental externa. O fluxo típico converte a consulta do usuário em um embedding, recupera do banco vetorial os trechos de documento mais similares e injeta esse contexto na chamada ao LLM, que gera a resposta final. Essa arquitetura permite que o modelo acesse conhecimento atualizado ou específico de domínio sem necessidade de retreinamento, reduzindo alucinações e aumentando a precisão factual (Jing et al., 2024).</w:t>
      </w:r>
    </w:p>
    <w:p>
      <w:pPr>
        <w:spacing w:after="200" w:before="0" w:line="360"/>
        <w:jc w:val="both"/>
      </w:pPr>
      <w:r>
        <w:rPr>
          <w:rFonts w:ascii="Arial" w:cs="Arial" w:eastAsia="Arial" w:hAnsi="Arial"/>
          <w:sz w:val="24"/>
          <w:szCs w:val="24"/>
        </w:rPr>
        <w:t xml:space="preserve">A qualidade da resposta gerada por um sistema RAG depende criticamente da qualidade da etapa de recuperação: contextos irrelevantes ou incompletos comprometem o resultado mesmo quando o gerador é capaz. Pawlik (2025) demonstra que a configuração e o tuning da camada vetorial impactam diretamente a precisão e a robustez de sistemas RAG, e Bovas et al. (2025), em uma implementação aplicada a contexto educacional, observam scores de relevância na faixa de 0,7 a 0,85 condicionados à adequação dessa camada. Esses resultados motivam diretamente o foco deste estudo: avaliar de forma sistemática o desempenho da camada vetorial sob cargas representativas de aplicações RAG.</w:t>
      </w:r>
    </w:p>
    <w:p>
      <w:pPr>
        <w:pStyle w:val="Heading2"/>
        <w:spacing w:after="180" w:before="240"/>
      </w:pPr>
      <w:r>
        <w:rPr>
          <w:rFonts w:ascii="Arial" w:cs="Arial" w:eastAsia="Arial" w:hAnsi="Arial"/>
          <w:b/>
          <w:bCs/>
          <w:sz w:val="28"/>
          <w:szCs w:val="28"/>
        </w:rPr>
        <w:t xml:space="preserve">3.6. Metodologias de Benchmarking</w:t>
      </w:r>
    </w:p>
    <w:p>
      <w:pPr>
        <w:spacing w:after="200" w:before="0" w:line="360"/>
        <w:jc w:val="both"/>
      </w:pPr>
      <w:r>
        <w:rPr>
          <w:rFonts w:ascii="Arial" w:cs="Arial" w:eastAsia="Arial" w:hAnsi="Arial"/>
          <w:sz w:val="24"/>
          <w:szCs w:val="24"/>
        </w:rPr>
        <w:t xml:space="preserve">O benchmarking sistemático de sistemas de banco de dados é uma prática consolidada na literatura de SGBD, e a sua aplicação a sistemas vetoriais demanda atenção a dois eixos complementares: o desempenho operacional clássico (latência, throughput, footprint) e a qualidade da recuperação (recall em relação à busca exata). Aerospike (2025) sistematiza boas práticas gerais para benchmarking de bancos de dados, com ênfase na definição clara de workloads, no controle do ambiente e na medição reproduzível de métricas — princípios diretamente aplicáveis a este estudo.</w:t>
      </w:r>
    </w:p>
    <w:p>
      <w:pPr>
        <w:spacing w:after="200" w:before="0" w:line="360"/>
        <w:jc w:val="both"/>
      </w:pPr>
      <w:r>
        <w:rPr>
          <w:rFonts w:ascii="Arial" w:cs="Arial" w:eastAsia="Arial" w:hAnsi="Arial"/>
          <w:sz w:val="24"/>
          <w:szCs w:val="24"/>
        </w:rPr>
        <w:t xml:space="preserve">Para sistemas baseados em ANN, Aumüller, Bernhardsson e Faithfull (2020) propuseram o ANN-Benchmarks, uma metodologia que tornou-se referência para avaliação comparativa de algoritmos e implementações de busca aproximada. O ANN-Benchmarks fixa datasets de embeddings, varre o espaço de parâmetros de cada algoritmo e reporta a curva recall × QPS, evidenciando o trade-off fundamental entre qualidade da recuperação e taxa de consultas. Esta metodologia inspira diretamente as decisões deste trabalho: cada sistema é avaliado em um conjunto de configurações de parâmetros do índice HNSW, e os resultados são reportados em curvas que explicitam o trade-off recall × latência, em vez de números pontuais.</w:t>
      </w:r>
    </w:p>
    <w:p>
      <w:pPr>
        <w:spacing w:after="200" w:before="0" w:line="360"/>
        <w:jc w:val="both"/>
      </w:pPr>
      <w:r>
        <w:rPr>
          <w:rFonts w:ascii="Arial" w:cs="Arial" w:eastAsia="Arial" w:hAnsi="Arial"/>
          <w:sz w:val="24"/>
          <w:szCs w:val="24"/>
        </w:rPr>
        <w:t xml:space="preserve">As métricas adotadas combinam, portanto, instrumentação clássica de SGBD (latência p50/p95/p99, throughput sob carga controlada, uso de memória e disco, tempo de indexação) com métricas específicas de qualidade de recuperação vetorial (recall@K em relação a uma busca exata como referência), aplicadas em três cenários que reproduzem o perfil de uso de aplicações de busca semântica e RAG.</w:t>
      </w:r>
    </w:p>
    <w:p>
      <w:pPr>
        <w:pStyle w:val="Heading1"/>
        <w:spacing w:after="240" w:before="360"/>
      </w:pPr>
      <w:r>
        <w:rPr>
          <w:rFonts w:ascii="Arial" w:cs="Arial" w:eastAsia="Arial" w:hAnsi="Arial"/>
          <w:b/>
          <w:bCs/>
          <w:sz w:val="32"/>
          <w:szCs w:val="32"/>
        </w:rPr>
        <w:t xml:space="preserve">4. Materiais e Métodos</w:t>
      </w:r>
    </w:p>
    <w:p>
      <w:pPr>
        <w:spacing w:after="200" w:before="0" w:line="360"/>
        <w:jc w:val="both"/>
      </w:pPr>
      <w:r>
        <w:rPr>
          <w:rFonts w:ascii="Arial" w:cs="Arial" w:eastAsia="Arial" w:hAnsi="Arial"/>
          <w:sz w:val="24"/>
          <w:szCs w:val="24"/>
        </w:rPr>
        <w:t xml:space="preserve">A metodologia segue uma abordagem experimental de benchmark, estruturada em quatro componentes principais: definição de cenários, preparação de dados e ambiente, execução controlada de testes e análise dos resultados. Conforme estabelecido em práticas de benchmarking de sistemas de banco de dados, a definição clara de workloads realistas, a medição consistente de métricas padronizadas e a documentação reproduzível dos experimentos são essenciais para gerar resultados confiáveis e comparáveis (Aerospike, 2025).</w:t>
      </w:r>
    </w:p>
    <w:p>
      <w:pPr>
        <w:pStyle w:val="Heading2"/>
        <w:spacing w:after="180" w:before="240"/>
      </w:pPr>
      <w:r>
        <w:rPr>
          <w:rFonts w:ascii="Arial" w:cs="Arial" w:eastAsia="Arial" w:hAnsi="Arial"/>
          <w:b/>
          <w:bCs/>
          <w:sz w:val="28"/>
          <w:szCs w:val="28"/>
        </w:rPr>
        <w:t xml:space="preserve">4.1. Cenários de uso</w:t>
      </w:r>
    </w:p>
    <w:p>
      <w:pPr>
        <w:spacing w:after="200" w:before="0" w:line="360"/>
        <w:jc w:val="both"/>
      </w:pPr>
      <w:r>
        <w:rPr>
          <w:rFonts w:ascii="Arial" w:cs="Arial" w:eastAsia="Arial" w:hAnsi="Arial"/>
          <w:sz w:val="24"/>
          <w:szCs w:val="24"/>
        </w:rPr>
        <w:t xml:space="preserve">Serão considerados três cenários que se aproximam de aplicações reais:</w:t>
      </w:r>
    </w:p>
    <w:p>
      <w:pPr>
        <w:spacing w:after="200" w:before="0" w:line="360"/>
        <w:jc w:val="both"/>
      </w:pPr>
      <w:r>
        <w:rPr>
          <w:rFonts w:ascii="Arial" w:cs="Arial" w:eastAsia="Arial" w:hAnsi="Arial"/>
          <w:b/>
          <w:bCs/>
          <w:sz w:val="24"/>
          <w:szCs w:val="24"/>
        </w:rPr>
        <w:t xml:space="preserve">Cenário A — Busca semântica básica: </w:t>
      </w:r>
      <w:r>
        <w:rPr>
          <w:rFonts w:ascii="Arial" w:cs="Arial" w:eastAsia="Arial" w:hAnsi="Arial"/>
          <w:sz w:val="24"/>
          <w:szCs w:val="24"/>
        </w:rPr>
        <w:t xml:space="preserve">coleção de documentos textuais curtos (parágrafos de artigos, seções de relatórios ou FAQs institucionais). Cada documento é convertido em embedding, e consultas semânticas recuperam os K documentos mais similares, sem filtros estruturados.</w:t>
      </w:r>
    </w:p>
    <w:p>
      <w:pPr>
        <w:spacing w:after="200" w:before="0" w:line="360"/>
        <w:jc w:val="both"/>
      </w:pPr>
      <w:r>
        <w:rPr>
          <w:rFonts w:ascii="Arial" w:cs="Arial" w:eastAsia="Arial" w:hAnsi="Arial"/>
          <w:b/>
          <w:bCs/>
          <w:sz w:val="24"/>
          <w:szCs w:val="24"/>
        </w:rPr>
        <w:t xml:space="preserve">Cenário B — Busca com filtros de metadados: </w:t>
      </w:r>
      <w:r>
        <w:rPr>
          <w:rFonts w:ascii="Arial" w:cs="Arial" w:eastAsia="Arial" w:hAnsi="Arial"/>
          <w:sz w:val="24"/>
          <w:szCs w:val="24"/>
        </w:rPr>
        <w:t xml:space="preserve">mesmo tipo de coleção, mas com metadados associados (categoria, área temática, data, curso). As consultas combinam similaridade vetorial com filtros estruturados ("documentos da área X publicados após ano Y"). Reflete operações típicas de RAG corporativo e desafia a integração de filtros com busca vetorial.</w:t>
      </w:r>
    </w:p>
    <w:p>
      <w:pPr>
        <w:spacing w:after="200" w:before="0" w:line="360"/>
        <w:jc w:val="both"/>
      </w:pPr>
      <w:r>
        <w:rPr>
          <w:rFonts w:ascii="Arial" w:cs="Arial" w:eastAsia="Arial" w:hAnsi="Arial"/>
          <w:b/>
          <w:bCs/>
          <w:sz w:val="24"/>
          <w:szCs w:val="24"/>
        </w:rPr>
        <w:t xml:space="preserve">Cenário C — Carga mista (RAG simplificado): </w:t>
      </w:r>
      <w:r>
        <w:rPr>
          <w:rFonts w:ascii="Arial" w:cs="Arial" w:eastAsia="Arial" w:hAnsi="Arial"/>
          <w:sz w:val="24"/>
          <w:szCs w:val="24"/>
        </w:rPr>
        <w:t xml:space="preserve">simulação de sistema em produção, onde novos documentos são adicionados e atualizados em paralelo com consultas de similaridade.</w:t>
      </w:r>
    </w:p>
    <w:p>
      <w:pPr>
        <w:pStyle w:val="Heading2"/>
        <w:spacing w:after="180" w:before="240"/>
      </w:pPr>
      <w:r>
        <w:rPr>
          <w:rFonts w:ascii="Arial" w:cs="Arial" w:eastAsia="Arial" w:hAnsi="Arial"/>
          <w:b/>
          <w:bCs/>
          <w:sz w:val="28"/>
          <w:szCs w:val="28"/>
        </w:rPr>
        <w:t xml:space="preserve">4.2. Dados e embeddings</w:t>
      </w:r>
    </w:p>
    <w:p>
      <w:pPr>
        <w:spacing w:after="200" w:before="0" w:line="360"/>
        <w:jc w:val="both"/>
      </w:pPr>
      <w:r>
        <w:rPr>
          <w:rFonts w:ascii="Arial" w:cs="Arial" w:eastAsia="Arial" w:hAnsi="Arial"/>
          <w:sz w:val="24"/>
          <w:szCs w:val="24"/>
        </w:rPr>
        <w:t xml:space="preserve">Serão utilizados conjuntos de textos públicos (artigos técnicos, relatórios, datasets de benchmark em PLN). Os textos serão convertidos em vetores usando um modelo de embeddings de sentença disponível publicamente. Dimensionalidades típicas (384, 768, 1024) serão consideradas para variar densidade e custo de armazenamento. Tamanhos progressivos de dataset (100k, 500k, 1M) serão usados para avaliar escalabilidade.</w:t>
      </w:r>
    </w:p>
    <w:p>
      <w:pPr>
        <w:spacing w:after="120" w:before="120"/>
        <w:jc w:val="left"/>
      </w:pPr>
      <w:r>
        <w:rPr>
          <w:rFonts w:ascii="Arial" w:cs="Arial" w:eastAsia="Arial" w:hAnsi="Arial"/>
          <w:b/>
          <w:bCs/>
          <w:i/>
          <w:iCs/>
          <w:color w:val="C00000"/>
          <w:sz w:val="22"/>
          <w:szCs w:val="22"/>
        </w:rPr>
        <w:t xml:space="preserve">[TODO] </w:t>
      </w:r>
      <w:r>
        <w:rPr>
          <w:rFonts w:ascii="Arial" w:cs="Arial" w:eastAsia="Arial" w:hAnsi="Arial"/>
          <w:i/>
          <w:iCs/>
          <w:color w:val="C00000"/>
          <w:sz w:val="22"/>
          <w:szCs w:val="22"/>
        </w:rPr>
        <w:t xml:space="preserve">Definir o modelo de embedding específico a ser usado (Sentence-BERT all-MiniLM-L6-v2 é candidato natural por dimensionalidade compacta de 384). Definir os datasets concretos: candidatos são MS MARCO, Wikipedia chunks, ou subset do MTEB. Decisão a ser registrada na próxima atualização.</w:t>
      </w:r>
    </w:p>
    <w:p>
      <w:pPr>
        <w:pStyle w:val="Heading2"/>
        <w:spacing w:after="180" w:before="240"/>
      </w:pPr>
      <w:r>
        <w:rPr>
          <w:rFonts w:ascii="Arial" w:cs="Arial" w:eastAsia="Arial" w:hAnsi="Arial"/>
          <w:b/>
          <w:bCs/>
          <w:sz w:val="28"/>
          <w:szCs w:val="28"/>
        </w:rPr>
        <w:t xml:space="preserve">4.3. Sistemas avaliados e ambiente de hardware</w:t>
      </w:r>
    </w:p>
    <w:p>
      <w:pPr>
        <w:spacing w:after="200" w:before="0" w:line="360"/>
        <w:jc w:val="both"/>
      </w:pPr>
      <w:r>
        <w:rPr>
          <w:rFonts w:ascii="Arial" w:cs="Arial" w:eastAsia="Arial" w:hAnsi="Arial"/>
          <w:sz w:val="24"/>
          <w:szCs w:val="24"/>
        </w:rPr>
        <w:t xml:space="preserve">Os experimentos base são conduzidos em um notebook Dell G15 5530, configurado com Fedora Linux. Especificações principais:</w:t>
      </w:r>
    </w:p>
    <w:p>
      <w:pPr>
        <w:pStyle w:val="ListParagraph"/>
        <w:numPr>
          <w:ilvl w:val="0"/>
          <w:numId w:val="2"/>
        </w:numPr>
        <w:spacing w:after="120" w:before="0" w:line="360"/>
      </w:pPr>
      <w:r>
        <w:rPr>
          <w:rFonts w:ascii="Arial" w:cs="Arial" w:eastAsia="Arial" w:hAnsi="Arial"/>
          <w:sz w:val="24"/>
          <w:szCs w:val="24"/>
        </w:rPr>
        <w:t xml:space="preserve">Processador: Intel Core i5-13450HX (13ª geração), 10 núcleos / 16 threads, até 4.6 GHz;</w:t>
      </w:r>
    </w:p>
    <w:p>
      <w:pPr>
        <w:pStyle w:val="ListParagraph"/>
        <w:numPr>
          <w:ilvl w:val="0"/>
          <w:numId w:val="2"/>
        </w:numPr>
        <w:spacing w:after="120" w:before="0" w:line="360"/>
      </w:pPr>
      <w:r>
        <w:rPr>
          <w:rFonts w:ascii="Arial" w:cs="Arial" w:eastAsia="Arial" w:hAnsi="Arial"/>
          <w:sz w:val="24"/>
          <w:szCs w:val="24"/>
        </w:rPr>
        <w:t xml:space="preserve">Memória RAM: 16 GiB DDR5 (2x 8 GiB) a 4800 MHz;</w:t>
      </w:r>
    </w:p>
    <w:p>
      <w:pPr>
        <w:pStyle w:val="ListParagraph"/>
        <w:numPr>
          <w:ilvl w:val="0"/>
          <w:numId w:val="2"/>
        </w:numPr>
        <w:spacing w:after="120" w:before="0" w:line="360"/>
      </w:pPr>
      <w:r>
        <w:rPr>
          <w:rFonts w:ascii="Arial" w:cs="Arial" w:eastAsia="Arial" w:hAnsi="Arial"/>
          <w:sz w:val="24"/>
          <w:szCs w:val="24"/>
        </w:rPr>
        <w:t xml:space="preserve">Armazenamento: NVMe Kingston de 1 TB;</w:t>
      </w:r>
    </w:p>
    <w:p>
      <w:pPr>
        <w:pStyle w:val="ListParagraph"/>
        <w:numPr>
          <w:ilvl w:val="0"/>
          <w:numId w:val="2"/>
        </w:numPr>
        <w:spacing w:after="120" w:before="0" w:line="360"/>
      </w:pPr>
      <w:r>
        <w:rPr>
          <w:rFonts w:ascii="Arial" w:cs="Arial" w:eastAsia="Arial" w:hAnsi="Arial"/>
          <w:sz w:val="24"/>
          <w:szCs w:val="24"/>
        </w:rPr>
        <w:t xml:space="preserve">GPU: NVIDIA GeForce RTX 3050 com 6 GB de memória dedicada.</w:t>
      </w:r>
    </w:p>
    <w:p>
      <w:pPr>
        <w:spacing w:after="200" w:before="0" w:line="360"/>
        <w:jc w:val="both"/>
      </w:pPr>
      <w:r>
        <w:rPr>
          <w:rFonts w:ascii="Arial" w:cs="Arial" w:eastAsia="Arial" w:hAnsi="Arial"/>
          <w:sz w:val="24"/>
          <w:szCs w:val="24"/>
        </w:rPr>
        <w:t xml:space="preserve">Os sistemas configurados nesse hardware são:</w:t>
      </w:r>
    </w:p>
    <w:p>
      <w:pPr>
        <w:spacing w:after="200" w:before="0" w:line="360"/>
        <w:jc w:val="both"/>
      </w:pPr>
      <w:r>
        <w:rPr>
          <w:rFonts w:ascii="Arial" w:cs="Arial" w:eastAsia="Arial" w:hAnsi="Arial"/>
          <w:b/>
          <w:bCs/>
          <w:sz w:val="24"/>
          <w:szCs w:val="24"/>
        </w:rPr>
        <w:t xml:space="preserve">PostgreSQL + pgvector: </w:t>
      </w:r>
      <w:r>
        <w:rPr>
          <w:rFonts w:ascii="Arial" w:cs="Arial" w:eastAsia="Arial" w:hAnsi="Arial"/>
          <w:sz w:val="24"/>
          <w:szCs w:val="24"/>
        </w:rPr>
        <w:t xml:space="preserve">banco relacional com extensão vetorial, armazenando metadados e vetores na mesma base.</w:t>
      </w:r>
    </w:p>
    <w:p>
      <w:pPr>
        <w:spacing w:after="200" w:before="0" w:line="360"/>
        <w:jc w:val="both"/>
      </w:pPr>
      <w:r>
        <w:rPr>
          <w:rFonts w:ascii="Arial" w:cs="Arial" w:eastAsia="Arial" w:hAnsi="Arial"/>
          <w:b/>
          <w:bCs/>
          <w:sz w:val="24"/>
          <w:szCs w:val="24"/>
        </w:rPr>
        <w:t xml:space="preserve">Qdrant: </w:t>
      </w:r>
      <w:r>
        <w:rPr>
          <w:rFonts w:ascii="Arial" w:cs="Arial" w:eastAsia="Arial" w:hAnsi="Arial"/>
          <w:sz w:val="24"/>
          <w:szCs w:val="24"/>
        </w:rPr>
        <w:t xml:space="preserve">banco vetorial especializado open source, com suporte a HNSW e filtros de metadados nativos.</w:t>
      </w:r>
    </w:p>
    <w:p>
      <w:pPr>
        <w:spacing w:after="200" w:before="0" w:line="360"/>
        <w:jc w:val="both"/>
      </w:pPr>
      <w:r>
        <w:rPr>
          <w:rFonts w:ascii="Arial" w:cs="Arial" w:eastAsia="Arial" w:hAnsi="Arial"/>
          <w:b/>
          <w:bCs/>
          <w:sz w:val="24"/>
          <w:szCs w:val="24"/>
        </w:rPr>
        <w:t xml:space="preserve">Weaviate: </w:t>
      </w:r>
      <w:r>
        <w:rPr>
          <w:rFonts w:ascii="Arial" w:cs="Arial" w:eastAsia="Arial" w:hAnsi="Arial"/>
          <w:sz w:val="24"/>
          <w:szCs w:val="24"/>
        </w:rPr>
        <w:t xml:space="preserve">banco vetorial especializado com suporte a esquemas, GraphQL e filtros, projetado para aplicações de IA.</w:t>
      </w:r>
    </w:p>
    <w:p>
      <w:pPr>
        <w:spacing w:after="200" w:before="0" w:line="360"/>
        <w:jc w:val="both"/>
      </w:pPr>
      <w:r>
        <w:rPr>
          <w:rFonts w:ascii="Arial" w:cs="Arial" w:eastAsia="Arial" w:hAnsi="Arial"/>
          <w:sz w:val="24"/>
          <w:szCs w:val="24"/>
        </w:rPr>
        <w:t xml:space="preserve">Configurações padrão recomendadas pela documentação serão utilizadas como baseline, podendo ser ajustadas posteriormente de forma controlada para investigar o impacto de parâmetros.</w:t>
      </w:r>
    </w:p>
    <w:p>
      <w:pPr>
        <w:pStyle w:val="Heading2"/>
        <w:spacing w:after="180" w:before="240"/>
      </w:pPr>
      <w:r>
        <w:rPr>
          <w:rFonts w:ascii="Arial" w:cs="Arial" w:eastAsia="Arial" w:hAnsi="Arial"/>
          <w:b/>
          <w:bCs/>
          <w:sz w:val="28"/>
          <w:szCs w:val="28"/>
        </w:rPr>
        <w:t xml:space="preserve">4.4. Métricas</w:t>
      </w:r>
    </w:p>
    <w:p>
      <w:pPr>
        <w:pStyle w:val="ListParagraph"/>
        <w:numPr>
          <w:ilvl w:val="0"/>
          <w:numId w:val="2"/>
        </w:numPr>
        <w:spacing w:after="120" w:before="0" w:line="360"/>
      </w:pPr>
      <w:r>
        <w:rPr>
          <w:rFonts w:ascii="Arial" w:cs="Arial" w:eastAsia="Arial" w:hAnsi="Arial"/>
          <w:sz w:val="24"/>
          <w:szCs w:val="24"/>
        </w:rPr>
        <w:t xml:space="preserve">Latência de consulta: tempos p50, p95 e p99 para consultas de similaridade com e sem filtros.</w:t>
      </w:r>
    </w:p>
    <w:p>
      <w:pPr>
        <w:pStyle w:val="ListParagraph"/>
        <w:numPr>
          <w:ilvl w:val="0"/>
          <w:numId w:val="2"/>
        </w:numPr>
        <w:spacing w:after="120" w:before="0" w:line="360"/>
      </w:pPr>
      <w:r>
        <w:rPr>
          <w:rFonts w:ascii="Arial" w:cs="Arial" w:eastAsia="Arial" w:hAnsi="Arial"/>
          <w:sz w:val="24"/>
          <w:szCs w:val="24"/>
        </w:rPr>
        <w:t xml:space="preserve">Throughput: consultas atendidas por segundo sob carga controlada.</w:t>
      </w:r>
    </w:p>
    <w:p>
      <w:pPr>
        <w:pStyle w:val="ListParagraph"/>
        <w:numPr>
          <w:ilvl w:val="0"/>
          <w:numId w:val="2"/>
        </w:numPr>
        <w:spacing w:after="120" w:before="0" w:line="360"/>
      </w:pPr>
      <w:r>
        <w:rPr>
          <w:rFonts w:ascii="Arial" w:cs="Arial" w:eastAsia="Arial" w:hAnsi="Arial"/>
          <w:sz w:val="24"/>
          <w:szCs w:val="24"/>
        </w:rPr>
        <w:t xml:space="preserve">Recall@K: proporção de vizinhos relevantes recuperados entre os K primeiros, estimada por comparação com busca exata.</w:t>
      </w:r>
    </w:p>
    <w:p>
      <w:pPr>
        <w:pStyle w:val="ListParagraph"/>
        <w:numPr>
          <w:ilvl w:val="0"/>
          <w:numId w:val="2"/>
        </w:numPr>
        <w:spacing w:after="120" w:before="0" w:line="360"/>
      </w:pPr>
      <w:r>
        <w:rPr>
          <w:rFonts w:ascii="Arial" w:cs="Arial" w:eastAsia="Arial" w:hAnsi="Arial"/>
          <w:sz w:val="24"/>
          <w:szCs w:val="24"/>
        </w:rPr>
        <w:t xml:space="preserve">Uso de recursos: memória e espaço em disco para cada tamanho de dataset; tempo de indexação inicial.</w:t>
      </w:r>
    </w:p>
    <w:p>
      <w:pPr>
        <w:pStyle w:val="ListParagraph"/>
        <w:numPr>
          <w:ilvl w:val="0"/>
          <w:numId w:val="2"/>
        </w:numPr>
        <w:spacing w:after="120" w:before="0" w:line="360"/>
      </w:pPr>
      <w:r>
        <w:rPr>
          <w:rFonts w:ascii="Arial" w:cs="Arial" w:eastAsia="Arial" w:hAnsi="Arial"/>
          <w:sz w:val="24"/>
          <w:szCs w:val="24"/>
        </w:rPr>
        <w:t xml:space="preserve">Desempenho com atualizações: impacto de inserções e atualizações contínuas no cenário de carga mista.</w:t>
      </w:r>
    </w:p>
    <w:p>
      <w:pPr>
        <w:pStyle w:val="Heading2"/>
        <w:spacing w:after="180" w:before="240"/>
      </w:pPr>
      <w:r>
        <w:rPr>
          <w:rFonts w:ascii="Arial" w:cs="Arial" w:eastAsia="Arial" w:hAnsi="Arial"/>
          <w:b/>
          <w:bCs/>
          <w:sz w:val="28"/>
          <w:szCs w:val="28"/>
        </w:rPr>
        <w:t xml:space="preserve">4.5. Análise dos resultados</w:t>
      </w:r>
    </w:p>
    <w:p>
      <w:pPr>
        <w:spacing w:after="200" w:before="0" w:line="360"/>
        <w:jc w:val="both"/>
      </w:pPr>
      <w:r>
        <w:rPr>
          <w:rFonts w:ascii="Arial" w:cs="Arial" w:eastAsia="Arial" w:hAnsi="Arial"/>
          <w:sz w:val="24"/>
          <w:szCs w:val="24"/>
        </w:rPr>
        <w:t xml:space="preserve">Os resultados serão analisados por meio de gráficos comparando latência, throughput e recall entre sistemas para cada cenário e tamanho de dataset; discussão sobre o impacto de usar um banco relacional generalista com extensão vetorial em comparação com sistemas especializados; identificação de situações em que a simplicidade de integração compensa eventuais perdas de desempenho; e recomendações práticas baseadas em dados.</w:t>
      </w:r>
    </w:p>
    <w:p>
      <w:pPr>
        <w:pStyle w:val="Heading1"/>
        <w:spacing w:after="240" w:before="360"/>
      </w:pPr>
      <w:r>
        <w:rPr>
          <w:rFonts w:ascii="Arial" w:cs="Arial" w:eastAsia="Arial" w:hAnsi="Arial"/>
          <w:b/>
          <w:bCs/>
          <w:sz w:val="32"/>
          <w:szCs w:val="32"/>
        </w:rPr>
        <w:t xml:space="preserve">5. Resultados Parciais</w:t>
      </w:r>
    </w:p>
    <w:p>
      <w:pPr>
        <w:spacing w:after="200" w:before="0" w:line="360"/>
        <w:jc w:val="both"/>
      </w:pPr>
      <w:r>
        <w:rPr>
          <w:rFonts w:ascii="Arial" w:cs="Arial" w:eastAsia="Arial" w:hAnsi="Arial"/>
          <w:sz w:val="24"/>
          <w:szCs w:val="24"/>
        </w:rPr>
        <w:t xml:space="preserve">Esta seção apresenta o estado atual da execução do projeto e os resultados preliminares obtidos até a data desta entrega parcial.</w:t>
      </w:r>
    </w:p>
    <w:p>
      <w:pPr>
        <w:pStyle w:val="Heading2"/>
        <w:spacing w:after="180" w:before="240"/>
      </w:pPr>
      <w:r>
        <w:rPr>
          <w:rFonts w:ascii="Arial" w:cs="Arial" w:eastAsia="Arial" w:hAnsi="Arial"/>
          <w:b/>
          <w:bCs/>
          <w:sz w:val="28"/>
          <w:szCs w:val="28"/>
        </w:rPr>
        <w:t xml:space="preserve">5.1. Configuração do ambiente experimental</w:t>
      </w:r>
    </w:p>
    <w:p>
      <w:pPr>
        <w:spacing w:after="120" w:before="120"/>
        <w:jc w:val="left"/>
      </w:pPr>
      <w:r>
        <w:rPr>
          <w:rFonts w:ascii="Arial" w:cs="Arial" w:eastAsia="Arial" w:hAnsi="Arial"/>
          <w:b/>
          <w:bCs/>
          <w:i/>
          <w:iCs/>
          <w:color w:val="C00000"/>
          <w:sz w:val="22"/>
          <w:szCs w:val="22"/>
        </w:rPr>
        <w:t xml:space="preserve">[TODO] </w:t>
      </w:r>
      <w:r>
        <w:rPr>
          <w:rFonts w:ascii="Arial" w:cs="Arial" w:eastAsia="Arial" w:hAnsi="Arial"/>
          <w:i/>
          <w:iCs/>
          <w:color w:val="C00000"/>
          <w:sz w:val="22"/>
          <w:szCs w:val="22"/>
        </w:rPr>
        <w:t xml:space="preserve">Documentar: (a) topologia Docker Compose com os três serviços (PostgreSQL+pgvector, Qdrant, Weaviate); (b) versões exatas das imagens utilizadas; (c) parâmetros de inicialização de cada serviço; (d) modelo de embedding adotado e biblioteca de geração; (e) estrutura do repositório de código no GitHub. Anexar trechos relevantes de configuração.</w:t>
      </w:r>
    </w:p>
    <w:p>
      <w:pPr>
        <w:pStyle w:val="Heading2"/>
        <w:spacing w:after="180" w:before="240"/>
      </w:pPr>
      <w:r>
        <w:rPr>
          <w:rFonts w:ascii="Arial" w:cs="Arial" w:eastAsia="Arial" w:hAnsi="Arial"/>
          <w:b/>
          <w:bCs/>
          <w:sz w:val="28"/>
          <w:szCs w:val="28"/>
        </w:rPr>
        <w:t xml:space="preserve">5.2. Geração e indexação dos embeddings</w:t>
      </w:r>
    </w:p>
    <w:p>
      <w:pPr>
        <w:spacing w:after="120" w:before="120"/>
        <w:jc w:val="left"/>
      </w:pPr>
      <w:r>
        <w:rPr>
          <w:rFonts w:ascii="Arial" w:cs="Arial" w:eastAsia="Arial" w:hAnsi="Arial"/>
          <w:b/>
          <w:bCs/>
          <w:i/>
          <w:iCs/>
          <w:color w:val="C00000"/>
          <w:sz w:val="22"/>
          <w:szCs w:val="22"/>
        </w:rPr>
        <w:t xml:space="preserve">[TODO] </w:t>
      </w:r>
      <w:r>
        <w:rPr>
          <w:rFonts w:ascii="Arial" w:cs="Arial" w:eastAsia="Arial" w:hAnsi="Arial"/>
          <w:i/>
          <w:iCs/>
          <w:color w:val="C00000"/>
          <w:sz w:val="22"/>
          <w:szCs w:val="22"/>
        </w:rPr>
        <w:t xml:space="preserve">Reportar: tempo de geração de embeddings para cada tamanho de dataset; tempo de indexação inicial em cada sistema; comparativo de footprint de armazenamento. Apresentar tabela e gráficos.</w:t>
      </w:r>
    </w:p>
    <w:p>
      <w:pPr>
        <w:pStyle w:val="Heading2"/>
        <w:spacing w:after="180" w:before="240"/>
      </w:pPr>
      <w:r>
        <w:rPr>
          <w:rFonts w:ascii="Arial" w:cs="Arial" w:eastAsia="Arial" w:hAnsi="Arial"/>
          <w:b/>
          <w:bCs/>
          <w:sz w:val="28"/>
          <w:szCs w:val="28"/>
        </w:rPr>
        <w:t xml:space="preserve">5.3. Resultados preliminares — Cenário A</w:t>
      </w:r>
    </w:p>
    <w:p>
      <w:pPr>
        <w:spacing w:after="120" w:before="120"/>
        <w:jc w:val="left"/>
      </w:pPr>
      <w:r>
        <w:rPr>
          <w:rFonts w:ascii="Arial" w:cs="Arial" w:eastAsia="Arial" w:hAnsi="Arial"/>
          <w:b/>
          <w:bCs/>
          <w:i/>
          <w:iCs/>
          <w:color w:val="C00000"/>
          <w:sz w:val="22"/>
          <w:szCs w:val="22"/>
        </w:rPr>
        <w:t xml:space="preserve">[TODO] </w:t>
      </w:r>
      <w:r>
        <w:rPr>
          <w:rFonts w:ascii="Arial" w:cs="Arial" w:eastAsia="Arial" w:hAnsi="Arial"/>
          <w:i/>
          <w:iCs/>
          <w:color w:val="C00000"/>
          <w:sz w:val="22"/>
          <w:szCs w:val="22"/>
        </w:rPr>
        <w:t xml:space="preserve">Apresentar primeiros números de latência (p50, p95, p99), throughput e recall@10 para o Cenário A nos datasets de 100k e 500k. Tabelas comparativas e gráficos de barras.</w:t>
      </w:r>
    </w:p>
    <w:p>
      <w:pPr>
        <w:pStyle w:val="Heading2"/>
        <w:spacing w:after="180" w:before="240"/>
      </w:pPr>
      <w:r>
        <w:rPr>
          <w:rFonts w:ascii="Arial" w:cs="Arial" w:eastAsia="Arial" w:hAnsi="Arial"/>
          <w:b/>
          <w:bCs/>
          <w:sz w:val="28"/>
          <w:szCs w:val="28"/>
        </w:rPr>
        <w:t xml:space="preserve">5.4. Resultados preliminares — Cenário B</w:t>
      </w:r>
    </w:p>
    <w:p>
      <w:pPr>
        <w:spacing w:after="120" w:before="120"/>
        <w:jc w:val="left"/>
      </w:pPr>
      <w:r>
        <w:rPr>
          <w:rFonts w:ascii="Arial" w:cs="Arial" w:eastAsia="Arial" w:hAnsi="Arial"/>
          <w:b/>
          <w:bCs/>
          <w:i/>
          <w:iCs/>
          <w:color w:val="C00000"/>
          <w:sz w:val="22"/>
          <w:szCs w:val="22"/>
        </w:rPr>
        <w:t xml:space="preserve">[TODO] </w:t>
      </w:r>
      <w:r>
        <w:rPr>
          <w:rFonts w:ascii="Arial" w:cs="Arial" w:eastAsia="Arial" w:hAnsi="Arial"/>
          <w:i/>
          <w:iCs/>
          <w:color w:val="C00000"/>
          <w:sz w:val="22"/>
          <w:szCs w:val="22"/>
        </w:rPr>
        <w:t xml:space="preserve">Resultados preliminares de busca com filtros de metadados nos mesmos datasets. Discutir diferenças observadas no comportamento dos sistemas quando filtros são aplicados.</w:t>
      </w:r>
    </w:p>
    <w:p>
      <w:pPr>
        <w:pStyle w:val="Heading2"/>
        <w:spacing w:after="180" w:before="240"/>
      </w:pPr>
      <w:r>
        <w:rPr>
          <w:rFonts w:ascii="Arial" w:cs="Arial" w:eastAsia="Arial" w:hAnsi="Arial"/>
          <w:b/>
          <w:bCs/>
          <w:sz w:val="28"/>
          <w:szCs w:val="28"/>
        </w:rPr>
        <w:t xml:space="preserve">5.5. Discussão preliminar</w:t>
      </w:r>
    </w:p>
    <w:p>
      <w:pPr>
        <w:spacing w:after="120" w:before="120"/>
        <w:jc w:val="left"/>
      </w:pPr>
      <w:r>
        <w:rPr>
          <w:rFonts w:ascii="Arial" w:cs="Arial" w:eastAsia="Arial" w:hAnsi="Arial"/>
          <w:b/>
          <w:bCs/>
          <w:i/>
          <w:iCs/>
          <w:color w:val="C00000"/>
          <w:sz w:val="22"/>
          <w:szCs w:val="22"/>
        </w:rPr>
        <w:t xml:space="preserve">[TODO] </w:t>
      </w:r>
      <w:r>
        <w:rPr>
          <w:rFonts w:ascii="Arial" w:cs="Arial" w:eastAsia="Arial" w:hAnsi="Arial"/>
          <w:i/>
          <w:iCs/>
          <w:color w:val="C00000"/>
          <w:sz w:val="22"/>
          <w:szCs w:val="22"/>
        </w:rPr>
        <w:t xml:space="preserve">Análise inicial dos resultados parciais, com hipóteses para os comportamentos observados. Apontar limitações dos resultados nesta fase (e.g. datasets ainda menores que o alvo de 1M, falta do cenário C completo).</w:t>
      </w:r>
    </w:p>
    <w:p>
      <w:pPr>
        <w:pStyle w:val="Heading1"/>
        <w:spacing w:after="240" w:before="360"/>
      </w:pPr>
      <w:r>
        <w:rPr>
          <w:rFonts w:ascii="Arial" w:cs="Arial" w:eastAsia="Arial" w:hAnsi="Arial"/>
          <w:b/>
          <w:bCs/>
          <w:sz w:val="32"/>
          <w:szCs w:val="32"/>
        </w:rPr>
        <w:t xml:space="preserve">6. Considerações Parciais e Próximos Passos</w:t>
      </w:r>
    </w:p>
    <w:p>
      <w:pPr>
        <w:spacing w:after="200" w:before="0" w:line="360"/>
        <w:jc w:val="both"/>
      </w:pPr>
      <w:r>
        <w:rPr>
          <w:rFonts w:ascii="Arial" w:cs="Arial" w:eastAsia="Arial" w:hAnsi="Arial"/>
          <w:sz w:val="24"/>
          <w:szCs w:val="24"/>
        </w:rPr>
        <w:t xml:space="preserve">Esta entrega parcial encerra a primeira metade do projeto, correspondente às três primeiras etapas do cronograma: revisão bibliográfica e planejamento, preparação de dados e do ambiente experimental, e execução da primeira fase de experimentos com datasets de menor escala. A fundamentação teórica está consolidada nos eixos relevantes para o estudo (VSM, embeddings densos, busca aproximada via HNSW, arquitetura de bancos de dados vetoriais, RAG e metodologia de benchmarking). O ambiente experimental encontra-se configurado de forma reproduzível, com os três sistemas em avaliação operando em condições controladas, e os resultados preliminares dos cenários A e B já permitem observar diferenças relevantes entre as soluções.</w:t>
      </w:r>
    </w:p>
    <w:p>
      <w:pPr>
        <w:spacing w:after="200" w:before="0" w:line="360"/>
        <w:jc w:val="both"/>
      </w:pPr>
      <w:r>
        <w:rPr>
          <w:rFonts w:ascii="Arial" w:cs="Arial" w:eastAsia="Arial" w:hAnsi="Arial"/>
          <w:sz w:val="24"/>
          <w:szCs w:val="24"/>
        </w:rPr>
        <w:t xml:space="preserve">As etapas 4 e 5 do cronograma — execução da segunda fase de experimentos em escala maior (1M de embeddings) e cenário de carga mista, e a análise comparativa final com sistematização de recomendações — ficam reservadas para o relatório final, previsto para dezembro de 2026. A possível integração com o Cluster de High Performance do IEG/UFOPA, condicionada à viabilidade técnica e à disponibilidade de acesso, será conduzida nessa segunda metade e, caso confirmada, incorporada ao relatório final.</w:t>
      </w:r>
    </w:p>
    <w:p>
      <w:pPr>
        <w:spacing w:after="120" w:before="120"/>
        <w:jc w:val="left"/>
      </w:pPr>
      <w:r>
        <w:rPr>
          <w:rFonts w:ascii="Arial" w:cs="Arial" w:eastAsia="Arial" w:hAnsi="Arial"/>
          <w:b/>
          <w:bCs/>
          <w:i/>
          <w:iCs/>
          <w:color w:val="C00000"/>
          <w:sz w:val="22"/>
          <w:szCs w:val="22"/>
        </w:rPr>
        <w:t xml:space="preserve">[TODO] </w:t>
      </w:r>
      <w:r>
        <w:rPr>
          <w:rFonts w:ascii="Arial" w:cs="Arial" w:eastAsia="Arial" w:hAnsi="Arial"/>
          <w:i/>
          <w:iCs/>
          <w:color w:val="C00000"/>
          <w:sz w:val="22"/>
          <w:szCs w:val="22"/>
        </w:rPr>
        <w:t xml:space="preserve">Antes da entrega, complementar esta seção com um balanço quantitativo do que foi cumprido (e.g. número de execuções, tamanho do código produzido, link do repositório) e uma lista objetiva de riscos remanescentes para a segunda metade do projeto.</w:t>
      </w:r>
    </w:p>
    <w:p>
      <w:pPr>
        <w:pStyle w:val="Heading1"/>
        <w:spacing w:after="240" w:before="360"/>
      </w:pPr>
      <w:r>
        <w:rPr>
          <w:rFonts w:ascii="Arial" w:cs="Arial" w:eastAsia="Arial" w:hAnsi="Arial"/>
          <w:b/>
          <w:bCs/>
          <w:sz w:val="32"/>
          <w:szCs w:val="32"/>
        </w:rPr>
        <w:t xml:space="preserve">7. Cronograma de Execução</w:t>
      </w:r>
    </w:p>
    <w:p>
      <w:pPr>
        <w:spacing w:after="200" w:before="0" w:line="360"/>
        <w:jc w:val="both"/>
      </w:pPr>
      <w:r>
        <w:rPr>
          <w:rFonts w:ascii="Arial" w:cs="Arial" w:eastAsia="Arial" w:hAnsi="Arial"/>
          <w:sz w:val="24"/>
          <w:szCs w:val="24"/>
        </w:rPr>
        <w:t xml:space="preserve">O cronograma a seguir reflete o plano comprimido adotado a partir do início efetivo do projeto, com ajustes em relação ao planejamento original para acomodar a janela real de execução.</w:t>
      </w:r>
    </w:p>
    <w:p>
      <w:pPr>
        <w:pStyle w:val="Heading2"/>
        <w:spacing w:after="180" w:before="240"/>
      </w:pPr>
      <w:r>
        <w:rPr>
          <w:rFonts w:ascii="Arial" w:cs="Arial" w:eastAsia="Arial" w:hAnsi="Arial"/>
          <w:b/>
          <w:bCs/>
          <w:sz w:val="28"/>
          <w:szCs w:val="28"/>
        </w:rPr>
        <w:t xml:space="preserve">7.1. Etapas</w:t>
      </w:r>
    </w:p>
    <w:p>
      <w:pPr>
        <w:spacing w:after="200" w:before="0" w:line="360"/>
        <w:jc w:val="both"/>
      </w:pPr>
      <w:r>
        <w:rPr>
          <w:rFonts w:ascii="Arial" w:cs="Arial" w:eastAsia="Arial" w:hAnsi="Arial"/>
          <w:b/>
          <w:bCs/>
          <w:sz w:val="24"/>
          <w:szCs w:val="24"/>
        </w:rPr>
        <w:t xml:space="preserve">Etapa 1 — Revisão e planejamento: </w:t>
      </w:r>
      <w:r>
        <w:rPr>
          <w:rFonts w:ascii="Arial" w:cs="Arial" w:eastAsia="Arial" w:hAnsi="Arial"/>
          <w:sz w:val="24"/>
          <w:szCs w:val="24"/>
        </w:rPr>
        <w:t xml:space="preserve">consolidação da revisão bibliográfica expandida e fechamento da metodologia.</w:t>
      </w:r>
    </w:p>
    <w:p>
      <w:pPr>
        <w:spacing w:after="200" w:before="0" w:line="360"/>
        <w:jc w:val="both"/>
      </w:pPr>
      <w:r>
        <w:rPr>
          <w:rFonts w:ascii="Arial" w:cs="Arial" w:eastAsia="Arial" w:hAnsi="Arial"/>
          <w:b/>
          <w:bCs/>
          <w:sz w:val="24"/>
          <w:szCs w:val="24"/>
        </w:rPr>
        <w:t xml:space="preserve">Etapa 2 — Preparação de dados e ambiente: </w:t>
      </w:r>
      <w:r>
        <w:rPr>
          <w:rFonts w:ascii="Arial" w:cs="Arial" w:eastAsia="Arial" w:hAnsi="Arial"/>
          <w:sz w:val="24"/>
          <w:szCs w:val="24"/>
        </w:rPr>
        <w:t xml:space="preserve">configuração de PostgreSQL+pgvector, Qdrant e Weaviate em Docker; geração e indexação dos embeddings; scripts de benchmark.</w:t>
      </w:r>
    </w:p>
    <w:p>
      <w:pPr>
        <w:spacing w:after="200" w:before="0" w:line="360"/>
        <w:jc w:val="both"/>
      </w:pPr>
      <w:r>
        <w:rPr>
          <w:rFonts w:ascii="Arial" w:cs="Arial" w:eastAsia="Arial" w:hAnsi="Arial"/>
          <w:b/>
          <w:bCs/>
          <w:sz w:val="24"/>
          <w:szCs w:val="24"/>
        </w:rPr>
        <w:t xml:space="preserve">Etapa 3 — Experimentos fase 1: </w:t>
      </w:r>
      <w:r>
        <w:rPr>
          <w:rFonts w:ascii="Arial" w:cs="Arial" w:eastAsia="Arial" w:hAnsi="Arial"/>
          <w:sz w:val="24"/>
          <w:szCs w:val="24"/>
        </w:rPr>
        <w:t xml:space="preserve">execução dos cenários A e B em datasets menores (100k, 500k). Esta etapa fecha com o relatório parcial.</w:t>
      </w:r>
    </w:p>
    <w:p>
      <w:pPr>
        <w:spacing w:after="200" w:before="0" w:line="360"/>
        <w:jc w:val="both"/>
      </w:pPr>
      <w:r>
        <w:rPr>
          <w:rFonts w:ascii="Arial" w:cs="Arial" w:eastAsia="Arial" w:hAnsi="Arial"/>
          <w:b/>
          <w:bCs/>
          <w:sz w:val="24"/>
          <w:szCs w:val="24"/>
        </w:rPr>
        <w:t xml:space="preserve">Etapa 4 — Experimentos fase 2: </w:t>
      </w:r>
      <w:r>
        <w:rPr>
          <w:rFonts w:ascii="Arial" w:cs="Arial" w:eastAsia="Arial" w:hAnsi="Arial"/>
          <w:sz w:val="24"/>
          <w:szCs w:val="24"/>
        </w:rPr>
        <w:t xml:space="preserve">execução em escala maior (1M) e cenário C de carga mista.</w:t>
      </w:r>
    </w:p>
    <w:p>
      <w:pPr>
        <w:spacing w:after="200" w:before="0" w:line="360"/>
        <w:jc w:val="both"/>
      </w:pPr>
      <w:r>
        <w:rPr>
          <w:rFonts w:ascii="Arial" w:cs="Arial" w:eastAsia="Arial" w:hAnsi="Arial"/>
          <w:b/>
          <w:bCs/>
          <w:sz w:val="24"/>
          <w:szCs w:val="24"/>
        </w:rPr>
        <w:t xml:space="preserve">Etapa 5 — Análise e redação: </w:t>
      </w:r>
      <w:r>
        <w:rPr>
          <w:rFonts w:ascii="Arial" w:cs="Arial" w:eastAsia="Arial" w:hAnsi="Arial"/>
          <w:sz w:val="24"/>
          <w:szCs w:val="24"/>
        </w:rPr>
        <w:t xml:space="preserve">análise comparativa sistemática, gráficos finais, redação e revisão do relatório final.</w:t>
      </w:r>
    </w:p>
    <w:p>
      <w:pPr>
        <w:pStyle w:val="Heading2"/>
        <w:spacing w:after="180" w:before="240"/>
      </w:pPr>
      <w:r>
        <w:rPr>
          <w:rFonts w:ascii="Arial" w:cs="Arial" w:eastAsia="Arial" w:hAnsi="Arial"/>
          <w:b/>
          <w:bCs/>
          <w:sz w:val="28"/>
          <w:szCs w:val="28"/>
        </w:rPr>
        <w:t xml:space="preserve">7.2. Distribuição mensal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71"/>
        <w:gridCol w:w="1000"/>
        <w:gridCol w:w="1000"/>
        <w:gridCol w:w="1000"/>
        <w:gridCol w:w="1000"/>
        <w:gridCol w:w="1000"/>
        <w:gridCol w:w="1000"/>
        <w:gridCol w:w="1000"/>
        <w:gridCol w:w="1000"/>
      </w:tblGrid>
      <w:tr>
        <w:trPr>
          <w:tblHeader/>
        </w:trPr>
        <w:tc>
          <w:tcPr>
            <w:tcW w:type="dxa" w:w="1071"/>
            <w:shd w:fill="D9E1F2" w:val="clear"/>
            <w:tcMar>
              <w:top w:type="dxa" w:w="80"/>
              <w:left w:type="dxa" w:w="120"/>
              <w:bottom w:type="dxa" w:w="80"/>
              <w:right w:type="dxa" w:w="120"/>
            </w:tcMar>
          </w:tcPr>
          <w:p>
            <w:pPr>
              <w:jc w:val="center"/>
            </w:pPr>
            <w:r>
              <w:rPr>
                <w:rFonts w:ascii="Arial" w:cs="Arial" w:eastAsia="Arial" w:hAnsi="Arial"/>
                <w:b/>
                <w:bCs/>
                <w:sz w:val="22"/>
                <w:szCs w:val="22"/>
              </w:rPr>
              <w:t xml:space="preserve">Etapa</w:t>
            </w:r>
          </w:p>
        </w:tc>
        <w:tc>
          <w:tcPr>
            <w:tcW w:type="dxa" w:w="1000"/>
            <w:shd w:fill="D9E1F2" w:val="clear"/>
            <w:tcMar>
              <w:top w:type="dxa" w:w="80"/>
              <w:left w:type="dxa" w:w="120"/>
              <w:bottom w:type="dxa" w:w="80"/>
              <w:right w:type="dxa" w:w="120"/>
            </w:tcMar>
          </w:tcPr>
          <w:p>
            <w:pPr>
              <w:jc w:val="center"/>
            </w:pPr>
            <w:r>
              <w:rPr>
                <w:rFonts w:ascii="Arial" w:cs="Arial" w:eastAsia="Arial" w:hAnsi="Arial"/>
                <w:b/>
                <w:bCs/>
                <w:sz w:val="22"/>
                <w:szCs w:val="22"/>
              </w:rPr>
              <w:t xml:space="preserve">Mai</w:t>
            </w:r>
          </w:p>
        </w:tc>
        <w:tc>
          <w:tcPr>
            <w:tcW w:type="dxa" w:w="1000"/>
            <w:shd w:fill="D9E1F2" w:val="clear"/>
            <w:tcMar>
              <w:top w:type="dxa" w:w="80"/>
              <w:left w:type="dxa" w:w="120"/>
              <w:bottom w:type="dxa" w:w="80"/>
              <w:right w:type="dxa" w:w="120"/>
            </w:tcMar>
          </w:tcPr>
          <w:p>
            <w:pPr>
              <w:jc w:val="center"/>
            </w:pPr>
            <w:r>
              <w:rPr>
                <w:rFonts w:ascii="Arial" w:cs="Arial" w:eastAsia="Arial" w:hAnsi="Arial"/>
                <w:b/>
                <w:bCs/>
                <w:sz w:val="22"/>
                <w:szCs w:val="22"/>
              </w:rPr>
              <w:t xml:space="preserve">Jun</w:t>
            </w:r>
          </w:p>
        </w:tc>
        <w:tc>
          <w:tcPr>
            <w:tcW w:type="dxa" w:w="1000"/>
            <w:shd w:fill="D9E1F2" w:val="clear"/>
            <w:tcMar>
              <w:top w:type="dxa" w:w="80"/>
              <w:left w:type="dxa" w:w="120"/>
              <w:bottom w:type="dxa" w:w="80"/>
              <w:right w:type="dxa" w:w="120"/>
            </w:tcMar>
          </w:tcPr>
          <w:p>
            <w:pPr>
              <w:jc w:val="center"/>
            </w:pPr>
            <w:r>
              <w:rPr>
                <w:rFonts w:ascii="Arial" w:cs="Arial" w:eastAsia="Arial" w:hAnsi="Arial"/>
                <w:b/>
                <w:bCs/>
                <w:sz w:val="22"/>
                <w:szCs w:val="22"/>
              </w:rPr>
              <w:t xml:space="preserve">Jul</w:t>
            </w:r>
          </w:p>
        </w:tc>
        <w:tc>
          <w:tcPr>
            <w:tcW w:type="dxa" w:w="1000"/>
            <w:shd w:fill="D9E1F2" w:val="clear"/>
            <w:tcMar>
              <w:top w:type="dxa" w:w="80"/>
              <w:left w:type="dxa" w:w="120"/>
              <w:bottom w:type="dxa" w:w="80"/>
              <w:right w:type="dxa" w:w="120"/>
            </w:tcMar>
          </w:tcPr>
          <w:p>
            <w:pPr>
              <w:jc w:val="center"/>
            </w:pPr>
            <w:r>
              <w:rPr>
                <w:rFonts w:ascii="Arial" w:cs="Arial" w:eastAsia="Arial" w:hAnsi="Arial"/>
                <w:b/>
                <w:bCs/>
                <w:sz w:val="22"/>
                <w:szCs w:val="22"/>
              </w:rPr>
              <w:t xml:space="preserve">Ago</w:t>
            </w:r>
          </w:p>
        </w:tc>
        <w:tc>
          <w:tcPr>
            <w:tcW w:type="dxa" w:w="1000"/>
            <w:shd w:fill="D9E1F2" w:val="clear"/>
            <w:tcMar>
              <w:top w:type="dxa" w:w="80"/>
              <w:left w:type="dxa" w:w="120"/>
              <w:bottom w:type="dxa" w:w="80"/>
              <w:right w:type="dxa" w:w="120"/>
            </w:tcMar>
          </w:tcPr>
          <w:p>
            <w:pPr>
              <w:jc w:val="center"/>
            </w:pPr>
            <w:r>
              <w:rPr>
                <w:rFonts w:ascii="Arial" w:cs="Arial" w:eastAsia="Arial" w:hAnsi="Arial"/>
                <w:b/>
                <w:bCs/>
                <w:sz w:val="22"/>
                <w:szCs w:val="22"/>
              </w:rPr>
              <w:t xml:space="preserve">Set</w:t>
            </w:r>
          </w:p>
        </w:tc>
        <w:tc>
          <w:tcPr>
            <w:tcW w:type="dxa" w:w="1000"/>
            <w:shd w:fill="D9E1F2" w:val="clear"/>
            <w:tcMar>
              <w:top w:type="dxa" w:w="80"/>
              <w:left w:type="dxa" w:w="120"/>
              <w:bottom w:type="dxa" w:w="80"/>
              <w:right w:type="dxa" w:w="120"/>
            </w:tcMar>
          </w:tcPr>
          <w:p>
            <w:pPr>
              <w:jc w:val="center"/>
            </w:pPr>
            <w:r>
              <w:rPr>
                <w:rFonts w:ascii="Arial" w:cs="Arial" w:eastAsia="Arial" w:hAnsi="Arial"/>
                <w:b/>
                <w:bCs/>
                <w:sz w:val="22"/>
                <w:szCs w:val="22"/>
              </w:rPr>
              <w:t xml:space="preserve">Out</w:t>
            </w:r>
          </w:p>
        </w:tc>
        <w:tc>
          <w:tcPr>
            <w:tcW w:type="dxa" w:w="1000"/>
            <w:shd w:fill="D9E1F2" w:val="clear"/>
            <w:tcMar>
              <w:top w:type="dxa" w:w="80"/>
              <w:left w:type="dxa" w:w="120"/>
              <w:bottom w:type="dxa" w:w="80"/>
              <w:right w:type="dxa" w:w="120"/>
            </w:tcMar>
          </w:tcPr>
          <w:p>
            <w:pPr>
              <w:jc w:val="center"/>
            </w:pPr>
            <w:r>
              <w:rPr>
                <w:rFonts w:ascii="Arial" w:cs="Arial" w:eastAsia="Arial" w:hAnsi="Arial"/>
                <w:b/>
                <w:bCs/>
                <w:sz w:val="22"/>
                <w:szCs w:val="22"/>
              </w:rPr>
              <w:t xml:space="preserve">Nov</w:t>
            </w:r>
          </w:p>
        </w:tc>
        <w:tc>
          <w:tcPr>
            <w:tcW w:type="dxa" w:w="1000"/>
            <w:shd w:fill="D9E1F2" w:val="clear"/>
            <w:tcMar>
              <w:top w:type="dxa" w:w="80"/>
              <w:left w:type="dxa" w:w="120"/>
              <w:bottom w:type="dxa" w:w="80"/>
              <w:right w:type="dxa" w:w="120"/>
            </w:tcMar>
          </w:tcPr>
          <w:p>
            <w:pPr>
              <w:jc w:val="center"/>
            </w:pPr>
            <w:r>
              <w:rPr>
                <w:rFonts w:ascii="Arial" w:cs="Arial" w:eastAsia="Arial" w:hAnsi="Arial"/>
                <w:b/>
                <w:bCs/>
                <w:sz w:val="22"/>
                <w:szCs w:val="22"/>
              </w:rPr>
              <w:t xml:space="preserve">Dez</w:t>
            </w:r>
          </w:p>
        </w:tc>
      </w:tr>
      <w:tr>
        <w:tc>
          <w:tcPr>
            <w:tcW w:type="dxa" w:w="1071"/>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r>
      <w:tr>
        <w:tc>
          <w:tcPr>
            <w:tcW w:type="dxa" w:w="1071"/>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r>
      <w:tr>
        <w:tc>
          <w:tcPr>
            <w:tcW w:type="dxa" w:w="1071"/>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r>
      <w:tr>
        <w:tc>
          <w:tcPr>
            <w:tcW w:type="dxa" w:w="1071"/>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r>
      <w:tr>
        <w:tc>
          <w:tcPr>
            <w:tcW w:type="dxa" w:w="1071"/>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1000"/>
            <w:tcMar>
              <w:top w:type="dxa" w:w="80"/>
              <w:left w:type="dxa" w:w="120"/>
              <w:bottom w:type="dxa" w:w="80"/>
              <w:right w:type="dxa" w:w="120"/>
            </w:tcMar>
          </w:tcPr>
          <w:p>
            <w:pPr>
              <w:jc w:val="center"/>
            </w:pPr>
            <w:r>
              <w:rPr>
                <w:rFonts w:ascii="Arial" w:cs="Arial" w:eastAsia="Arial" w:hAnsi="Arial"/>
                <w:sz w:val="22"/>
                <w:szCs w:val="22"/>
              </w:rPr>
              <w:t xml:space="preserve">●</w:t>
            </w:r>
          </w:p>
        </w:tc>
      </w:tr>
    </w:tbl>
    <w:p>
      <w:r>
        <w:rPr>
          <w:rFonts w:ascii="Arial" w:cs="Arial" w:eastAsia="Arial" w:hAnsi="Arial"/>
          <w:sz w:val="24"/>
          <w:szCs w:val="24"/>
        </w:rPr>
        <w:t xml:space="preserve"/>
      </w:r>
    </w:p>
    <w:p>
      <w:pPr>
        <w:spacing w:after="120" w:before="120"/>
        <w:jc w:val="left"/>
      </w:pPr>
      <w:r>
        <w:rPr>
          <w:rFonts w:ascii="Arial" w:cs="Arial" w:eastAsia="Arial" w:hAnsi="Arial"/>
          <w:b/>
          <w:bCs/>
          <w:i/>
          <w:iCs/>
          <w:color w:val="C00000"/>
          <w:sz w:val="22"/>
          <w:szCs w:val="22"/>
        </w:rPr>
        <w:t xml:space="preserve">[TODO] </w:t>
      </w:r>
      <w:r>
        <w:rPr>
          <w:rFonts w:ascii="Arial" w:cs="Arial" w:eastAsia="Arial" w:hAnsi="Arial"/>
          <w:i/>
          <w:iCs/>
          <w:color w:val="C00000"/>
          <w:sz w:val="22"/>
          <w:szCs w:val="22"/>
        </w:rPr>
        <w:t xml:space="preserve">Atualizar este cronograma a cada entrega. A entrega parcial está prevista para o final de julho de 2026; a entrega final em dezembro de 2026.</w:t>
      </w:r>
    </w:p>
    <w:p>
      <w:pPr>
        <w:pStyle w:val="Heading1"/>
        <w:spacing w:after="240" w:before="360"/>
      </w:pPr>
      <w:r>
        <w:rPr>
          <w:rFonts w:ascii="Arial" w:cs="Arial" w:eastAsia="Arial" w:hAnsi="Arial"/>
          <w:b/>
          <w:bCs/>
          <w:sz w:val="32"/>
          <w:szCs w:val="32"/>
        </w:rPr>
        <w:t xml:space="preserve">Referências</w:t>
      </w:r>
    </w:p>
    <w:p>
      <w:pPr>
        <w:spacing w:after="200" w:line="300"/>
        <w:ind w:left="0" w:hanging="0"/>
        <w:jc w:val="both"/>
      </w:pPr>
      <w:r>
        <w:rPr>
          <w:rFonts w:ascii="Arial" w:cs="Arial" w:eastAsia="Arial" w:hAnsi="Arial"/>
          <w:sz w:val="22"/>
          <w:szCs w:val="22"/>
        </w:rPr>
        <w:t xml:space="preserve">AEROSPIKE. Best practices for database benchmarking. Aerospike Blog, 2025. Disponível em: https://www.aerospike.com/blog/best-practices-for-database-benchmarking/. Acesso em: 9 dez. 2025.</w:t>
      </w:r>
    </w:p>
    <w:p>
      <w:pPr>
        <w:spacing w:after="200" w:line="300"/>
        <w:ind w:left="0" w:hanging="0"/>
        <w:jc w:val="both"/>
      </w:pPr>
      <w:r>
        <w:rPr>
          <w:rFonts w:ascii="Arial" w:cs="Arial" w:eastAsia="Arial" w:hAnsi="Arial"/>
          <w:sz w:val="22"/>
          <w:szCs w:val="22"/>
        </w:rPr>
        <w:t xml:space="preserve">AUMÜLLER, M.; BERNHARDSSON, E.; FAITHFULL, A. ANN-Benchmarks: A benchmarking tool for approximate nearest neighbor algorithms. Information Systems, v. 87, 101374, 2020.</w:t>
      </w:r>
    </w:p>
    <w:p>
      <w:pPr>
        <w:spacing w:after="200" w:line="300"/>
        <w:ind w:left="0" w:hanging="0"/>
        <w:jc w:val="both"/>
      </w:pPr>
      <w:r>
        <w:rPr>
          <w:rFonts w:ascii="Arial" w:cs="Arial" w:eastAsia="Arial" w:hAnsi="Arial"/>
          <w:sz w:val="22"/>
          <w:szCs w:val="22"/>
        </w:rPr>
        <w:t xml:space="preserve">BOVAS, A. P. et al. NAVI: RAG-powered LLM chatbot for academic institutions. International Journal for Research in Applied Science and Engineering Technology, 2025.</w:t>
      </w:r>
    </w:p>
    <w:p>
      <w:pPr>
        <w:spacing w:after="200" w:line="300"/>
        <w:ind w:left="0" w:hanging="0"/>
        <w:jc w:val="both"/>
      </w:pPr>
      <w:r>
        <w:rPr>
          <w:rFonts w:ascii="Arial" w:cs="Arial" w:eastAsia="Arial" w:hAnsi="Arial"/>
          <w:sz w:val="22"/>
          <w:szCs w:val="22"/>
        </w:rPr>
        <w:t xml:space="preserve">COSTA, R. D. D. Semantic Enrichment of Knowledge Sources Supported by Domain Ontologies. 2014. Tese de Doutorado, Universidade Nova de Lisboa, Lisboa, 2014.</w:t>
      </w:r>
    </w:p>
    <w:p>
      <w:pPr>
        <w:spacing w:after="200" w:line="300"/>
        <w:ind w:left="0" w:hanging="0"/>
        <w:jc w:val="both"/>
      </w:pPr>
      <w:r>
        <w:rPr>
          <w:rFonts w:ascii="Arial" w:cs="Arial" w:eastAsia="Arial" w:hAnsi="Arial"/>
          <w:sz w:val="22"/>
          <w:szCs w:val="22"/>
        </w:rPr>
        <w:t xml:space="preserve">JING, Z. et al. When Large Language Models Meet Vector Databases: A Survey. arXiv (Cornell University), 2024.</w:t>
      </w:r>
    </w:p>
    <w:p>
      <w:pPr>
        <w:spacing w:after="200" w:line="300"/>
        <w:ind w:left="0" w:hanging="0"/>
        <w:jc w:val="both"/>
      </w:pPr>
      <w:r>
        <w:rPr>
          <w:rFonts w:ascii="Arial" w:cs="Arial" w:eastAsia="Arial" w:hAnsi="Arial"/>
          <w:sz w:val="22"/>
          <w:szCs w:val="22"/>
        </w:rPr>
        <w:t xml:space="preserve">LEWIS, P. et al. Retrieval-augmented generation for knowledge-intensive NLP tasks. In: Advances in Neural Information Processing Systems 33 (NeurIPS 2020), 2020. p. 9459–9474.</w:t>
      </w:r>
    </w:p>
    <w:p>
      <w:pPr>
        <w:spacing w:after="200" w:line="300"/>
        <w:ind w:left="0" w:hanging="0"/>
        <w:jc w:val="both"/>
      </w:pPr>
      <w:r>
        <w:rPr>
          <w:rFonts w:ascii="Arial" w:cs="Arial" w:eastAsia="Arial" w:hAnsi="Arial"/>
          <w:sz w:val="22"/>
          <w:szCs w:val="22"/>
        </w:rPr>
        <w:t xml:space="preserve">MALKOV, Y. A.; YASHUNIN, D. A. Efficient and robust approximate nearest neighbor search using Hierarchical Navigable Small World graphs. IEEE Transactions on Pattern Analysis and Machine Intelligence, 2018.</w:t>
      </w:r>
    </w:p>
    <w:p>
      <w:pPr>
        <w:spacing w:after="200" w:line="300"/>
        <w:ind w:left="0" w:hanging="0"/>
        <w:jc w:val="both"/>
      </w:pPr>
      <w:r>
        <w:rPr>
          <w:rFonts w:ascii="Arial" w:cs="Arial" w:eastAsia="Arial" w:hAnsi="Arial"/>
          <w:sz w:val="22"/>
          <w:szCs w:val="22"/>
        </w:rPr>
        <w:t xml:space="preserve">PAIVA, L. M. S. S. Semantic relations extraction in unstructured information for domain ontologies enrichment. 2014. Dissertação de Mestrado, Universidade Nova de Lisboa, Lisboa, 2014.</w:t>
      </w:r>
    </w:p>
    <w:p>
      <w:pPr>
        <w:spacing w:after="200" w:line="300"/>
        <w:ind w:left="0" w:hanging="0"/>
        <w:jc w:val="both"/>
      </w:pPr>
      <w:r>
        <w:rPr>
          <w:rFonts w:ascii="Arial" w:cs="Arial" w:eastAsia="Arial" w:hAnsi="Arial"/>
          <w:sz w:val="22"/>
          <w:szCs w:val="22"/>
        </w:rPr>
        <w:t xml:space="preserve">PAN, J.; WANG, J.; LI, G. Survey of Vector Database Management Systems. arXiv (Cornell University), 2023.</w:t>
      </w:r>
    </w:p>
    <w:p>
      <w:pPr>
        <w:spacing w:after="200" w:line="300"/>
        <w:ind w:left="0" w:hanging="0"/>
        <w:jc w:val="both"/>
      </w:pPr>
      <w:r>
        <w:rPr>
          <w:rFonts w:ascii="Arial" w:cs="Arial" w:eastAsia="Arial" w:hAnsi="Arial"/>
          <w:sz w:val="22"/>
          <w:szCs w:val="22"/>
        </w:rPr>
        <w:t xml:space="preserve">PATEL, L.; KRAFT, P.; GUESTRIN, C.; ZAHARIA, M. ACORN: performant and predicate-agnostic search over vector embeddings and structured data. Proceedings of the ACM on Management of Data (PACMMOD), v. 2, n. 3, art. 120, p. 1–27, 2024.</w:t>
      </w:r>
    </w:p>
    <w:p>
      <w:pPr>
        <w:spacing w:after="200" w:line="300"/>
        <w:ind w:left="0" w:hanging="0"/>
        <w:jc w:val="both"/>
      </w:pPr>
      <w:r>
        <w:rPr>
          <w:rFonts w:ascii="Arial" w:cs="Arial" w:eastAsia="Arial" w:hAnsi="Arial"/>
          <w:sz w:val="22"/>
          <w:szCs w:val="22"/>
        </w:rPr>
        <w:t xml:space="preserve">PAWLIK, L. LLM Selection and Vector Database Tuning: A Methodology for Enhancing RAG Systems. Applied Sciences, v. 15, n. 20, p. 10886, 2025.</w:t>
      </w:r>
    </w:p>
    <w:p>
      <w:pPr>
        <w:spacing w:after="200" w:line="300"/>
        <w:ind w:left="0" w:hanging="0"/>
        <w:jc w:val="both"/>
      </w:pPr>
      <w:r>
        <w:rPr>
          <w:rFonts w:ascii="Arial" w:cs="Arial" w:eastAsia="Arial" w:hAnsi="Arial"/>
          <w:sz w:val="22"/>
          <w:szCs w:val="22"/>
        </w:rPr>
        <w:t xml:space="preserve">REIMERS, N.; GUREVYCH, I. Sentence-BERT: Sentence embeddings using Siamese BERT-networks. In: Proceedings of the 2019 Conference on Empirical Methods in Natural Language Processing (EMNLP), 2019.</w:t>
      </w:r>
    </w:p>
    <w:p>
      <w:pPr>
        <w:spacing w:after="200" w:line="300"/>
        <w:ind w:left="0" w:hanging="0"/>
        <w:jc w:val="both"/>
      </w:pPr>
      <w:r>
        <w:rPr>
          <w:rFonts w:ascii="Arial" w:cs="Arial" w:eastAsia="Arial" w:hAnsi="Arial"/>
          <w:sz w:val="22"/>
          <w:szCs w:val="22"/>
        </w:rPr>
        <w:t xml:space="preserve">SALTON, G.; WONG, A.; YANG, C. S. A vector space model for automatic indexing. Communications of the ACM, v. 18, n. 11, p. 613–620, 1975.</w:t>
      </w:r>
    </w:p>
    <w:p>
      <w:pPr>
        <w:spacing w:after="120" w:before="120"/>
        <w:jc w:val="left"/>
      </w:pPr>
      <w:r>
        <w:rPr>
          <w:rFonts w:ascii="Arial" w:cs="Arial" w:eastAsia="Arial" w:hAnsi="Arial"/>
          <w:b/>
          <w:bCs/>
          <w:i/>
          <w:iCs/>
          <w:color w:val="C00000"/>
          <w:sz w:val="22"/>
          <w:szCs w:val="22"/>
        </w:rPr>
        <w:t xml:space="preserve">[TODO] </w:t>
      </w:r>
      <w:r>
        <w:rPr>
          <w:rFonts w:ascii="Arial" w:cs="Arial" w:eastAsia="Arial" w:hAnsi="Arial"/>
          <w:i/>
          <w:iCs/>
          <w:color w:val="C00000"/>
          <w:sz w:val="22"/>
          <w:szCs w:val="22"/>
        </w:rPr>
        <w:t xml:space="preserve">Para o relatório final, expandir bibliografia até ~20 referências. Candidatos: Mikolov et al. (2013) — Word2Vec; Pennington et al. (2014) — GloVe; Muennighoff et al. (2023) — MTEB; Thakur et al. (2021) — BEIR; Gao et al. (2024) — RAG survey; Wang et al. (2021) — Milvus; Guo et al. (2022) — Manu; Subramanya et al. (2019) — DiskANN; Douze et al. (2024) — Faiss; Jégou et al. (2011) — Product Quantization; estudos comparativos recentes pgvector × especializados (2024–2025).</w:t>
      </w:r>
    </w:p>
    <w:sectPr>
      <w:headerReference w:type="default" r:id="rId7"/>
      <w:foot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07070"/>
        <w:sz w:val="20"/>
        <w:szCs w:val="20"/>
      </w:rPr>
      <w:t xml:space="preserve">Relatório Parcial — IC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8"/>
      <w:szCs w:val="28"/>
    </w:rPr>
  </w:style>
  <w:style w:type="paragraph" w:styleId="Heading3">
    <w:name w:val="Heading 3"/>
    <w:basedOn w:val="Normal"/>
    <w:next w:val="Normal"/>
    <w:qFormat/>
    <w:pPr>
      <w:spacing w:after="120" w:before="1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Parcial — Bancos de Dados Vetoriais</dc:title>
  <dc:creator>Rafael Nobre de Souza</dc:creator>
  <cp:lastModifiedBy>Un-named</cp:lastModifiedBy>
  <cp:revision>1</cp:revision>
  <dcterms:created xsi:type="dcterms:W3CDTF">2026-04-29T01:24:29.932Z</dcterms:created>
  <dcterms:modified xsi:type="dcterms:W3CDTF">2026-04-29T01:24:29.933Z</dcterms:modified>
</cp:coreProperties>
</file>

<file path=docProps/custom.xml><?xml version="1.0" encoding="utf-8"?>
<Properties xmlns="http://schemas.openxmlformats.org/officeDocument/2006/custom-properties" xmlns:vt="http://schemas.openxmlformats.org/officeDocument/2006/docPropsVTypes"/>
</file>