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0"/>
      </w:pPr>
    </w:p>
    <w:p>
      <w:pPr>
        <w:spacing w:after="1000"/>
      </w:pPr>
      <w:r>
        <w:rPr>
          <w:rFonts w:ascii="Noto Sans KR" w:cs="Noto Sans KR" w:eastAsia="Noto Sans KR" w:hAnsi="Noto Sans KR"/>
          <w:sz w:val="22"/>
          <w:szCs w:val="22"/>
        </w:rPr>
        <w:t xml:space="preserve">2026 경기스포츠산업 공모전 제안서</w:t>
      </w:r>
    </w:p>
    <w:p>
      <w:pPr>
        <w:spacing w:after="200" w:line="700" w:lineRule="exact"/>
      </w:pPr>
      <w:r>
        <w:rPr>
          <w:rFonts w:ascii="Noto Sans KR" w:cs="Noto Sans KR" w:eastAsia="Noto Sans KR" w:hAnsi="Noto Sans KR"/>
          <w:b/>
          <w:bCs/>
          <w:sz w:val="52"/>
          <w:szCs w:val="52"/>
        </w:rPr>
        <w:t xml:space="preserve">피치시그널(PitchSignal)</w:t>
      </w:r>
    </w:p>
    <w:p>
      <w:pPr>
        <w:spacing w:after="0" w:line="440" w:lineRule="exact"/>
      </w:pPr>
      <w:r>
        <w:rPr>
          <w:sz w:val="28"/>
          <w:szCs w:val="28"/>
        </w:rPr>
        <w:t xml:space="preserve">오경보율을 설계로 보장하는 투구 이상 신호 모니터링</w:t>
      </w:r>
    </w:p>
    <w:p>
      <w:pPr>
        <w:spacing w:after="4200" w:before="0"/>
      </w:pPr>
    </w:p>
    <w:p>
      <w:pPr>
        <w:tabs>
          <w:tab w:val="left" w:pos="1700"/>
        </w:tabs>
        <w:spacing w:after="40" w:line="330" w:lineRule="exact"/>
      </w:pPr>
      <w:r>
        <w:rPr>
          <w:rFonts w:ascii="Noto Sans KR" w:cs="Noto Sans KR" w:eastAsia="Noto Sans KR" w:hAnsi="Noto Sans KR"/>
          <w:sz w:val="19"/>
          <w:szCs w:val="19"/>
        </w:rPr>
        <w:t xml:space="preserve">제안자</w:t>
      </w:r>
      <w:r>
        <w:rPr>
          <w:sz w:val="20"/>
          <w:szCs w:val="20"/>
        </w:rPr>
        <w:t xml:space="preserve">	김형준 (UNIST)</w:t>
      </w:r>
    </w:p>
    <w:p>
      <w:pPr>
        <w:tabs>
          <w:tab w:val="left" w:pos="1700"/>
        </w:tabs>
        <w:spacing w:after="40" w:line="330" w:lineRule="exact"/>
      </w:pPr>
      <w:r>
        <w:rPr>
          <w:rFonts w:ascii="Noto Sans KR" w:cs="Noto Sans KR" w:eastAsia="Noto Sans KR" w:hAnsi="Noto Sans KR"/>
          <w:sz w:val="19"/>
          <w:szCs w:val="19"/>
        </w:rPr>
        <w:t xml:space="preserve">연락처</w:t>
      </w:r>
      <w:r>
        <w:rPr>
          <w:sz w:val="20"/>
          <w:szCs w:val="20"/>
        </w:rPr>
        <w:t xml:space="preserve">	robin1967@unist.ac.kr</w:t>
      </w:r>
    </w:p>
    <w:p>
      <w:pPr>
        <w:tabs>
          <w:tab w:val="left" w:pos="1700"/>
        </w:tabs>
        <w:spacing w:after="40" w:line="330" w:lineRule="exact"/>
      </w:pPr>
      <w:r>
        <w:rPr>
          <w:rFonts w:ascii="Noto Sans KR" w:cs="Noto Sans KR" w:eastAsia="Noto Sans KR" w:hAnsi="Noto Sans KR"/>
          <w:sz w:val="19"/>
          <w:szCs w:val="19"/>
        </w:rPr>
        <w:t xml:space="preserve">시제품</w:t>
      </w:r>
      <w:r>
        <w:rPr>
          <w:sz w:val="20"/>
          <w:szCs w:val="20"/>
        </w:rPr>
        <w:t xml:space="preserve">	https://robinkim0221.github.io/pitch-signal/</w:t>
      </w:r>
    </w:p>
    <w:p>
      <w:pPr>
        <w:tabs>
          <w:tab w:val="left" w:pos="1700"/>
        </w:tabs>
        <w:spacing w:after="40" w:line="330" w:lineRule="exact"/>
      </w:pPr>
      <w:r>
        <w:rPr>
          <w:rFonts w:ascii="Noto Sans KR" w:cs="Noto Sans KR" w:eastAsia="Noto Sans KR" w:hAnsi="Noto Sans KR"/>
          <w:sz w:val="19"/>
          <w:szCs w:val="19"/>
        </w:rPr>
        <w:t xml:space="preserve">코드·평가 계획</w:t>
      </w:r>
      <w:r>
        <w:rPr>
          <w:sz w:val="20"/>
          <w:szCs w:val="20"/>
        </w:rPr>
        <w:t xml:space="preserve">	https://github.com/ROBINKIM0221/pitch-signal</w:t>
      </w:r>
    </w:p>
    <w:p>
      <w:pPr>
        <w:spacing w:after="1600" w:before="0"/>
      </w:pPr>
    </w:p>
    <w:p>
      <w:r>
        <w:rPr>
          <w:sz w:val="21"/>
          <w:szCs w:val="21"/>
        </w:rPr>
        <w:t xml:space="preserve">2026년 10월</w:t>
      </w:r>
    </w:p>
    <w:p>
      <w:pPr>
        <w:pageBreakBefore/>
        <w:spacing w:after="360"/>
      </w:pPr>
      <w:r>
        <w:rPr>
          <w:rFonts w:ascii="Noto Sans KR" w:cs="Noto Sans KR" w:eastAsia="Noto Sans KR" w:hAnsi="Noto Sans KR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요약</w:t>
      </w:r>
    </w:p>
    <w:p>
      <w:r>
        <w:t xml:space="preserve">피치시그널(PitchSignal)은 투수마다 ‘평소의 투구’를 학습하고, 오경보율을 미리 정한 통계적 관리도로 ‘평소와 달라진 등판’을 경기마다 알려 주는 투구 이상 신호 모니터링 시스템이다. 부상을 진단하거나 예측하지 않으며, 사람이 점검을 시작할 시점을 알려 준다.</w:t>
      </w:r>
    </w:p>
    <w:p>
      <w:pPr>
        <w:pStyle w:val="Heading3"/>
      </w:pPr>
      <w:r>
        <w:t xml:space="preserve">필요성</w:t>
      </w:r>
    </w:p>
    <w:p>
      <w:r>
        <w:t xml:space="preserve">고교 투구수 규정은 하루 단위만 보고, 며칠에서 몇 주에 걸쳐 쌓이는 부하는 보지 못한다. 프로에서는 이상이 드러난 뒤의 대응이 늦거나(2026년 KBO 외국인 투수 완전 교체 결정까지 36~41일) 급하다(6주 대체 3~6일). 부상 전 투구 추적 지표에 신호가 있다는 연구는 여럿이지만 모두 사후 분석이고, 정상 상태에서 경보가 얼마나 자주 울리는지는 다루지 않는다.</w:t>
      </w:r>
    </w:p>
    <w:p>
      <w:pPr>
        <w:pStyle w:val="Heading3"/>
      </w:pPr>
      <w:r>
        <w:t xml:space="preserve">주요 내용</w:t>
      </w:r>
    </w:p>
    <w:p>
      <w:pPr>
        <w:pStyle w:val="ListParagraph"/>
        <w:numPr>
          <w:ilvl w:val="0"/>
          <w:numId w:val="2"/>
        </w:numPr>
      </w:pPr>
      <w:r>
        <w:t xml:space="preserve">투수별 움직이는 기준선과 가변 표본 표준화로, 투구 수가 다른 짧은 등판에서도 오경보율을 같게 지키는 감시 엔진</w:t>
      </w:r>
    </w:p>
    <w:p>
      <w:pPr>
        <w:pStyle w:val="ListParagraph"/>
        <w:numPr>
          <w:ilvl w:val="0"/>
          <w:numId w:val="2"/>
        </w:numPr>
      </w:pPr>
      <w:r>
        <w:t xml:space="preserve">경보가 울린 이유를 보여 주는 경보 카드와 투수 시즌 상세 화면(2021~2026 투수-시즌 3,040개)</w:t>
      </w:r>
    </w:p>
    <w:p>
      <w:pPr>
        <w:pStyle w:val="ListParagraph"/>
        <w:numPr>
          <w:ilvl w:val="0"/>
          <w:numId w:val="2"/>
        </w:numPr>
      </w:pPr>
      <w:r>
        <w:t xml:space="preserve">고교·대회용 투구수 현황판(2025·2026 전국 고교 공식 경기 1,961경기, KBSA 규정 자동 판정과 누적 부하)</w:t>
      </w:r>
    </w:p>
    <w:p>
      <w:pPr>
        <w:pStyle w:val="ListParagraph"/>
        <w:numPr>
          <w:ilvl w:val="0"/>
          <w:numId w:val="2"/>
        </w:numPr>
      </w:pPr>
      <w:r>
        <w:t xml:space="preserve">KBO 구단용 외국인 투수 영입 전 점검(2024~2026년 외국인 투수 94명 중 68명)</w:t>
      </w:r>
    </w:p>
    <w:p>
      <w:pPr>
        <w:pStyle w:val="Heading3"/>
      </w:pPr>
      <w:r>
        <w:t xml:space="preserve">검증 결과</w:t>
      </w:r>
    </w:p>
    <w:p>
      <w:r>
        <w:t xml:space="preserve">검증은 데이터가 모두 공개된 MLB 2021~2026 시즌에서 했다. 평가 계획은 결과를 보기 전에 고정해 공개했고, 2026 시즌은 봉인했다가 한 번만 평가했다.</w:t>
      </w:r>
    </w:p>
    <w:p>
      <w:pPr>
        <w:pStyle w:val="TableCaption"/>
        <w:keepNext/>
      </w:pPr>
      <w:r>
        <w:rPr>
          <w:b/>
          <w:bCs/>
        </w:rPr>
        <w:t xml:space="preserve">표 1.</w:t>
      </w:r>
      <w:r>
        <w:t xml:space="preserve"> 검증셋(2024~2025) 주요 결과</w:t>
      </w:r>
    </w:p>
    <w:tbl>
      <w:tblPr>
        <w:tblW w:type="dxa" w:w="907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100"/>
        <w:gridCol w:w="4972"/>
      </w:tblGrid>
      <w:tr>
        <w:trPr>
          <w:tblHeader/>
        </w:trPr>
        <w:tc>
          <w:tcPr>
            <w:tcW w:type="dxa" w:w="41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4972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같은 오경보율(100등판당 1회)에서 탐지율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10.3% (대조군 3.3%, 차이 7.0%p, 95% CI 1.4~13.1)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창 지수 일치도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0.612 (95% CI 0.533~0.692)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첫 경보가 IL 등재보다 앞선 등판 수(중앙값)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2등판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실측 오경보(100등판당)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0.85 (선발 1.13, 불펜 0.75)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고정 규칙 ‘구속 1mph 하락’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탐지율 36.4%, 오경보 6.7 (8배)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경보 뒤 30일 내 팔 부상 IL 비율</w:t>
            </w:r>
          </w:p>
        </w:tc>
        <w:tc>
          <w:tcPr>
            <w:tcW w:type="dxa" w:w="4972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10.5% vs 경보 없는 등판 4.8% (2.2배)</w:t>
            </w:r>
          </w:p>
        </w:tc>
      </w:tr>
    </w:tbl>
    <w:p>
      <w:pPr>
        <w:pStyle w:val="Note"/>
      </w:pPr>
      <w:r>
        <w:t xml:space="preserve">주: 2026 봉인 평가(사례 54건)에서는 H3(오경보)만 지지되고 H1·H2는 지지되지 않음(4.7절).</w:t>
      </w:r>
    </w:p>
    <w:p>
      <w:pPr>
        <w:pStyle w:val="Heading1"/>
        <w:pageBreakBefore/>
      </w:pPr>
      <w:r>
        <w:t xml:space="preserve">1. 문제</w:t>
      </w:r>
    </w:p>
    <w:p>
      <w:pPr>
        <w:pStyle w:val="Heading2"/>
      </w:pPr>
      <w:r>
        <w:t xml:space="preserve">1.1 규정은 하루만 본다</w:t>
      </w:r>
    </w:p>
    <w:p>
      <w:r>
        <w:t xml:space="preserve">대한야구소프트볼협회(KBSA)는 고교 투수의 하루 최대 투구 수를 105구로 제한하고, 투구 수에 따라 의무 휴식일(46~60구 1일, 61~75구 2일, 76~90구 3일, 91~105구 4일)을 두며, 3일 연속 투구를 금지한다[1][2]. 그러나 이 규정은 하루 단위로만 계산한다.</w:t>
      </w:r>
    </w:p>
    <w:p>
      <w:r>
        <w:t xml:space="preserve">야구공작소가 KBSA 공식 기록을 분석한 결과, 2020년대 고교 투수 1,166명 중 415명(35.6%)이 단기 부하 기준(ACWR 1.5)을 넘은 적이 있었다[3]. 일본(주간 500구), 대만(2일 합산), 캐나다(연속 2일·4일 합산)는 며칠 단위 누적을 관리한다.</w:t>
      </w:r>
    </w:p>
    <w:p>
      <w:pPr>
        <w:pStyle w:val="Heading2"/>
      </w:pPr>
      <w:r>
        <w:t xml:space="preserve">1.2 ‘누가 위험한가’는 가려내기 어렵다</w:t>
      </w:r>
    </w:p>
    <w:p>
      <w:r>
        <w:t xml:space="preserve">MLB 투수 연구에서 구속·체중·나이 같은 선수 간 비교 요인은 팔꿈치 인대 재건술 발생 분산의 약 7%만 설명했다[4]. 그래서 질문을 바꾼다. “이 선수가 위험한가”가 아니라 “이 선수가 평소의 자신과 달라졌는가”다.</w:t>
      </w:r>
    </w:p>
    <w:p>
      <w:pPr>
        <w:pStyle w:val="Heading2"/>
      </w:pPr>
      <w:r>
        <w:t xml:space="preserve">1.3 부상 전 신호는 있다 — 그러나 운영 시스템은 없다</w:t>
      </w:r>
    </w:p>
    <w:p>
      <w:r>
        <w:t xml:space="preserve">부상 전 투구 추적 지표에 신호가 있다는 연구는 다음과 같다.</w:t>
      </w:r>
    </w:p>
    <w:p>
      <w:pPr>
        <w:pStyle w:val="ListParagraph"/>
        <w:numPr>
          <w:ilvl w:val="0"/>
          <w:numId w:val="3"/>
        </w:numPr>
      </w:pPr>
      <w:r>
        <w:t xml:space="preserve">IL 등재 직전 5등판의 구속 하락: 팔꿈치 인대 수술 78명[5], 어깨 관절와순 수술 27명[6]</w:t>
      </w:r>
    </w:p>
    <w:p>
      <w:pPr>
        <w:pStyle w:val="ListParagraph"/>
        <w:numPr>
          <w:ilvl w:val="0"/>
          <w:numId w:val="3"/>
        </w:numPr>
      </w:pPr>
      <w:r>
        <w:t xml:space="preserve">급성 부상 투구의 다변량 거리 이탈[7]</w:t>
      </w:r>
    </w:p>
    <w:p>
      <w:r>
        <w:t xml:space="preserve">그런데 모두 부상 뒤에 돌아본 분석이고, “정상 상태에서 몇 등판에 한 번 울리는가”를 다루지 않는다. 현장 규칙인 ‘시즌 초보다 구속 1mph 하락’을 대조군에 적용하면 100등판에 6.7번 울린다.</w:t>
      </w:r>
    </w:p>
    <w:p>
      <w:pPr>
        <w:pStyle w:val="Heading2"/>
      </w:pPr>
      <w:r>
        <w:t xml:space="preserve">1.4 이상이 드러난 뒤의 대응은 늦거나 급하다</w:t>
      </w:r>
    </w:p>
    <w:p>
      <w:pPr>
        <w:pStyle w:val="Figure"/>
      </w:pPr>
      <w:r>
        <w:rPr>
          <w:rFonts w:ascii="Noto Sans KR" w:cs="Noto Sans KR" w:eastAsia="Noto Sans KR" w:hAnsi="Noto Sans KR"/>
          <w:color w:val="888888"/>
          <w:sz w:val="17"/>
          <w:szCs w:val="17"/>
        </w:rPr>
        <w:t xml:space="preserve">[그림 자리 — 이 줄을 지우고 그림을 붙여 넣기]</w:t>
      </w:r>
    </w:p>
    <w:p>
      <w:pPr>
        <w:pStyle w:val="FigureCaption"/>
      </w:pPr>
      <w:r>
        <w:rPr>
          <w:b/>
          <w:bCs/>
        </w:rPr>
        <w:t xml:space="preserve">그림 1.</w:t>
      </w:r>
      <w:r>
        <w:t xml:space="preserve"> 2026 KBO 외국인 투수 부상 이후 결정까지 걸린 기간. 완전 교체 두 건은 36~41일, 6주 대체 두 건은 3~6일 만에 결정되었다.</w:t>
      </w:r>
    </w:p>
    <w:p>
      <w:r>
        <w:t xml:space="preserve">완전 교체는 ‘조금 더 기다릴지’를 판단할 객관적 근거가 없어 늦어지고, 6주 대체는 준비된 후보 없이 급하게 고르게 된다[8].</w:t>
      </w:r>
    </w:p>
    <w:p>
      <w:pPr>
        <w:pStyle w:val="Heading2"/>
      </w:pPr>
      <w:r>
        <w:t xml:space="preserve">1.5 문제 정의</w:t>
      </w:r>
    </w:p>
    <w:p>
      <w:pPr>
        <w:spacing w:after="200" w:before="120"/>
        <w:ind w:left="567" w:right="567"/>
      </w:pPr>
      <w:r>
        <w:rPr>
          <w:b/>
          <w:bCs/>
        </w:rPr>
        <w:t xml:space="preserve">투수마다 다른 ‘평소’를 기준으로, 현장이 감당할 수 있는 오경보율을 미리 보장하면서, 투구 이상 신호를 기존 방식과 같은 조건에서 비교해 보일 수 있는가?</w:t>
      </w:r>
    </w:p>
    <w:p>
      <w:pPr>
        <w:pStyle w:val="Heading1"/>
      </w:pPr>
      <w:r>
        <w:t xml:space="preserve">2. 선행 사례와 차별점</w:t>
      </w:r>
    </w:p>
    <w:p>
      <w:pPr>
        <w:pStyle w:val="TableCaption"/>
        <w:keepNext/>
      </w:pPr>
      <w:r>
        <w:rPr>
          <w:b/>
          <w:bCs/>
        </w:rPr>
        <w:t xml:space="preserve">표 2.</w:t>
      </w:r>
      <w:r>
        <w:t xml:space="preserve"> 선행 사례 비교</w:t>
      </w:r>
    </w:p>
    <w:tbl>
      <w:tblPr>
        <w:tblW w:type="dxa" w:w="907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500"/>
        <w:gridCol w:w="3272"/>
      </w:tblGrid>
      <w:tr>
        <w:trPr>
          <w:tblHeader/>
        </w:trPr>
        <w:tc>
          <w:tcPr>
            <w:tcW w:type="dxa" w:w="23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사례</w:t>
            </w:r>
          </w:p>
        </w:tc>
        <w:tc>
          <w:tcPr>
            <w:tcW w:type="dxa" w:w="35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3272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이 제안과 다른 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Brown 외(2026)[9]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투수별 WHIP CUSUM, 재부상 신호를 4~9경기 먼저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투구 품질 신호, 첫 부상, 오경보율 설계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급성 UCL 연구(2025)[7]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직전 경기 기준선 대비 마할라노비스 거리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경기 단위 연속 감시, 짧은 등판 처리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Mastroianni 외(2026)[5]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IL 직전 5등판 구속 하락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사후 분석이 아닌 운영 신호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Kang 외(2025)[10]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딥러닝 토미존 수술 예측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설명 가능한 신호, 개인 기준선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야구공작소(2026)[3]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고교 투구수 ACWR 분석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규정 엔진과 현황판으로 제품화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PULSE[11], PitchAI[12]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팔 센서 ACWR, 스마트폰 동작 분석</w:t>
            </w:r>
          </w:p>
        </w:tc>
        <w:tc>
          <w:tcPr>
            <w:tcW w:type="dxa" w:w="3272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센서와 무관한 감시 엔진</w:t>
            </w:r>
          </w:p>
        </w:tc>
      </w:tr>
    </w:tbl>
    <w:p>
      <w:pPr>
        <w:spacing w:after="120" w:before="0"/>
      </w:pPr>
    </w:p>
    <w:p>
      <w:r>
        <w:t xml:space="preserve">핵심 차별점은 네 가지다.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오경보율을 설계로 보장한다.</w:t>
      </w:r>
      <w:r>
        <w:t xml:space="preserve"> 정상 상태에서 100등판에 1회로 정하고, 투구 수가 다른 짧은 등판에서도 이 값을 지킨다.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정면 비교와 사전 고정.</w:t>
      </w:r>
      <w:r>
        <w:t xml:space="preserve"> 기존 네 방식을 같은 오경보율에 맞춘 뒤 같은 사례·대조군·관찰 창에서 비교한다.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설명 가능한 경보.</w:t>
      </w:r>
      <w:r>
        <w:t xml:space="preserve"> 지수 하나와 ‘무엇이 얼마나 달라졌나’ 카드를 보여 주고, 판단은 사람이 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두 갈래 적용.</w:t>
      </w:r>
      <w:r>
        <w:t xml:space="preserve"> 추적 장비가 있는 팀에는 투구 품질을, 없는 고교·대회에는 투구 수 누적을 같은 원리로 감시한다.</w:t>
      </w:r>
    </w:p>
    <w:p>
      <w:pPr>
        <w:pStyle w:val="Heading1"/>
      </w:pPr>
      <w:r>
        <w:t xml:space="preserve">3. 해결 방안</w:t>
      </w:r>
    </w:p>
    <w:p>
      <w:pPr>
        <w:pStyle w:val="Heading2"/>
      </w:pPr>
      <w:r>
        <w:t xml:space="preserve">3.2 가변 표본 표준화</w:t>
      </w:r>
    </w:p>
    <w:p>
      <w:pPr>
        <w:keepNext/>
      </w:pPr>
      <w:r>
        <w:t xml:space="preserve">등판 </w:t>
      </w:r>
      <w:r>
        <w:rPr>
          <w:i/>
          <w:iCs/>
        </w:rPr>
        <w:t xml:space="preserve">t</w:t>
      </w:r>
      <w:r>
        <w:t xml:space="preserve">의 특징 평균을 </w:t>
      </w:r>
      <w:r>
        <w:rPr>
          <w:i/>
          <w:iCs/>
        </w:rPr>
        <w:t xml:space="preserve">x̄</w:t>
      </w:r>
      <w:r>
        <w:rPr>
          <w:i/>
          <w:iCs/>
          <w:vertAlign w:val="subscript"/>
        </w:rPr>
        <w:t xml:space="preserve">t</w:t>
      </w:r>
      <w:r>
        <w:t xml:space="preserve">(투구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t</w:t>
      </w:r>
      <w:r>
        <w:t xml:space="preserve">개), 직전까지의 평소로 예상한 값을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t</w:t>
      </w:r>
      <w:r>
        <w:t xml:space="preserve">, 그 불확실성을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t</w:t>
      </w:r>
      <w:r>
        <w:t xml:space="preserve">, 등판마다의 흔들림을 </w:t>
      </w:r>
      <w:r>
        <w:rPr>
          <w:i w:val="false"/>
          <w:iCs w:val="false"/>
        </w:rPr>
        <w:t xml:space="preserve">Σ</w:t>
      </w:r>
      <w:r>
        <w:rPr>
          <w:i/>
          <w:iCs/>
          <w:vertAlign w:val="subscript"/>
        </w:rPr>
        <w:t xml:space="preserve">e</w:t>
      </w:r>
      <w:r>
        <w:t xml:space="preserve">, 투구별 흔들림을 </w:t>
      </w:r>
      <w:r>
        <w:rPr>
          <w:i w:val="false"/>
          <w:iCs w:val="false"/>
        </w:rPr>
        <w:t xml:space="preserve">Σ</w:t>
      </w:r>
      <w:r>
        <w:rPr>
          <w:i/>
          <w:iCs/>
          <w:vertAlign w:val="subscript"/>
        </w:rPr>
        <w:t xml:space="preserve">w</w:t>
      </w:r>
      <w:r>
        <w:t xml:space="preserve">라 하면 표준화 값은 다음과 같다.</w:t>
      </w:r>
    </w:p>
    <w:p>
      <w:pPr>
        <w:keepNext/>
        <w:tabs>
          <w:tab w:val="center" w:pos="4536"/>
          <w:tab w:val="right" w:pos="9072"/>
        </w:tabs>
        <w:spacing w:after="200" w:before="120"/>
        <w:jc w:val="left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t</w:t>
      </w:r>
      <w:r>
        <w:t xml:space="preserve"> =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t</w:t>
      </w:r>
      <w:r>
        <w:t xml:space="preserve"> + </w:t>
      </w:r>
      <w:r>
        <w:rPr>
          <w:i w:val="false"/>
          <w:iCs w:val="false"/>
        </w:rPr>
        <w:t xml:space="preserve">Σ</w:t>
      </w:r>
      <w:r>
        <w:rPr>
          <w:i/>
          <w:iCs/>
          <w:vertAlign w:val="subscript"/>
        </w:rPr>
        <w:t xml:space="preserve">e</w:t>
      </w:r>
      <w:r>
        <w:t xml:space="preserve"> + </w:t>
      </w:r>
      <w:r>
        <w:rPr>
          <w:i w:val="false"/>
          <w:iCs w:val="false"/>
        </w:rPr>
        <w:t xml:space="preserve">Σ</w:t>
      </w:r>
      <w:r>
        <w:rPr>
          <w:i/>
          <w:iCs/>
          <w:vertAlign w:val="subscript"/>
        </w:rPr>
        <w:t xml:space="preserve">w</w:t>
      </w:r>
      <w:r>
        <w:t xml:space="preserve"> /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t</w:t>
      </w:r>
      <w:r>
        <w:t xml:space="preserve">	(1)</w:t>
      </w:r>
    </w:p>
    <w:p>
      <w:pPr>
        <w:keepNext w:val="false"/>
        <w:tabs>
          <w:tab w:val="center" w:pos="4536"/>
          <w:tab w:val="right" w:pos="9072"/>
        </w:tabs>
        <w:spacing w:after="200" w:before="120"/>
        <w:jc w:val="left"/>
      </w:pPr>
      <w:r>
        <w:t xml:space="preserve">	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t</w:t>
      </w:r>
      <w:r>
        <w:t xml:space="preserve"> =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t</w:t>
      </w:r>
      <w:r>
        <w:rPr>
          <w:vertAlign w:val="superscript"/>
        </w:rPr>
        <w:t xml:space="preserve">−1/2</w:t>
      </w:r>
      <w:r>
        <w:t xml:space="preserve"> (</w:t>
      </w:r>
      <w:r>
        <w:rPr>
          <w:i/>
          <w:iCs/>
        </w:rPr>
        <w:t xml:space="preserve">x̄</w:t>
      </w:r>
      <w:r>
        <w:rPr>
          <w:i/>
          <w:iCs/>
          <w:vertAlign w:val="subscript"/>
        </w:rPr>
        <w:t xml:space="preserve">t</w:t>
      </w:r>
      <w:r>
        <w:t xml:space="preserve"> −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t</w:t>
      </w:r>
      <w:r>
        <w:t xml:space="preserve">)</w:t>
      </w:r>
      <w:r>
        <w:t xml:space="preserve">	(2)</w:t>
      </w:r>
    </w:p>
    <w:p>
      <w:r>
        <w:t xml:space="preserve">정상 상태의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t</w:t>
      </w:r>
      <w:r>
        <w:t xml:space="preserve">는 등판 길이나 시즌 중 시점과 상관없이 표준정규분포를 따른다. 통계적 품질관리의 가변 표본 크기 관리도[13]를 ‘수준이 움직이는 공정’으로 넓힌 형태다.</w:t>
      </w:r>
    </w:p>
    <w:p>
      <w:pPr>
        <w:pStyle w:val="Heading1"/>
        <w:pageBreakBefore/>
      </w:pPr>
      <w:r>
        <w:t xml:space="preserve">8. 출처</w:t>
      </w:r>
    </w:p>
    <w:p>
      <w:pPr>
        <w:pStyle w:val="Heading2"/>
      </w:pPr>
      <w:r>
        <w:t xml:space="preserve">8.2 참고문헌</w:t>
      </w:r>
    </w:p>
    <w:p>
      <w:pPr>
        <w:pStyle w:val="Reference"/>
      </w:pPr>
      <w:r>
        <w:t xml:space="preserve">[1]	스포티비뉴스, 「‘혹사’ 사라진 고교야구, ‘공정함’까지 더한다…투구수 제한과 ABS 도입의 의미」.</w:t>
      </w:r>
    </w:p>
    <w:p>
      <w:pPr>
        <w:pStyle w:val="Reference"/>
      </w:pPr>
      <w:r>
        <w:t xml:space="preserve">[3]	야구공작소, 「여전히 보호받지 못하는 소년들」, 2026. 8.</w:t>
      </w:r>
    </w:p>
    <w:p>
      <w:pPr>
        <w:pStyle w:val="Reference"/>
      </w:pPr>
      <w:r>
        <w:t xml:space="preserve">[4]	Chalmers, P. N., et al. (2016). Fastball pitch velocity helps predict ulnar collateral ligament reconstruction in Major League Baseball pitchers. American Journal of Sports Medicine, 44(8), 2130–2135.</w:t>
      </w:r>
    </w:p>
    <w:p>
      <w:pPr>
        <w:pStyle w:val="Reference"/>
      </w:pPr>
      <w:r>
        <w:t xml:space="preserve">[13]	Montgomery, D. C. Introduction to Statistical Quality Control. Wiley.</w:t>
      </w:r>
    </w:p>
    <w:p>
      <w:pPr>
        <w:pStyle w:val="Reference"/>
      </w:pPr>
      <w:r>
        <w:t xml:space="preserve">[14]	Lowry, C. A., Woodall, W. H., Champ, C. W., &amp; Rigdon, S. E. (1992). A multivariate exponentially weighted moving average control chart. Technometrics, 34(1), 46–53.</w:t>
      </w:r>
    </w:p>
    <w:p>
      <w:pPr>
        <w:pageBreakBefore/>
        <w:spacing w:after="240"/>
      </w:pPr>
      <w:r>
        <w:rPr>
          <w:rFonts w:ascii="Noto Sans KR" w:cs="Noto Sans KR" w:eastAsia="Noto Sans KR" w:hAnsi="Noto Sans KR"/>
          <w:b/>
          <w:bCs/>
          <w:sz w:val="24"/>
          <w:szCs w:val="24"/>
        </w:rPr>
        <w:t xml:space="preserve">서식 기준 (제출 전 이 쪽 삭제)</w:t>
      </w:r>
    </w:p>
    <w:tbl>
      <w:tblPr>
        <w:tblW w:type="dxa" w:w="907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00"/>
        <w:gridCol w:w="1800"/>
        <w:gridCol w:w="2900"/>
        <w:gridCol w:w="2672"/>
      </w:tblGrid>
      <w:tr>
        <w:trPr>
          <w:tblHeader/>
        </w:trPr>
        <w:tc>
          <w:tcPr>
            <w:tcW w:type="dxa" w:w="17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요소</w:t>
            </w:r>
          </w:p>
        </w:tc>
        <w:tc>
          <w:tcPr>
            <w:tcW w:type="dxa" w:w="18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Word 스타일</w:t>
            </w:r>
          </w:p>
        </w:tc>
        <w:tc>
          <w:tcPr>
            <w:tcW w:type="dxa" w:w="2900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글꼴 · 크기</w:t>
            </w:r>
          </w:p>
        </w:tc>
        <w:tc>
          <w:tcPr>
            <w:tcW w:type="dxa" w:w="2672"/>
            <w:tcBorders>
              <w:top w:val="single" w:color="000000" w:sz="8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간격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본문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표준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본명조(Noto Serif KR) 10.5pt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줄 고정 16.5pt, 문단 뒤 5pt, 양쪽 정렬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장 제목 (1.)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제목 1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본고딕(Noto Sans KR) 16pt 굵게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앞 22pt, 뒤 10pt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절 제목 (1.1)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제목 2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12pt 굵게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앞 16pt, 뒤 5pt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소제목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제목 3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10.5pt 굵게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앞 10pt, 뒤 2pt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표 제목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Table Caption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9pt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표 위, 왼쪽 정렬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그림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Figure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가운데 정렬, 줄간격 한 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그림 제목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Figure Caption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9pt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그림 아래, 왼쪽 정렬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표 안 글자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Table Text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9pt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줄 고정 13pt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주 · 자료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Note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본고딕 8.5pt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표 바로 아래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참고문헌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Reference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본명조 9pt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내어쓰기 8mm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여백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—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A4</w:t>
            </w:r>
          </w:p>
        </w:tc>
        <w:tc>
          <w:tcPr>
            <w:tcW w:type="dxa" w:w="2672"/>
            <w:tcBorders>
              <w:top w:val="none" w:color="auto" w:sz="0"/>
              <w:left w:val="none" w:color="auto" w:sz="0"/>
              <w:bottom w:val="single" w:color="000000" w:sz="8"/>
              <w:right w:val="none" w:color="auto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TableText"/>
              <w:jc w:val="left"/>
            </w:pPr>
            <w:r>
              <w:t xml:space="preserve">위 · 아래 · 좌 · 우 25mm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3"/>
        </w:numPr>
      </w:pPr>
      <w:r>
        <w:t xml:space="preserve">강조는 굵게만 쓰고 한 문단에 한 번을 넘기지 않는다. 색 글자, 밑줄, 기울임은 쓰지 않는다.</w:t>
      </w:r>
    </w:p>
    <w:p>
      <w:pPr>
        <w:pStyle w:val="ListParagraph"/>
        <w:numPr>
          <w:ilvl w:val="0"/>
          <w:numId w:val="3"/>
        </w:numPr>
      </w:pPr>
      <w:r>
        <w:t xml:space="preserve">표는 위아래 굵은 선과 머리행 아래 얇은 선만 쓴다. 세로선과 배경색은 쓰지 않는다.</w:t>
      </w:r>
    </w:p>
    <w:p>
      <w:pPr>
        <w:pStyle w:val="ListParagraph"/>
        <w:numPr>
          <w:ilvl w:val="0"/>
          <w:numId w:val="3"/>
        </w:numPr>
      </w:pPr>
      <w:r>
        <w:t xml:space="preserve">표·그림 번호는 등장 순서대로 1부터 매기고, 본문에서 반드시 먼저 언급한다.</w:t>
      </w:r>
    </w:p>
    <w:p>
      <w:pPr>
        <w:pStyle w:val="ListParagraph"/>
        <w:numPr>
          <w:ilvl w:val="0"/>
          <w:numId w:val="3"/>
        </w:numPr>
      </w:pPr>
      <w:r>
        <w:t xml:space="preserve">숫자와 단위는 붙여 쓴다(105구, 10.3%, 0.85/100). 범위는 물결표(36~41일)로 통일한다.</w:t>
      </w:r>
    </w:p>
    <w:p>
      <w:pPr>
        <w:pStyle w:val="ListParagraph"/>
        <w:numPr>
          <w:ilvl w:val="0"/>
          <w:numId w:val="3"/>
        </w:numPr>
      </w:pPr>
      <w:r>
        <w:t xml:space="preserve">그림은 반드시 ‘Figure’ 스타일 문단에 넣는다. 본문 문단은 줄간격이 고정값이라 그림이 잘린다.</w:t>
      </w:r>
    </w:p>
    <w:p>
      <w:pPr>
        <w:pStyle w:val="ListParagraph"/>
        <w:numPr>
          <w:ilvl w:val="0"/>
          <w:numId w:val="3"/>
        </w:numPr>
      </w:pPr>
      <w:r>
        <w:t xml:space="preserve">목차는 마우스 오른쪽 → 필드 업데이트로 갱신한다.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555555"/>
        <w:sz w:val="16"/>
        <w:szCs w:val="16"/>
      </w:rPr>
      <w:t xml:space="preserve">피치시그널(PitchSignal) 제안서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KR" w:cs="Noto Serif KR" w:eastAsia="Noto Serif KR" w:hAnsi="Noto Serif KR"/>
        <w:color w:val="000000"/>
        <w:sz w:val="21"/>
        <w:szCs w:val="21"/>
      </w:rPr>
    </w:rPrDefault>
    <w:pPrDefault>
      <w:pPr>
        <w:spacing w:after="100" w:line="330" w:lineRule="exact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440" w:line="440" w:lineRule="exact"/>
      <w:jc w:val="left"/>
      <w:outlineLvl w:val="0"/>
    </w:pPr>
    <w:rPr>
      <w:rFonts w:ascii="Noto Sans KR" w:cs="Noto Sans KR" w:eastAsia="Noto Sans KR" w:hAnsi="Noto Sans KR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320" w:line="340" w:lineRule="exact"/>
      <w:jc w:val="left"/>
      <w:outlineLvl w:val="1"/>
    </w:pPr>
    <w:rPr>
      <w:rFonts w:ascii="Noto Sans KR" w:cs="Noto Sans KR" w:eastAsia="Noto Sans KR" w:hAnsi="Noto Sans KR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40" w:before="200" w:line="320" w:lineRule="exact"/>
      <w:jc w:val="left"/>
      <w:outlineLvl w:val="2"/>
    </w:pPr>
    <w:rPr>
      <w:rFonts w:ascii="Noto Sans KR" w:cs="Noto Sans KR" w:eastAsia="Noto Sans KR" w:hAnsi="Noto Sans KR"/>
      <w:b/>
      <w:bCs/>
      <w:sz w:val="21"/>
      <w:szCs w:val="21"/>
    </w:rPr>
  </w:style>
  <w:style w:type="paragraph" w:styleId="TableCaption">
    <w:name w:val="Table Caption"/>
    <w:basedOn w:val="Normal"/>
    <w:qFormat/>
    <w:pPr>
      <w:spacing w:after="80" w:before="180" w:line="270" w:lineRule="exact"/>
      <w:jc w:val="left"/>
    </w:pPr>
    <w:rPr>
      <w:rFonts w:ascii="Noto Sans KR" w:cs="Noto Sans KR" w:eastAsia="Noto Sans KR" w:hAnsi="Noto Sans KR"/>
      <w:sz w:val="18"/>
      <w:szCs w:val="18"/>
    </w:rPr>
  </w:style>
  <w:style w:type="paragraph" w:styleId="FigureCaption">
    <w:name w:val="Figure Caption"/>
    <w:basedOn w:val="Normal"/>
    <w:qFormat/>
    <w:pPr>
      <w:spacing w:after="200" w:before="80" w:line="270" w:lineRule="exact"/>
      <w:jc w:val="left"/>
    </w:pPr>
    <w:rPr>
      <w:rFonts w:ascii="Noto Sans KR" w:cs="Noto Sans KR" w:eastAsia="Noto Sans KR" w:hAnsi="Noto Sans KR"/>
      <w:sz w:val="18"/>
      <w:szCs w:val="18"/>
    </w:rPr>
  </w:style>
  <w:style w:type="paragraph" w:styleId="TableText">
    <w:name w:val="Table Text"/>
    <w:basedOn w:val="Normal"/>
    <w:qFormat/>
    <w:pPr>
      <w:spacing w:after="0" w:before="0" w:line="260" w:lineRule="exact"/>
    </w:pPr>
    <w:rPr>
      <w:rFonts w:ascii="Noto Sans KR" w:cs="Noto Sans KR" w:eastAsia="Noto Sans KR" w:hAnsi="Noto Sans KR"/>
      <w:sz w:val="18"/>
      <w:szCs w:val="18"/>
    </w:rPr>
  </w:style>
  <w:style w:type="paragraph" w:styleId="Note">
    <w:name w:val="Note"/>
    <w:basedOn w:val="Normal"/>
    <w:qFormat/>
    <w:pPr>
      <w:spacing w:after="180" w:before="60" w:line="250" w:lineRule="exact"/>
      <w:jc w:val="left"/>
    </w:pPr>
    <w:rPr>
      <w:rFonts w:ascii="Noto Sans KR" w:cs="Noto Sans KR" w:eastAsia="Noto Sans KR" w:hAnsi="Noto Sans KR"/>
      <w:sz w:val="17"/>
      <w:szCs w:val="17"/>
    </w:rPr>
  </w:style>
  <w:style w:type="paragraph" w:styleId="Reference">
    <w:name w:val="Reference"/>
    <w:basedOn w:val="Normal"/>
    <w:qFormat/>
    <w:pPr>
      <w:tabs>
        <w:tab w:val="left" w:pos="454"/>
      </w:tabs>
      <w:spacing w:after="60" w:line="270" w:lineRule="exact"/>
      <w:ind w:left="454" w:hanging="454"/>
      <w:jc w:val="left"/>
    </w:pPr>
    <w:rPr>
      <w:sz w:val="18"/>
      <w:szCs w:val="18"/>
    </w:rPr>
  </w:style>
  <w:style w:type="paragraph" w:styleId="Figure">
    <w:name w:val="Figure"/>
    <w:basedOn w:val="Normal"/>
    <w:next w:val="FigureCaption"/>
    <w:qFormat/>
    <w:pPr>
      <w:keepNext/>
      <w:spacing w:after="0" w:before="160" w:line="240" w:lineRule="auto"/>
      <w:jc w:val="center"/>
    </w:pPr>
  </w:style>
  <w:style w:type="paragraph" w:styleId="TOC1">
    <w:name w:val="toc 1"/>
    <w:basedOn w:val="Normal"/>
    <w:pPr>
      <w:spacing w:after="40" w:before="160"/>
    </w:pPr>
    <w:rPr>
      <w:rFonts w:ascii="Noto Sans KR" w:cs="Noto Sans KR" w:eastAsia="Noto Sans KR" w:hAnsi="Noto Sans KR"/>
      <w:b/>
      <w:bCs/>
      <w:sz w:val="21"/>
      <w:szCs w:val="21"/>
    </w:rPr>
  </w:style>
  <w:style w:type="paragraph" w:styleId="TOC2">
    <w:name w:val="toc 2"/>
    <w:basedOn w:val="Normal"/>
    <w:pPr>
      <w:spacing w:after="20"/>
      <w:ind w:left="42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피치시그널(PitchSignal) 제안서</dc:title>
  <dc:creator>김형준</dc:creator>
  <cp:lastModifiedBy>Un-named</cp:lastModifiedBy>
  <cp:revision>1</cp:revision>
  <dcterms:created xsi:type="dcterms:W3CDTF">2026-10-22T06:48:01.685Z</dcterms:created>
  <dcterms:modified xsi:type="dcterms:W3CDTF">2026-10-22T06:48:01.694Z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