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b/>
          <w:bCs/>
        </w:rPr>
        <w:t xml:space="preserve">ACESSO À SAÚDE, UM DIREITO FUNDAMENTAL: A JUDICIALIZAÇÃO DO ACESSO A MEDICAMENTOS DE ALTO CUSTO NÃO PADRONIZADOS PELO SUS</w:t>
      </w:r>
    </w:p>
    <w:p>
      <w:pPr>
        <w:spacing w:after="360" w:line="360"/>
        <w:jc w:val="right"/>
      </w:pPr>
      <w:r>
        <w:t xml:space="preserve">Gabriele de Oliveira Diubate</w:t>
      </w:r>
    </w:p>
    <w:p>
      <w:pPr>
        <w:spacing w:after="120"/>
        <w:jc w:val="center"/>
      </w:pPr>
      <w:r>
        <w:rPr>
          <w:b/>
          <w:bCs/>
        </w:rPr>
        <w:t xml:space="preserve">RESUMO</w:t>
      </w:r>
    </w:p>
    <w:p>
      <w:pPr>
        <w:spacing w:after="120" w:line="240"/>
        <w:jc w:val="both"/>
      </w:pPr>
      <w:r>
        <w:t xml:space="preserve">Este artigo investiga se os critérios fixados pelo Supremo Tribunal Federal nos Temas 6 e 1234 da repercussão geral tornam a judicialização da saúde mais racional ou se funcionam como obstáculo ao direito fundamental à saúde. Para isso, foram analisados cinco acórdãos do Tribunal de Justiça do Paraná (TJPR), julgados entre abril de 2025 e abril de 2026, sobre o fornecimento de medicamentos pelo Sistema Único de Saúde (SUS). A pesquisa é qualitativa, utiliza o método dedutivo e se apoia em revisão bibliográfica e análise documental da Constituição Federal, da Lei nº 8.080/1990, de orientações do Conselho Nacional de Justiça e de precedentes do STF e do STJ. Os resultados mostram que, nos pedidos de medicamentos não incorporados, o TJPR aplica os requisitos do Tema 6 de forma cumulativa e rigorosa, e que o ponto decisivo costuma ser a prova da ilegalidade da decisão da CONITEC, que fica a cargo do paciente. Já nos medicamentos incorporados, o Tribunal afasta os Temas 6 e 1234, o que funciona como uma “válvula de escape”, mas gera dúvidas quando o remédio foi incorporado para uma doença diferente daquela do paciente. Conclui-se que os critérios não são, por si sós, incompatíveis com o direito à saúde, mas sua aplicação pode restringir o acesso quando o rigor da prova não considera as condições concretas do paciente.</w:t>
      </w:r>
    </w:p>
    <w:p>
      <w:pPr>
        <w:spacing w:after="360" w:line="240"/>
        <w:jc w:val="both"/>
      </w:pPr>
      <w:r>
        <w:rPr>
          <w:b/>
          <w:bCs/>
        </w:rPr>
        <w:t xml:space="preserve">Palavras-chave:</w:t>
      </w:r>
      <w:r>
        <w:t xml:space="preserve"> Direito fundamental à saúde; Judicialização de medicamentos; Tema 6 do STF; Sistema Único de Saúde.</w:t>
      </w:r>
    </w:p>
    <w:p>
      <w:pPr>
        <w:spacing w:after="120"/>
        <w:jc w:val="center"/>
      </w:pPr>
      <w:r>
        <w:rPr>
          <w:b/>
          <w:bCs/>
        </w:rPr>
        <w:t xml:space="preserve">ABSTRACT</w:t>
      </w:r>
    </w:p>
    <w:p>
      <w:pPr>
        <w:spacing w:after="120" w:line="240"/>
        <w:jc w:val="both"/>
      </w:pPr>
      <w:r>
        <w:t xml:space="preserve">This article investigates whether the criteria established by the Brazilian Supreme Federal Court (STF) in General Repercussion Themes 6 and 1234 make the judicialization of healthcare more rational or act as an obstacle to the fundamental right to health. Five decisions of the Court of Justice of Paraná (TJPR), issued between April 2025 and April 2026, on the supply of medicines by the Unified Health System (SUS) were analyzed. The research is qualitative, follows the deductive method and is based on a literature review and document analysis of the Federal Constitution, Law No. 8,080/1990, guidelines from the National Council of Justice and precedents of the STF and the Superior Court of Justice (STJ). The results show that, in requests for medicines not incorporated into the SUS, the TJPR applies the requirements of Theme 6 cumulatively and strictly, and that the decisive point is usually the proof that CONITEC’s decision was illegal, a burden placed on the patient. For medicines already incorporated, the Court does not apply Themes 6 and 1234, which works as an “escape valve”, but raises doubts when the medicine was incorporated for a disease other than the patient’s. The study concludes that the criteria are not, in themselves, incompatible with the right to health, but their application may restrict access when the strictness of the evidence required does not take into account the patient’s concrete conditions.</w:t>
      </w:r>
    </w:p>
    <w:p>
      <w:pPr>
        <w:spacing w:after="360" w:line="240"/>
        <w:jc w:val="both"/>
      </w:pPr>
      <w:r>
        <w:rPr>
          <w:b/>
          <w:bCs/>
        </w:rPr>
        <w:t xml:space="preserve">Keywords:</w:t>
      </w:r>
      <w:r>
        <w:t xml:space="preserve"> Fundamental right to health; Judicialization of medicines; STF Theme 6; Unified Health System.</w:t>
      </w:r>
    </w:p>
    <w:p>
      <w:pPr>
        <w:spacing w:after="240" w:before="360" w:line="360"/>
      </w:pPr>
      <w:r>
        <w:rPr>
          <w:b/>
          <w:bCs/>
        </w:rPr>
        <w:t xml:space="preserve">INTRODUÇÃO</w:t>
      </w:r>
    </w:p>
    <w:p>
      <w:pPr>
        <w:spacing w:after="0" w:line="360"/>
        <w:ind w:firstLine="709"/>
        <w:jc w:val="both"/>
      </w:pPr>
      <w:r>
        <w:t xml:space="preserve">A Constituição Federal de 1988 reconheceu a saúde como direito social (art. 6º) e afirmou que ela é “direito de todos e dever do Estado” (art. 196). Na prática, porém, muitos pacientes precisam de medicamentos que não estão nas listas do Sistema Único de Saúde (SUS) e, sem condições de comprá-los, recorrem ao Poder Judiciário. Esse movimento, chamado de judicialização da saúde, cresceu tanto que o Supremo Tribunal Federal (STF) passou a fixar regras gerais para esses pedidos.</w:t>
      </w:r>
    </w:p>
    <w:p>
      <w:pPr>
        <w:spacing w:after="0" w:line="360"/>
        <w:ind w:firstLine="709"/>
        <w:jc w:val="both"/>
      </w:pPr>
      <w:r>
        <w:t xml:space="preserve">Em 2024, no julgamento dos Temas 6 e 1234 da repercussão geral, o STF definiu que, como regra, o Judiciário não pode obrigar o Estado a fornecer medicamento não incorporado ao SUS, e só admitiu exceções quando o paciente comprovar, ao mesmo tempo, uma série de requisitos. O problema que este artigo investiga é o seguinte: esses critérios realmente tornam a judicialização mais racional sem comprometer o acesso ao direito fundamental à saúde, ou funcionam, na prática, como uma barreira para o paciente? O objetivo é analisar como o Tribunal de Justiça do Paraná (TJPR) vem aplicando esses critérios e quais são as consequências jurídicas dessa aplicação.</w:t>
      </w:r>
    </w:p>
    <w:p>
      <w:pPr>
        <w:spacing w:after="0" w:line="360"/>
        <w:ind w:firstLine="709"/>
        <w:jc w:val="both"/>
      </w:pPr>
      <w:r>
        <w:t xml:space="preserve">Após esta introdução e a exposição da metodologia, o artigo se divide em três partes. A primeira trata do fundamento constitucional do direito à saúde e da organização do SUS. A segunda explica os critérios fixados pelo STJ e pelo STF. A terceira analisa os julgados do TJPR e discute, a partir deles, se os critérios racionalizam a judicialização ou dificultam o acesso ao tratamento.</w:t>
      </w:r>
    </w:p>
    <w:p>
      <w:pPr>
        <w:spacing w:after="240" w:before="360" w:line="360"/>
      </w:pPr>
      <w:r>
        <w:rPr>
          <w:b/>
          <w:bCs/>
        </w:rPr>
        <w:t xml:space="preserve">METODOLOGIA</w:t>
      </w:r>
    </w:p>
    <w:p>
      <w:pPr>
        <w:spacing w:after="0" w:line="360"/>
        <w:ind w:firstLine="709"/>
        <w:jc w:val="both"/>
      </w:pPr>
      <w:r>
        <w:t xml:space="preserve">A pesquisa é qualitativa e utiliza o método dedutivo: parte das normas gerais e dos precedentes obrigatórios para verificar como eles são aplicados em casos concretos do Paraná. Foram usadas pesquisa bibliográfica, sobre o direito à saúde e a judicialização, e pesquisa documental, que abrangeu a Constituição Federal, a Lei nº 8.080/1990, o guia prático do Conselho Nacional de Justiça (CNJ) sobre os Temas 6 e 1234, o Tema 106 do Superior Tribunal de Justiça (STJ), os Temas 6, 793 e 1234 do STF e as Súmulas Vinculantes nº 60 e 61.</w:t>
      </w:r>
    </w:p>
    <w:p>
      <w:pPr>
        <w:spacing w:after="0" w:line="360"/>
        <w:ind w:firstLine="709"/>
        <w:jc w:val="both"/>
      </w:pPr>
      <w:r>
        <w:t xml:space="preserve">A seleção dos julgados do TJPR foi feita por meio de pesquisa de jurisprudência na plataforma JusBrasil, com termos relacionados aos Temas 6 e 1234 do STF e ao fornecimento de medicamentos pelo SUS, considerando decisões proferidas entre abril de 2025 e abril de 2026, ou seja, depois da publicação das teses do STF. Entre os resultados encontrados, foram escolhidos cinco acórdãos, com base em três critérios: (a) a decisão precisava aplicar ou afastar expressamente os Temas 6 e/ou 1234; (b) a ação precisava ter sido proposta contra o Poder Público, pedindo medicamento ao SUS, o que excluiu os casos envolvendo planos de saúde; e (c) o conjunto precisava reunir situações diferentes — medicamento não incorporado com pedido negado, medicamento não incorporado com pedido concedido e medicamento já incorporado —, para permitir comparar os resultados. Os casos estão resumidos no Quadro 1, na seção 3.</w:t>
      </w:r>
    </w:p>
    <w:p>
      <w:pPr>
        <w:spacing w:after="240" w:before="360" w:line="360"/>
      </w:pPr>
      <w:r>
        <w:rPr>
          <w:b/>
          <w:bCs/>
        </w:rPr>
        <w:t xml:space="preserve">1 O DIREITO FUNDAMENTAL À SAÚDE E A ESTRUTURA DO SUS</w:t>
      </w:r>
    </w:p>
    <w:p>
      <w:pPr>
        <w:spacing w:after="0" w:line="360"/>
        <w:ind w:firstLine="709"/>
        <w:jc w:val="both"/>
      </w:pPr>
      <w:r>
        <w:t xml:space="preserve">O direito à saúde está previsto no art. 6º da Constituição Federal, entre os direitos sociais, que fazem parte do Título II, “Dos Direitos e Garantias Fundamentais”. É essa localização que faz da saúde um direito fundamental. O art. 1º, III, por sua vez, estabelece a dignidade da pessoa humana como fundamento da República; ele não é o dispositivo que cria o direito à saúde, mas ajuda a interpretá-lo, pois não existe vida digna sem condições mínimas de saúde. O conteúdo do direito é detalhado nos arts. 196 a 200, que tratam especificamente da saúde e do SUS. O art. 196 dispõe:</w:t>
      </w:r>
    </w:p>
    <w:p>
      <w:pPr>
        <w:spacing w:after="240" w:before="240" w:line="240"/>
        <w:ind w:left="2268"/>
        <w:jc w:val="both"/>
      </w:pPr>
      <w:r>
        <w:rPr>
          <w:sz w:val="20"/>
          <w:szCs w:val="20"/>
        </w:rPr>
        <w:t xml:space="preserve">A saúde é direito de todos e dever do Estado, garantido mediante políticas sociais e econômicas que visem à redução do risco de doença e de outros agravos e ao acesso universal e igualitário às ações e serviços para sua promoção, proteção e recuperação (BRASIL, 1988).</w:t>
      </w:r>
    </w:p>
    <w:p>
      <w:pPr>
        <w:spacing w:after="0" w:line="360"/>
        <w:ind w:firstLine="709"/>
        <w:jc w:val="both"/>
      </w:pPr>
      <w:r>
        <w:t xml:space="preserve">Esse direito também é reconhecido em documentos internacionais, como a Declaração Universal dos Direitos Humanos e o Pacto Internacional sobre Direitos Econômicos, Sociais e Culturais, que afirmam o direito de toda pessoa de gozar do mais alto nível possível de saúde (MÂNICA, 2011). Sobre os direitos fundamentais em geral, Alexandre de Moraes ensina que eles formam o</w:t>
      </w:r>
    </w:p>
    <w:p>
      <w:pPr>
        <w:spacing w:after="240" w:before="240" w:line="240"/>
        <w:ind w:left="2268"/>
        <w:jc w:val="both"/>
      </w:pPr>
      <w:r>
        <w:rPr>
          <w:sz w:val="20"/>
          <w:szCs w:val="20"/>
        </w:rPr>
        <w:t xml:space="preserve">conjunto institucionalizado de direitos e garantias do ser humano que tem por finalidade básica o respeito a sua dignidade, por meio de sua proteção contra o arbítrio do poder estatal e o estabelecimento de condições mínimas de vida e desenvolvimento da personalidade humana (MORAES, 2011, p. 20).</w:t>
      </w:r>
    </w:p>
    <w:p>
      <w:pPr>
        <w:spacing w:after="0" w:line="360"/>
        <w:ind w:firstLine="709"/>
        <w:jc w:val="both"/>
      </w:pPr>
      <w:r>
        <w:t xml:space="preserve">É importante destacar, porém, que ser um direito fundamental não significa ser um direito absoluto. O próprio art. 196 diz que a saúde é garantida “mediante políticas sociais e econômicas”, ou seja, a Constituição liga esse direito à existência de políticas públicas, que exigem planejamento, escolha de prioridades e divisão de recursos. Por isso, o direito à saúde pode ser regulamentado e pode ser equilibrado com outros valores constitucionais, como a igualdade entre os usuários do SUS e a organização do orçamento, desde que essas limitações sejam justificadas e não esvaziem o núcleo do direito. O próprio STF, antes dos Temas 6 e 1234, já havia afirmado na STA 175 que, em regra, deve ser privilegiado o tratamento oferecido pelo SUS, salvo quando comprovada a ineficácia ou a inadequação da política existente para o caso concreto (BRASIL, 2010).</w:t>
      </w:r>
    </w:p>
    <w:p>
      <w:pPr>
        <w:spacing w:after="0" w:line="360"/>
        <w:ind w:firstLine="709"/>
        <w:jc w:val="both"/>
      </w:pPr>
      <w:r>
        <w:t xml:space="preserve">Essa premissa é central para este artigo: a pergunta não é se o direito à saúde pode ter limites, mas se os limites fixados pelos Temas 6 e 1234 são proporcionais, isto é, se organizam o sistema sem inviabilizar o acesso de quem realmente precisa.</w:t>
      </w:r>
    </w:p>
    <w:p>
      <w:pPr>
        <w:spacing w:after="0" w:line="360"/>
        <w:ind w:firstLine="709"/>
        <w:jc w:val="both"/>
      </w:pPr>
      <w:r>
        <w:t xml:space="preserve">Quanto à formação do SUS, até a década de 1980 o acesso à saúde pública era ligado ao emprego formal, por meio das Caixas de Aposentadoria e Pensão e, depois, dos Institutos de Aposentadoria e Pensões, que deixavam de fora trabalhadores rurais, informais e desempregados (KIRST; DARSIE, 2021). Nas décadas de 1970 e 1980, o Movimento da Reforma Sanitária passou a defender a saúde como direito de cidadania (GÖTTEMS et al., 2019), e a 8ª Conferência Nacional de Saúde, em 1986, reuniu as propostas de descentralização, participação social e integralidade que seriam incorporadas pela Constituição de 1988 (BARDANACHVILI, 2018).</w:t>
      </w:r>
    </w:p>
    <w:p>
      <w:pPr>
        <w:spacing w:after="0" w:line="360"/>
        <w:ind w:firstLine="709"/>
        <w:jc w:val="both"/>
      </w:pPr>
      <w:r>
        <w:t xml:space="preserve">Pelo art. 198 da Constituição, as ações e serviços públicos de saúde formam uma rede regionalizada e hierarquizada, organizada como sistema único, com três diretrizes: descentralização, com direção única em cada esfera de governo; atendimento integral; e participação da comunidade. A Lei nº 8.080/1990 prevê a assistência terapêutica integral, inclusive farmacêutica (art. 6º, I, “d”), mas também define como ela funciona: a dispensação de medicamentos deve seguir os protocolos clínicos da doença ou, na falta deles, as listas oficiais (art. 19-M, I, e art. 19-P). A inclusão de um novo medicamento no SUS cabe ao Ministério da Saúde, assessorado pela Comissão Nacional de Incorporação de Tecnologias no SUS (CONITEC), que deve considerar as evidências científicas sobre eficácia, acurácia, efetividade e segurança, além da avaliação econômica comparativa entre custos e benefícios (art. 19-Q, § 2º). Esse processo deve ser concluído em até 180 dias, prorrogáveis por mais 90 (art. 19-R) (BRASIL, 1990).</w:t>
      </w:r>
    </w:p>
    <w:p>
      <w:pPr>
        <w:spacing w:after="0" w:line="360"/>
        <w:ind w:firstLine="709"/>
        <w:jc w:val="both"/>
      </w:pPr>
      <w:r>
        <w:t xml:space="preserve">Esses dispositivos mostram que, pela lei, a integralidade não significa acesso a qualquer medicamento, mas acesso ao que foi incorporado por meio de um procedimento técnico. É exatamente essa regra que gera o conflito estudado: o que acontece quando o paciente precisa de algo que esse procedimento ainda não incluiu, ou decidiu não incluir?</w:t>
      </w:r>
    </w:p>
    <w:p>
      <w:pPr>
        <w:spacing w:after="240" w:before="360" w:line="360"/>
      </w:pPr>
      <w:r>
        <w:rPr>
          <w:b/>
          <w:bCs/>
        </w:rPr>
        <w:t xml:space="preserve">2 OS CRITÉRIOS DOS TRIBUNAIS SUPERIORES PARA O FORNECIMENTO JUDICIAL DE MEDICAMENTOS</w:t>
      </w:r>
    </w:p>
    <w:p>
      <w:pPr>
        <w:spacing w:after="0" w:line="360"/>
        <w:ind w:firstLine="709"/>
        <w:jc w:val="both"/>
      </w:pPr>
      <w:r>
        <w:t xml:space="preserve">Diante do aumento das ações pedindo medicamentos, o STJ e o STF fixaram critérios para equilibrar a efetividade do direito à saúde, a capacidade financeira do Estado e a organização das políticas públicas. Esta seção explica esses critérios e o que cada um deles representa para o paciente.</w:t>
      </w:r>
    </w:p>
    <w:p>
      <w:pPr>
        <w:spacing w:after="120" w:before="240" w:line="360"/>
      </w:pPr>
      <w:r>
        <w:rPr>
          <w:b/>
          <w:bCs/>
        </w:rPr>
        <w:t xml:space="preserve">2.1 O Tema 106 do STJ e sua relação com o Tema 6 do STF</w:t>
      </w:r>
    </w:p>
    <w:p>
      <w:pPr>
        <w:spacing w:after="0" w:line="360"/>
        <w:ind w:firstLine="709"/>
        <w:jc w:val="both"/>
      </w:pPr>
      <w:r>
        <w:t xml:space="preserve">No REsp nº 1.657.156/RJ, julgado como recurso repetitivo (Tema 106), o STJ admitiu que o Poder Público fosse obrigado a fornecer medicamento fora das listas do SUS, desde que o autor comprovasse três requisitos ao mesmo tempo: (i) laudo médico fundamentado, do médico que acompanha o paciente, mostrando a necessidade do medicamento e a ineficácia dos fármacos oferecidos pelo SUS; (ii) incapacidade financeira de arcar com o custo; e (iii) registro do medicamento na ANVISA (BRASIL, 2018). O modelo do Tema 106 estava centrado na prova da situação individual do paciente: se ele estava doente, precisava daquele remédio e não podia pagar, o pedido era, em regra, procedente.</w:t>
      </w:r>
    </w:p>
    <w:p>
      <w:pPr>
        <w:spacing w:after="0" w:line="360"/>
        <w:ind w:firstLine="709"/>
        <w:jc w:val="both"/>
      </w:pPr>
      <w:r>
        <w:t xml:space="preserve">Com o julgamento do Tema 6 pelo STF, surge a pergunta: o Tema 106 foi substituído? Entende-se, neste trabalho, que o Tema 6 não apagou o Tema 106, mas o absorveu. Os três requisitos do STJ continuam existindo — laudo médico, incapacidade financeira e registro na ANVISA —, só que agora dentro de uma lista maior, que acrescenta exigências ligadas à política pública, como a análise da CONITEC. Na prática, porém, nas ações contra o Poder Público que pedem medicamento registrado na ANVISA e não incorporado ao SUS, o parâmetro obrigatório passou a ser o Tema 6, por três razões: ele foi julgado pelo STF em repercussão geral, trata a questão a partir da Constituição e ganhou a força de súmula vinculante. A Súmula Vinculante nº 61 determina que a concessão judicial de medicamento registrado na ANVISA, mas não incorporado às listas do SUS, “deve observar as teses firmadas no julgamento do Tema 6” (BRASIL, 2024c).</w:t>
      </w:r>
    </w:p>
    <w:p>
      <w:pPr>
        <w:spacing w:after="0" w:line="360"/>
        <w:ind w:firstLine="709"/>
        <w:jc w:val="both"/>
      </w:pPr>
      <w:r>
        <w:t xml:space="preserve">Os dois precedentes também não cobrem todas as situações. Os medicamentos sem registro na ANVISA seguem outro precedente do STF, o Tema 500 (RE 657.718), e os pedidos contra planos de saúde seguem regras próprias, ligadas ao contrato e à legislação dos planos. Por isso, os casos de planos de saúde não foram usados nesta pesquisa: eles não respondem à pergunta sobre o SUS.</w:t>
      </w:r>
    </w:p>
    <w:p>
      <w:pPr>
        <w:spacing w:after="120" w:before="240" w:line="360"/>
      </w:pPr>
      <w:r>
        <w:rPr>
          <w:b/>
          <w:bCs/>
        </w:rPr>
        <w:t xml:space="preserve">2.2 O Tema 6 do STF: os requisitos e o ônus da prova</w:t>
      </w:r>
    </w:p>
    <w:p>
      <w:pPr>
        <w:spacing w:after="0" w:line="360"/>
        <w:ind w:firstLine="709"/>
        <w:jc w:val="both"/>
      </w:pPr>
      <w:r>
        <w:t xml:space="preserve">No RE nº 566.471/RN (Tema 6), o STF fixou como regra geral que a ausência do medicamento nas listas do SUS impede seu fornecimento por decisão judicial, independentemente do custo. A exceção só é admitida quando o autor comprovar, cumulativamente (BRASIL, 2024b):</w:t>
      </w:r>
    </w:p>
    <w:p>
      <w:pPr>
        <w:spacing w:after="0" w:line="360"/>
        <w:ind w:left="709"/>
        <w:jc w:val="both"/>
      </w:pPr>
      <w:r>
        <w:t xml:space="preserve">1. a negativa de fornecimento pela via administrativa;</w:t>
      </w:r>
    </w:p>
    <w:p>
      <w:pPr>
        <w:spacing w:after="0" w:line="360"/>
        <w:ind w:left="709"/>
        <w:jc w:val="both"/>
      </w:pPr>
      <w:r>
        <w:t xml:space="preserve">2. a ilegalidade do ato de não incorporação pela CONITEC, a ausência de pedido de incorporação ou a demora excessiva na sua análise;</w:t>
      </w:r>
    </w:p>
    <w:p>
      <w:pPr>
        <w:spacing w:after="0" w:line="360"/>
        <w:ind w:left="709"/>
        <w:jc w:val="both"/>
      </w:pPr>
      <w:r>
        <w:t xml:space="preserve">3. a impossibilidade de substituição por outro medicamento das listas do SUS ou dos protocolos clínicos;</w:t>
      </w:r>
    </w:p>
    <w:p>
      <w:pPr>
        <w:spacing w:after="0" w:line="360"/>
        <w:ind w:left="709"/>
        <w:jc w:val="both"/>
      </w:pPr>
      <w:r>
        <w:t xml:space="preserve">4. a eficácia, a acurácia, a efetividade e a segurança do medicamento, comprovadas por evidências científicas de alto nível, como ensaios clínicos randomizados, revisões sistemáticas ou meta-análises;</w:t>
      </w:r>
    </w:p>
    <w:p>
      <w:pPr>
        <w:spacing w:after="0" w:line="360"/>
        <w:ind w:left="709"/>
        <w:jc w:val="both"/>
      </w:pPr>
      <w:r>
        <w:t xml:space="preserve">5. a imprescindibilidade clínica do tratamento, demonstrada por laudo médico fundamentado; e</w:t>
      </w:r>
    </w:p>
    <w:p>
      <w:pPr>
        <w:spacing w:after="0" w:line="360"/>
        <w:ind w:left="709"/>
        <w:jc w:val="both"/>
      </w:pPr>
      <w:r>
        <w:t xml:space="preserve">6. a incapacidade financeira de arcar com o custeio do medicamento.</w:t>
      </w:r>
    </w:p>
    <w:p>
      <w:pPr>
        <w:spacing w:after="0" w:line="360"/>
        <w:ind w:firstLine="709"/>
        <w:jc w:val="both"/>
      </w:pPr>
      <w:r>
        <w:t xml:space="preserve">O STF também determinou que o juiz analise o ato da CONITEC apenas quanto à sua legalidade, sem substituir a avaliação técnica da Administração pela sua própria, e que não decida com base somente no laudo do médico do paciente, devendo considerar o parecer técnico do NATJUS ou de profissional especializado. A decisão que não observar esses parâmetros pode ser anulada. Por outro lado, quando o juiz conceder o medicamento, deve comunicar os órgãos competentes para que avaliem sua incorporação ao SUS. O CNJ publicou um guia prático para orientar os juízes na aplicação desses critérios (CONSELHO NACIONAL DE JUSTIÇA, 2025).</w:t>
      </w:r>
    </w:p>
    <w:p>
      <w:pPr>
        <w:spacing w:after="0" w:line="360"/>
        <w:ind w:firstLine="709"/>
        <w:jc w:val="both"/>
      </w:pPr>
      <w:r>
        <w:t xml:space="preserve">O que essa decisão representa para o problema de pesquisa? A principal mudança é o foco do processo. No Tema 106, a pergunta central era “o paciente precisa desse remédio e não pode pagar?”. No Tema 6, a pergunta passa a ser também “a política pública errou ao não incluir esse remédio?”. Duas consequências jurídicas decorrem disso. A primeira é que os requisitos são cumulativos: basta faltar um para o pedido ser negado, mesmo que a doença seja grave e o paciente não tenha dinheiro. A segunda é que o ônus de provar todos eles é do autor, inclusive a ilegalidade da decisão da CONITEC, que é uma prova técnica e difícil de produzir. A seção 3 mostra como isso aparece nos julgados do TJPR.</w:t>
      </w:r>
    </w:p>
    <w:p>
      <w:pPr>
        <w:spacing w:after="120" w:before="240" w:line="360"/>
      </w:pPr>
      <w:r>
        <w:rPr>
          <w:b/>
          <w:bCs/>
        </w:rPr>
        <w:t xml:space="preserve">2.3 Os Temas 793 e 1234 do STF: quem paga e onde a ação deve tramitar</w:t>
      </w:r>
    </w:p>
    <w:p>
      <w:pPr>
        <w:spacing w:after="0" w:line="360"/>
        <w:ind w:firstLine="709"/>
        <w:jc w:val="both"/>
      </w:pPr>
      <w:r>
        <w:t xml:space="preserve">No Tema 793 (RE nº 855.178/SE), o STF reconheceu que União, Estados, Distrito Federal e Municípios têm responsabilidade solidária nas ações de saúde, de modo que o cidadão pode processar qualquer um deles. O juiz, porém, deve direcionar o cumprimento da decisão conforme a divisão de competências do SUS e determinar o ressarcimento a quem arcou com o custo (BRASIL, 2019).</w:t>
      </w:r>
    </w:p>
    <w:p>
      <w:pPr>
        <w:spacing w:after="0" w:line="360"/>
        <w:ind w:firstLine="709"/>
        <w:jc w:val="both"/>
      </w:pPr>
      <w:r>
        <w:t xml:space="preserve">No Tema 1234 (RE nº 1.366.243/SC), o STF homologou acordos entre os entes federativos sobre competência, custeio e ressarcimento nas ações de medicamentos registrados na ANVISA e não incorporados ao SUS. Pela tese, quando o custo anual do tratamento for igual ou superior a 210 salários mínimos, calculado pelo preço máximo de venda ao governo definido pela CMED, a ação tramita na Justiça Federal, com a participação da União; abaixo desse valor, permanece, em regra, na Justiça Estadual. O STF também modulou os efeitos da decisão, para que a nova regra de competência só valha para ações ajuizadas depois da publicação do julgamento (BRASIL, 2024a). A Súmula Vinculante nº 60 tornou obrigatória a observância desses acordos (BRASIL, 2024c).</w:t>
      </w:r>
    </w:p>
    <w:p>
      <w:pPr>
        <w:spacing w:after="0" w:line="360"/>
        <w:ind w:firstLine="709"/>
        <w:jc w:val="both"/>
      </w:pPr>
      <w:r>
        <w:t xml:space="preserve">Em conjunto, os Temas 6, 793 e 1234 formam um sistema: o Tema 6 diz quando o medicamento pode ser concedido, o Tema 793 diz quem responde e o Tema 1234 diz quem paga e onde a ação tramita. Esse sistema traz organização e previsibilidade, mas também cria novas discussões processuais — sobre competência, inclusão da União e ressarcimento — que podem atrasar a resposta ao paciente. A organização do sistema é necessária, mas o risco da demora causada por essas discussões não deveria recair sobre quem está doente.</w:t>
      </w:r>
    </w:p>
    <w:p>
      <w:pPr>
        <w:spacing w:after="240" w:before="360" w:line="360"/>
      </w:pPr>
      <w:r>
        <w:rPr>
          <w:b/>
          <w:bCs/>
        </w:rPr>
        <w:t xml:space="preserve">3 A APLICAÇÃO DOS TEMAS 6 E 1234 PELO TRIBUNAL DE JUSTIÇA DO PARANÁ</w:t>
      </w:r>
    </w:p>
    <w:p>
      <w:pPr>
        <w:spacing w:after="0" w:line="360"/>
        <w:ind w:firstLine="709"/>
        <w:jc w:val="both"/>
      </w:pPr>
      <w:r>
        <w:t xml:space="preserve">O Quadro 1 resume os cinco acórdãos analisados. Em vez de reproduzir as ementas, optou-se por destacar, em cada caso, a situação do medicamento no SUS, o resultado e o que o caso revela para o problema de pesquisa.</w:t>
      </w:r>
    </w:p>
    <w:p>
      <w:pPr>
        <w:spacing w:after="0" w:line="360"/>
      </w:pPr>
    </w:p>
    <w:p>
      <w:pPr>
        <w:spacing w:after="120"/>
        <w:jc w:val="center"/>
      </w:pPr>
      <w:r>
        <w:rPr>
          <w:b/>
          <w:bCs/>
          <w:sz w:val="20"/>
          <w:szCs w:val="20"/>
        </w:rPr>
        <w:t xml:space="preserve">Quadro 1 – Julgados do TJPR analisados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1650"/>
        <w:gridCol w:w="1600"/>
        <w:gridCol w:w="1021"/>
        <w:gridCol w:w="28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pPr>
            <w:r>
              <w:rPr>
                <w:b/>
                <w:bCs/>
                <w:sz w:val="18"/>
                <w:szCs w:val="18"/>
              </w:rPr>
              <w:t xml:space="preserve">Caso</w:t>
            </w:r>
          </w:p>
        </w:tc>
        <w:tc>
          <w:tcPr>
            <w:tcW w:type="dxa" w:w="16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pPr>
            <w:r>
              <w:rPr>
                <w:b/>
                <w:bCs/>
                <w:sz w:val="18"/>
                <w:szCs w:val="18"/>
              </w:rPr>
              <w:t xml:space="preserve">Medicamento e doença</w:t>
            </w:r>
          </w:p>
        </w:tc>
        <w:tc>
          <w:tcPr>
            <w:tcW w:type="dxa" w:w="1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pPr>
            <w:r>
              <w:rPr>
                <w:b/>
                <w:bCs/>
                <w:sz w:val="18"/>
                <w:szCs w:val="18"/>
              </w:rPr>
              <w:t xml:space="preserve">Situação no SUS</w:t>
            </w:r>
          </w:p>
        </w:tc>
        <w:tc>
          <w:tcPr>
            <w:tcW w:type="dxa" w:w="1021"/>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pPr>
            <w:r>
              <w:rPr>
                <w:b/>
                <w:bCs/>
                <w:sz w:val="18"/>
                <w:szCs w:val="18"/>
              </w:rPr>
              <w:t xml:space="preserve">Resultado</w:t>
            </w:r>
          </w:p>
        </w:tc>
        <w:tc>
          <w:tcPr>
            <w:tcW w:type="dxa" w:w="2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pPr>
            <w:r>
              <w:rPr>
                <w:b/>
                <w:bCs/>
                <w:sz w:val="18"/>
                <w:szCs w:val="18"/>
              </w:rPr>
              <w:t xml:space="preserve">O que o caso mostra</w:t>
            </w:r>
          </w:p>
        </w:tc>
      </w:tr>
      <w:t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AI nº 0102160-48.2024.8.16.0000, 5ª Câm. Cível, j. 14/04/2025 (PARANÁ, 2025a)</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Lenalidomida – mieloma múltiplo</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Não incorporado</w:t>
            </w:r>
          </w:p>
        </w:tc>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Negado</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Mesmo com negativa administrativa, necessidade clínica e hipossuficiência, faltou a prova da ilegalidade da CONITEC.</w:t>
            </w:r>
          </w:p>
        </w:tc>
      </w:tr>
      <w:t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AI nº 0090700-30.2025.8.16.0000, 5ª Câm. Cível, j. 08/12/2025 (PARANÁ, 2025d)</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Sorafenibe – carcinoma hepatocelular</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Não incorporado (CONITEC negou em 2018)</w:t>
            </w:r>
          </w:p>
        </w:tc>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Negado</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Usar custo-efetividade para não incorporar não é, por si só, ilegal.</w:t>
            </w:r>
          </w:p>
        </w:tc>
      </w:tr>
      <w:t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AC nº 0001466-85.2024.8.16.0060, 5ª Câm. Cível, j. 11/08/2025 (PARANÁ, 2025b)</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Esilato de nintedanibe – fibrose pulmonar idiopática</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Não incorporado (CONITEC negou em 2018)</w:t>
            </w:r>
          </w:p>
        </w:tc>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Concedido</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Análise da CONITEC desatualizada foi considerada ilegal; todos os requisitos foram provados.</w:t>
            </w:r>
          </w:p>
        </w:tc>
      </w:tr>
      <w:t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AI nº 0133772-67.2025.8.16.0000, 5ª Câm. Cível, j. 22/04/2026 (PARANÁ, 2026)</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Ribociclibe – câncer de mama avançado</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Incorporado para a doença do paciente</w:t>
            </w:r>
          </w:p>
        </w:tc>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Concedido</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Temas 6 e 1234 e parecer prévio do NATJUS não se aplicam a medicamento incorporado.</w:t>
            </w:r>
          </w:p>
        </w:tc>
      </w:tr>
      <w:t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AI nº 0017062-61.2025.8.16.0000, 4ª Câm. Cível, j. 13/11/2025 (PARANÁ, 2025c)</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Ustequinumabe – retocolite ulcerativa</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Incorporado para outra doença (doença de Crohn)</w:t>
            </w:r>
          </w:p>
        </w:tc>
        <w:tc>
          <w:tcPr>
            <w:tcW w:type="dxa" w:w="1021"/>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Concedido</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pPr>
            <w:r>
              <w:rPr>
                <w:sz w:val="18"/>
                <w:szCs w:val="18"/>
              </w:rPr>
              <w:t xml:space="preserve">O Tribunal tratou como incorporado, o que levanta a dúvida sobre o alcance da incorporação.</w:t>
            </w:r>
          </w:p>
        </w:tc>
      </w:tr>
    </w:tbl>
    <w:p>
      <w:pPr>
        <w:spacing w:after="240" w:before="60"/>
      </w:pPr>
      <w:r>
        <w:rPr>
          <w:sz w:val="20"/>
          <w:szCs w:val="20"/>
        </w:rPr>
        <w:t xml:space="preserve">Fonte: elaborado pela autora (2026), a partir dos acórdãos citados.</w:t>
      </w:r>
    </w:p>
    <w:p>
      <w:pPr>
        <w:spacing w:after="120" w:before="240" w:line="360"/>
      </w:pPr>
      <w:r>
        <w:rPr>
          <w:b/>
          <w:bCs/>
        </w:rPr>
        <w:t xml:space="preserve">3.1 Medicamentos não incorporados: a aplicação rigorosa do Tema 6</w:t>
      </w:r>
    </w:p>
    <w:p>
      <w:pPr>
        <w:spacing w:after="0" w:line="360"/>
        <w:ind w:firstLine="709"/>
        <w:jc w:val="both"/>
      </w:pPr>
      <w:r>
        <w:t xml:space="preserve">No caso da lenalidomida, prescrita para mieloma múltiplo, o TJPR reconheceu que estavam presentes a negativa administrativa, a necessidade clínica e a incapacidade financeira do paciente, mas manteve o indeferimento porque não foi demonstrada a ilegalidade da não incorporação pela CONITEC. A tese do julgamento afirma que é “imprescindível a demonstração da ilegalidade da não incorporação pela Conitec e a inexistência de substituto terapêutico eficaz na rede pública de saúde” (PARANÁ, 2025a).</w:t>
      </w:r>
    </w:p>
    <w:p>
      <w:pPr>
        <w:spacing w:after="0" w:line="360"/>
        <w:ind w:firstLine="709"/>
        <w:jc w:val="both"/>
      </w:pPr>
      <w:r>
        <w:t xml:space="preserve">Esse caso mostra, de forma clara, a consequência do caráter cumulativo dos requisitos: o paciente provou tudo aquilo que, pelo antigo Tema 106, seria suficiente, e ainda assim perdeu. O ponto decisivo deixou de ser a situação do paciente e passou a ser a validade de um ato administrativo do qual ele não participou. Também chama a atenção que a ação permaneceu na Justiça Estadual por causa da modulação do Tema 1234, o que indica que a discussão sobre competência ainda ocupa espaço relevante nesses processos.</w:t>
      </w:r>
    </w:p>
    <w:p>
      <w:pPr>
        <w:spacing w:after="0" w:line="360"/>
        <w:ind w:firstLine="709"/>
        <w:jc w:val="both"/>
      </w:pPr>
      <w:r>
        <w:t xml:space="preserve">No caso do sorafenibe, para carcinoma hepatocelular, o TJPR observou que a CONITEC já havia analisado o medicamento para a mesma doença e decidido não incorporá-lo em 2018. Para o Tribunal, a decisão seguiu a Lei nº 8.080/1990 e o Decreto nº 7.646/2011, e o uso de critérios de custo-efetividade não configura ilegalidade (PARANÁ, 2025d). Do ponto de vista jurídico, a conclusão é coerente, porque a própria lei manda a CONITEC considerar a avaliação econômica (art. 19-Q, § 2º, II). A consequência, porém, é importante: uma avaliação feita para a população em geral — a de que o medicamento custa muito para o benefício que oferece — passa a ser razão legítima para negar o tratamento a um paciente específico, com câncer, que não tem alternativa. É aqui que aparece, de forma mais concreta, a tensão entre a proteção coletiva do SUS e a necessidade individual.</w:t>
      </w:r>
    </w:p>
    <w:p>
      <w:pPr>
        <w:spacing w:after="0" w:line="360"/>
        <w:ind w:firstLine="709"/>
        <w:jc w:val="both"/>
      </w:pPr>
      <w:r>
        <w:t xml:space="preserve">O caso do esilato de nintedanibe, para fibrose pulmonar idiopática, teve resultado oposto. A CONITEC também havia negado a incorporação em 2018, mas o TJPR entendeu que essa análise estava baseada em dados superados por diretrizes clínicas mais recentes e, por isso, reconheceu a ilegalidade do ato. Como os demais requisitos também foram comprovados, o fornecimento foi mantido (PARANÁ, 2025b).</w:t>
      </w:r>
    </w:p>
    <w:p>
      <w:pPr>
        <w:spacing w:after="0" w:line="360"/>
        <w:ind w:firstLine="709"/>
        <w:jc w:val="both"/>
      </w:pPr>
      <w:r>
        <w:t xml:space="preserve">A comparação entre o sorafenibe e o nintedanibe é, talvez, o dado mais revelador da pesquisa. Nos dois casos havia uma decisão negativa da CONITEC do mesmo ano, 2018. O que mudou o resultado, pelo que consta nos acórdãos, foi a capacidade de o autor mostrar que a ciência havia avançado depois daquela decisão. Além disso, o caso do nintedanibe chegou ao Judiciário por meio de ação civil pública, que, pelo art. 5º da Lei nº 7.347/1985, não pode ser proposta pelo próprio paciente, mas apenas por legitimados como o Ministério Público e a Defensoria Pública, instituições com mais estrutura técnica para reunir esse tipo de prova (BRASIL, 1985). Isso reforça a conclusão de que, no sistema do Tema 6, o acesso ao medicamento depende muito da qualidade da prova que o autor consegue produzir.</w:t>
      </w:r>
    </w:p>
    <w:p>
      <w:pPr>
        <w:spacing w:after="0" w:line="360"/>
        <w:ind w:firstLine="709"/>
        <w:jc w:val="both"/>
      </w:pPr>
      <w:r>
        <w:t xml:space="preserve">O caso do nintedanibe também mostra que o requisito da ilegalidade não é impossível de cumprir: o TJPR aceitou que a desatualização da análise administrativa torna o ato ilegal, uma interpretação que favorece o acesso. Ao mesmo tempo, não existe um critério objetivo para dizer quando uma decisão da CONITEC está “desatualizada”, o que pode gerar decisões diferentes para situações parecidas.</w:t>
      </w:r>
    </w:p>
    <w:p>
      <w:pPr>
        <w:spacing w:after="120" w:before="240" w:line="360"/>
      </w:pPr>
      <w:r>
        <w:rPr>
          <w:b/>
          <w:bCs/>
        </w:rPr>
        <w:t xml:space="preserve">3.2 É razoável exigir que o paciente prove a ilegalidade da decisão da CONITEC?</w:t>
      </w:r>
    </w:p>
    <w:p>
      <w:pPr>
        <w:spacing w:after="0" w:line="360"/>
        <w:ind w:firstLine="709"/>
        <w:jc w:val="both"/>
      </w:pPr>
      <w:r>
        <w:t xml:space="preserve">Os casos acima levam à pergunta mais difícil do trabalho: é razoável exigir que um paciente, sozinho, demonstre que uma decisão técnica da CONITEC é ilegal? Há bons argumentos dos dois lados.</w:t>
      </w:r>
    </w:p>
    <w:p>
      <w:pPr>
        <w:spacing w:after="0" w:line="360"/>
        <w:ind w:firstLine="709"/>
        <w:jc w:val="both"/>
      </w:pPr>
      <w:r>
        <w:t xml:space="preserve">A favor da exigência, pode-se dizer que a CONITEC é o órgão que a lei escolheu para fazer essa avaliação técnica (art. 19-Q da Lei nº 8.080/1990) e que os atos administrativos têm presunção de legitimidade, de modo que cabe a quem os contesta provar o contrário, conforme a regra geral do art. 373, I, do Código de Processo Civil. Além disso, os recursos do SUS são limitados: cada decisão judicial que obriga o fornecimento de um medicamento não avaliado retira recursos de outras ações de saúde, o que afeta a igualdade entre os usuários. A exigência também evita que o juiz, sem formação técnica, passe a decidir como se fosse gestor da política de saúde.</w:t>
      </w:r>
    </w:p>
    <w:p>
      <w:pPr>
        <w:spacing w:after="0" w:line="360"/>
        <w:ind w:firstLine="709"/>
        <w:jc w:val="both"/>
      </w:pPr>
      <w:r>
        <w:t xml:space="preserve">Contra a exigência, há a desigualdade entre as partes. O Estado tem acesso a todos os documentos, estudos e relatórios que fundamentaram a decisão da CONITEC, enquanto o paciente, muitas vezes, está doente, sem dinheiro e depende de uma Defensoria Pública sobrecarregada. Embora os relatórios da CONITEC sejam públicos, eles são escritos em linguagem técnica e dependem de conhecimento em medicina e economia da saúde para serem questionados. Há ainda o fator tempo: em doenças graves, a demora para produzir essa prova pode significar a piora irreversível do quadro. Não por acaso, a Defensoria Pública do Paraná passou a informar à população que “ficou mais difícil solicitar medicamentos fora da lista do SUS” (DEFENSORIA PÚBLICA DO ESTADO DO PARANÁ, [s.d.]). Na mesma notícia, a Defensoria alertou que, embora essa não fosse a intenção do STF, as novas exigências podem atrasar as decisões judiciais sobre o acesso ao tratamento.</w:t>
      </w:r>
    </w:p>
    <w:p>
      <w:pPr>
        <w:spacing w:after="0" w:line="360"/>
        <w:ind w:firstLine="709"/>
        <w:jc w:val="both"/>
      </w:pPr>
      <w:r>
        <w:t xml:space="preserve">Diante desses argumentos, a posição defendida neste artigo é que a exigência pode ser mantida, mas não deve ser aplicada de forma automática. O próprio Código de Processo Civil oferece uma saída: o art. 373, § 1º, permite que o juiz distribua o ônus da prova de modo diferente quando for excessivamente difícil para uma parte produzi-la ou mais fácil para a outra. Nos casos de saúde, isso permitiria, por exemplo, exigir que o ente público apresente o processo administrativo da CONITEC e explique por que a decisão continua atual, e que o NATJUS se manifeste especificamente sobre esse ponto. Assim, o controle técnico continuaria existindo, mas o peso da prova seria dividido de forma mais justa.</w:t>
      </w:r>
    </w:p>
    <w:p>
      <w:pPr>
        <w:spacing w:after="120" w:before="240" w:line="360"/>
      </w:pPr>
      <w:r>
        <w:rPr>
          <w:b/>
          <w:bCs/>
        </w:rPr>
        <w:t xml:space="preserve">3.3 Medicamentos incorporados: uma “válvula de escape” e seus limites</w:t>
      </w:r>
    </w:p>
    <w:p>
      <w:pPr>
        <w:spacing w:after="0" w:line="360"/>
        <w:ind w:firstLine="709"/>
        <w:jc w:val="both"/>
      </w:pPr>
      <w:r>
        <w:t xml:space="preserve">Quando o medicamento já está incorporado ao SUS, o TJPR tem entendido que não se aplicam os Temas 6 e 1234. No caso do ribociclibe, incorporado para câncer de mama avançado pela Portaria SCTIE/MS nº 73/2021, o Estado pediu a anulação da decisão porque ela havia sido proferida sem parecer prévio do NATJUS. O Tribunal rejeitou o pedido e afirmou que, para medicamento incorporado, basta demonstrar o diagnóstico compatível e o obstáculo ao acesso administrativo (PARANÁ, 2026).</w:t>
      </w:r>
    </w:p>
    <w:p>
      <w:pPr>
        <w:spacing w:after="0" w:line="360"/>
        <w:ind w:firstLine="709"/>
        <w:jc w:val="both"/>
      </w:pPr>
      <w:r>
        <w:t xml:space="preserve">A solução é juridicamente correta. Se o SUS já decidiu oferecer o medicamento para aquela doença, a ação não pede a criação de uma prestação nova, mas o cumprimento de uma política que já existe. O caso também revela um risco: o próprio Estado tentou usar os requisitos do Tema 6 como defesa em uma situação na qual eles não se aplicam. Se o Tribunal tivesse aceitado esse argumento, os requisitos deixariam de ser um filtro para situações excepcionais e passariam a ser uma barreira geral, inclusive para medicamentos que o SUS já se comprometeu a fornecer.</w:t>
      </w:r>
    </w:p>
    <w:p>
      <w:pPr>
        <w:spacing w:after="0" w:line="360"/>
        <w:ind w:firstLine="709"/>
        <w:jc w:val="both"/>
      </w:pPr>
      <w:r>
        <w:t xml:space="preserve">O caso do ustequinumabe é mais complexo. O medicamento foi incorporado ao SUS para doença de Crohn, mas foi prescrito para retocolite ulcerativa. O juízo de primeiro grau negou o pedido por não estarem preenchidos os requisitos dos Temas 6 e 1234, mas o TJPR reformou a decisão, considerando que o fármaco já estava padronizado no SUS e que o laudo médico e a nota técnica do NATJUS eram favoráveis (PARANÁ, 2025c).</w:t>
      </w:r>
    </w:p>
    <w:p>
      <w:pPr>
        <w:spacing w:after="0" w:line="360"/>
        <w:ind w:firstLine="709"/>
        <w:jc w:val="both"/>
      </w:pPr>
      <w:r>
        <w:t xml:space="preserve">A questão que esse caso levanta é: se um medicamento está incorporado para uma doença, mas é pedido para outra, ele deve ser tratado como incorporado ou como não incorporado? Do ponto de vista jurídico, a incorporação é feita para uma indicação específica. O art. 19-M, I, da Lei nº 8.080/1990 prevê que a dispensação deve seguir o protocolo clínico “para a doença ou o agravo à saúde a ser tratado”. Assim, pela lei, o ustequinumabe estaria incorporado para a doença de Crohn, e não para a retocolite. Do ponto de vista administrativo, alguns critérios ajudam a responder a pergunta: (a) para qual indicação a portaria de incorporação foi editada; (b) se existe protocolo clínico para a doença do paciente e quais alternativas ele prevê; (c) se o uso pedido consta do registro na ANVISA, isto é, da bula, ou se é um uso fora dela (off label); e (d) se a CONITEC já analisou aquele uso específico e o recusou.</w:t>
      </w:r>
    </w:p>
    <w:p>
      <w:pPr>
        <w:spacing w:after="0" w:line="360"/>
        <w:ind w:firstLine="709"/>
        <w:jc w:val="both"/>
      </w:pPr>
      <w:r>
        <w:t xml:space="preserve">Há argumentos a favor da solução do TJPR: o medicamento já passou pela avaliação de segurança, o SUS já o compra e conhece seu custo, e exigir do paciente toda a prova do Tema 6 seria rediscutir algo que o Estado já conhece. Por outro lado, tratar como incorporado qualquer uso de um medicamento que esteja em alguma lista pode transformar a “válvula de escape” em uma forma de contornar o Tema 6, justamente naquilo que ele quis controlar, que é a ampliação do uso de tecnologias sem avaliação técnica.</w:t>
      </w:r>
    </w:p>
    <w:p>
      <w:pPr>
        <w:spacing w:after="0" w:line="360"/>
        <w:ind w:firstLine="709"/>
        <w:jc w:val="both"/>
      </w:pPr>
      <w:r>
        <w:t xml:space="preserve">A posição sustentada neste artigo é intermediária: nesses casos, o medicamento deve ser tratado como não incorporado para aquele uso, mas com ônus de prova reduzido. Requisitos como a segurança do medicamento e o conhecimento do seu custo já estariam, em boa parte, demonstrados pela incorporação anterior, e a discussão deveria se concentrar na eficácia para a nova doença e na falta de alternativa no protocolo dessa doença. Se o uso para retocolite constar da bula registrada na ANVISA, o argumento em favor do paciente fica ainda mais forte. Essa solução parece mais coerente do que simplesmente afirmar que os Temas 6 e 1234 não se aplicam.</w:t>
      </w:r>
    </w:p>
    <w:p>
      <w:pPr>
        <w:spacing w:after="0" w:line="360"/>
        <w:ind w:firstLine="709"/>
        <w:jc w:val="both"/>
      </w:pPr>
      <w:r>
        <w:t xml:space="preserve">Por fim, a incorporação formal também não garante, sozinha, o acesso real ao tratamento. Mesmo quando o medicamento está nas listas do SUS, falhas de estoque, de distribuição ou de classificação podem obrigar o paciente a recorrer ao Judiciário. A previsibilidade das regras, portanto, não se confunde com a efetividade do direito.</w:t>
      </w:r>
    </w:p>
    <w:p>
      <w:pPr>
        <w:spacing w:after="240" w:before="360" w:line="360"/>
      </w:pPr>
      <w:r>
        <w:rPr>
          <w:b/>
          <w:bCs/>
        </w:rPr>
        <w:t xml:space="preserve">CONCLUSÃO</w:t>
      </w:r>
    </w:p>
    <w:p>
      <w:pPr>
        <w:spacing w:after="0" w:line="360"/>
        <w:ind w:firstLine="709"/>
        <w:jc w:val="both"/>
      </w:pPr>
      <w:r>
        <w:t xml:space="preserve">Este artigo buscou responder se os critérios dos Temas 6 e 1234 do STF tornam a judicialização da saúde mais racional sem comprometer o acesso ao direito fundamental à saúde. A resposta encontrada é que esses critérios não são, por si sós, incompatíveis com o direito à saúde, mas sua aplicação pode produzir efeitos restritivos quando o rigor da prova não considera as condições concretas do paciente.</w:t>
      </w:r>
    </w:p>
    <w:p>
      <w:pPr>
        <w:spacing w:after="0" w:line="360"/>
        <w:ind w:firstLine="709"/>
        <w:jc w:val="both"/>
      </w:pPr>
      <w:r>
        <w:t xml:space="preserve">A análise do TJPR mostrou uma dupla orientação. Nos medicamentos não incorporados, o Tribunal aplica os requisitos de forma cumulativa e rigorosa, e o ponto decisivo costuma ser a prova da ilegalidade da decisão da CONITEC: o paciente pode provar a doença, a necessidade e a falta de dinheiro e, mesmo assim, perder, como no caso da lenalidomida. A comparação entre o sorafenibe e o nintedanibe, que tinham decisões negativas da CONITEC do mesmo ano e tiveram resultados opostos, indica que o resultado depende muito da capacidade técnica de quem propõe a ação. Nos medicamentos incorporados, o Tribunal afasta os Temas 6 e 1234, o que funciona como uma válvula de escape, mas que ainda carece de critérios claros quando o medicamento foi incorporado para outra doença.</w:t>
      </w:r>
    </w:p>
    <w:p>
      <w:pPr>
        <w:spacing w:after="0" w:line="360"/>
        <w:ind w:firstLine="709"/>
        <w:jc w:val="both"/>
      </w:pPr>
      <w:r>
        <w:t xml:space="preserve">Os critérios racionalizam a judicialização em aspectos importantes: tornam as decisões mais técnicas e previsíveis, valorizam a política pública construída pelo SUS, evitam que decisões individuais ignorem os efeitos coletivos sobre o sistema e organizam a divisão de responsabilidades entre os entes federativos. Ao mesmo tempo, dificultam o acesso ao concentrar no paciente, que é a parte mais vulnerável, o ônus de produzir provas técnicas complexas, ao permitir que a falta de um único requisito derrube o pedido e ao criar discussões processuais sobre competência e custeio que podem atrasar o tratamento.</w:t>
      </w:r>
    </w:p>
    <w:p>
      <w:pPr>
        <w:spacing w:after="0" w:line="360"/>
        <w:ind w:firstLine="709"/>
        <w:jc w:val="both"/>
      </w:pPr>
      <w:r>
        <w:t xml:space="preserve">A posição defendida é que a racionalização é necessária, mas não pode se transformar em bloqueio automático. Para isso, propõe-se que os juízes utilizem a distribuição dinâmica do ônus da prova (art. 373, § 1º, do CPC), exigindo que o ente público apresente o processo administrativo da CONITEC e demonstre que sua decisão continua atual, e que os casos de medicamentos incorporados para outra doença sejam tratados com ônus de prova reduzido, em vez de receberem a exigência completa do Tema 6 ou a dispensa total dela. Dessa forma, é possível preservar o controle técnico pretendido pelo STF sem reduzir o dever do Estado de garantir acesso universal e igualitário à saúde.</w:t>
      </w:r>
    </w:p>
    <w:p>
      <w:pPr>
        <w:spacing w:after="240" w:before="360" w:line="360"/>
      </w:pPr>
      <w:r>
        <w:rPr>
          <w:b/>
          <w:bCs/>
        </w:rPr>
        <w:t xml:space="preserve">REFERÊNCIAS</w:t>
      </w:r>
    </w:p>
    <w:p>
      <w:pPr>
        <w:spacing w:after="240" w:line="240"/>
        <w:jc w:val="left"/>
      </w:pPr>
      <w:r>
        <w:t xml:space="preserve">BARDANACHVILI, Eliane. </w:t>
      </w:r>
      <w:r>
        <w:rPr>
          <w:b/>
          <w:bCs/>
        </w:rPr>
        <w:t xml:space="preserve">A agenda da Reforma Sanitária na mídia impressa de 1986</w:t>
      </w:r>
      <w:r>
        <w:t xml:space="preserve">: a cobertura da 8ª Conferência e a confluência discursiva em favor da saúde pública. [S. l.], 2018.</w:t>
      </w:r>
    </w:p>
    <w:p>
      <w:pPr>
        <w:spacing w:after="240" w:line="240"/>
        <w:jc w:val="left"/>
      </w:pPr>
      <w:r>
        <w:t xml:space="preserve">BRASIL. </w:t>
      </w:r>
      <w:r>
        <w:rPr>
          <w:b/>
          <w:bCs/>
        </w:rPr>
        <w:t xml:space="preserve">Constituição da República Federativa do Brasil de 1988</w:t>
      </w:r>
      <w:r>
        <w:t xml:space="preserve">. Brasília, DF: Presidência da República, 1988. Disponível em: https://www.planalto.gov.br/ccivil_03/constituicao/constituicao.htm. Acesso em: 12 ago. 2026.</w:t>
      </w:r>
    </w:p>
    <w:p>
      <w:pPr>
        <w:spacing w:after="240" w:line="240"/>
        <w:jc w:val="left"/>
      </w:pPr>
      <w:r>
        <w:t xml:space="preserve">BRASIL. </w:t>
      </w:r>
      <w:r>
        <w:rPr>
          <w:b/>
          <w:bCs/>
        </w:rPr>
        <w:t xml:space="preserve">Lei nº 7.347, de 24 de julho de 1985</w:t>
      </w:r>
      <w:r>
        <w:t xml:space="preserve">. Disciplina a ação civil pública de responsabilidade por danos causados ao meio-ambiente, ao consumidor, a bens e direitos de valor artístico, estético, histórico, turístico e paisagístico e dá outras providências. Brasília, DF: Presidência da República, 1985. Disponível em: https://www.planalto.gov.br/ccivil_03/leis/l7347orig.htm. Acesso em: 26 set. 2026.</w:t>
      </w:r>
    </w:p>
    <w:p>
      <w:pPr>
        <w:spacing w:after="240" w:line="240"/>
        <w:jc w:val="left"/>
      </w:pPr>
      <w:r>
        <w:t xml:space="preserve">BRASIL. </w:t>
      </w:r>
      <w:r>
        <w:rPr>
          <w:b/>
          <w:bCs/>
        </w:rPr>
        <w:t xml:space="preserve">Lei nº 8.080, de 19 de setembro de 1990</w:t>
      </w:r>
      <w:r>
        <w:t xml:space="preserve">. Dispõe sobre as condições para a promoção, proteção e recuperação da saúde, a organização e o funcionamento dos serviços correspondentes e dá outras providências. Brasília, DF: Presidência da República, 1990. Disponível em: https://www.planalto.gov.br/ccivil_03/leis/l8080.htm. Acesso em: 12 ago. 2026.</w:t>
      </w:r>
    </w:p>
    <w:p>
      <w:pPr>
        <w:spacing w:after="240" w:line="240"/>
        <w:jc w:val="left"/>
      </w:pPr>
      <w:r>
        <w:t xml:space="preserve">BRASIL. Supremo Tribunal Federal (Tribunal Pleno). </w:t>
      </w:r>
      <w:r>
        <w:rPr>
          <w:b/>
          <w:bCs/>
        </w:rPr>
        <w:t xml:space="preserve">Agravo Regimental na Suspensão de Tutela Antecipada 175/CE</w:t>
      </w:r>
      <w:r>
        <w:t xml:space="preserve">. Relator: Min. Gilmar Mendes. Julgado em 17 mar. 2010. Disponível em: https://portal.stf.jus.br. Acesso em: 26 set. 2026.</w:t>
      </w:r>
    </w:p>
    <w:p>
      <w:pPr>
        <w:spacing w:after="240" w:line="240"/>
        <w:jc w:val="left"/>
      </w:pPr>
      <w:r>
        <w:t xml:space="preserve">BRASIL. </w:t>
      </w:r>
      <w:r>
        <w:rPr>
          <w:b/>
          <w:bCs/>
        </w:rPr>
        <w:t xml:space="preserve">Lei nº 13.105, de 16 de março de 2015</w:t>
      </w:r>
      <w:r>
        <w:t xml:space="preserve">. Código de Processo Civil. Brasília, DF: Presidência da República, 2015. Disponível em: https://www.planalto.gov.br/ccivil_03/_ato2015-2018/2015/lei/l13105.htm. Acesso em: 26 set. 2026.</w:t>
      </w:r>
    </w:p>
    <w:p>
      <w:pPr>
        <w:spacing w:after="240" w:line="240"/>
        <w:jc w:val="left"/>
      </w:pPr>
      <w:r>
        <w:t xml:space="preserve">BRASIL. Superior Tribunal de Justiça (Primeira Seção). </w:t>
      </w:r>
      <w:r>
        <w:rPr>
          <w:b/>
          <w:bCs/>
        </w:rPr>
        <w:t xml:space="preserve">Recurso Especial nº 1.657.156/RJ (Tema 106)</w:t>
      </w:r>
      <w:r>
        <w:t xml:space="preserve">. Relator: Min. Benedito Gonçalves. Julgado em 25 abr. 2018. Disponível em: https://scon.stj.jus.br/SCON/. Acesso em: 26 set. 2026.</w:t>
      </w:r>
    </w:p>
    <w:p>
      <w:pPr>
        <w:spacing w:after="240" w:line="240"/>
        <w:jc w:val="left"/>
      </w:pPr>
      <w:r>
        <w:t xml:space="preserve">BRASIL. Supremo Tribunal Federal (Tribunal Pleno). </w:t>
      </w:r>
      <w:r>
        <w:rPr>
          <w:b/>
          <w:bCs/>
        </w:rPr>
        <w:t xml:space="preserve">Embargos de Declaração no Recurso Extraordinário nº 855.178/SE (Tema 793)</w:t>
      </w:r>
      <w:r>
        <w:t xml:space="preserve">. Relator: Min. Luiz Fux. Julgado em 23 maio 2019. Publicado em 16 abr. 2020. Disponível em: https://www.jusbrasil.com.br. Acesso em: 12 ago. 2026.</w:t>
      </w:r>
    </w:p>
    <w:p>
      <w:pPr>
        <w:spacing w:after="240" w:line="240"/>
        <w:jc w:val="left"/>
      </w:pPr>
      <w:r>
        <w:t xml:space="preserve">BRASIL. Supremo Tribunal Federal (Tribunal Pleno). </w:t>
      </w:r>
      <w:r>
        <w:rPr>
          <w:b/>
          <w:bCs/>
        </w:rPr>
        <w:t xml:space="preserve">Recurso Extraordinário nº 1.366.243/SC (Tema 1234)</w:t>
      </w:r>
      <w:r>
        <w:t xml:space="preserve">. Relator: Min. Gilmar Mendes. Julgado em 16 set. 2024a. Publicado em 11 out. 2024. Disponível em: https://www.jusbrasil.com.br. Acesso em: 12 ago. 2026.</w:t>
      </w:r>
    </w:p>
    <w:p>
      <w:pPr>
        <w:spacing w:after="240" w:line="240"/>
        <w:jc w:val="left"/>
      </w:pPr>
      <w:r>
        <w:t xml:space="preserve">BRASIL. Supremo Tribunal Federal (Tribunal Pleno). </w:t>
      </w:r>
      <w:r>
        <w:rPr>
          <w:b/>
          <w:bCs/>
        </w:rPr>
        <w:t xml:space="preserve">Recurso Extraordinário nº 566.471/RN (Tema 6)</w:t>
      </w:r>
      <w:r>
        <w:t xml:space="preserve">. Relator: Min. Marco Aurélio. Julgado em 26 set. 2024b. Publicado em 28 nov. 2024. Disponível em: https://www.jusbrasil.com.br. Acesso em: 12 ago. 2026.</w:t>
      </w:r>
    </w:p>
    <w:p>
      <w:pPr>
        <w:spacing w:after="240" w:line="240"/>
        <w:jc w:val="left"/>
      </w:pPr>
      <w:r>
        <w:t xml:space="preserve">BRASIL. Supremo Tribunal Federal. </w:t>
      </w:r>
      <w:r>
        <w:rPr>
          <w:b/>
          <w:bCs/>
        </w:rPr>
        <w:t xml:space="preserve">Súmulas Vinculantes nº 60 e nº 61</w:t>
      </w:r>
      <w:r>
        <w:t xml:space="preserve">. Brasília, DF: STF, 2024c. Disponível em: https://portal.stf.jus.br. Acesso em: 26 set. 2026.</w:t>
      </w:r>
    </w:p>
    <w:p>
      <w:pPr>
        <w:spacing w:after="240" w:line="240"/>
        <w:jc w:val="left"/>
      </w:pPr>
      <w:r>
        <w:t xml:space="preserve">CONSELHO NACIONAL DE JUSTIÇA (CNJ). </w:t>
      </w:r>
      <w:r>
        <w:rPr>
          <w:b/>
          <w:bCs/>
        </w:rPr>
        <w:t xml:space="preserve">Guia prático para os Temas 6 e 1.234</w:t>
      </w:r>
      <w:r>
        <w:t xml:space="preserve">. Brasília, DF: Conselho Nacional de Justiça, 2025. Disponível em: https://www.cnj.jus.br/wp-content/uploads/2025/11/guia-pratico-para-os-temas-6-e-1234-versao-final.pdf. Acesso em: 12 ago. 2026.</w:t>
      </w:r>
    </w:p>
    <w:p>
      <w:pPr>
        <w:spacing w:after="240" w:line="240"/>
        <w:jc w:val="left"/>
      </w:pPr>
      <w:r>
        <w:t xml:space="preserve">DEFENSORIA PÚBLICA DO ESTADO DO PARANÁ (DPE-PR). </w:t>
      </w:r>
      <w:r>
        <w:rPr>
          <w:b/>
          <w:bCs/>
        </w:rPr>
        <w:t xml:space="preserve">Ficou mais difícil solicitar medicamentos fora da lista do SUS?</w:t>
      </w:r>
      <w:r>
        <w:t xml:space="preserve"> DPE-PR explica fluxos do serviço após decisão do STF. Curitiba: DPE-PR, [s.d.]. Disponível em: https://www.defensoriapublica.pr.def.br/Noticia/Ficou-mais-dificil-solicitar-medicamentos-fora-da-lista-do-SUS-DPE-PR-explica-fluxos-do. Acesso em: 12 ago. 2026.</w:t>
      </w:r>
    </w:p>
    <w:p>
      <w:pPr>
        <w:spacing w:after="240" w:line="240"/>
        <w:jc w:val="left"/>
      </w:pPr>
      <w:r>
        <w:t xml:space="preserve">GÖTTEMS, Leila Bernarda Donato et al. O Sistema Único de Saúde no Distrito Federal, Brasil (1960 a 2018): revisitando a história para planejar o futuro. </w:t>
      </w:r>
      <w:r>
        <w:rPr>
          <w:b/>
          <w:bCs/>
        </w:rPr>
        <w:t xml:space="preserve">Ciência &amp; Saúde Coletiva</w:t>
      </w:r>
      <w:r>
        <w:t xml:space="preserve">, Rio de Janeiro, v. 24, n. 6, p. 1997-2008, 2019. Disponível em: https://www.scielo.br/j/csc/a/6y7KDHQGbRDKHjRntxTYhtn/. Acesso em: 26 set. 2026.</w:t>
      </w:r>
    </w:p>
    <w:p>
      <w:pPr>
        <w:spacing w:after="240" w:line="240"/>
        <w:jc w:val="left"/>
      </w:pPr>
      <w:r>
        <w:t xml:space="preserve">KIRST, Carina; DARSIE, Camilo. Notas sobre a saúde pública, a saúde coletiva e o estabelecimento e funcionamento do Sistema Único de Saúde. </w:t>
      </w:r>
      <w:r>
        <w:rPr>
          <w:b/>
          <w:bCs/>
        </w:rPr>
        <w:t xml:space="preserve">Asklepion: Informação em Saúde</w:t>
      </w:r>
      <w:r>
        <w:t xml:space="preserve">, v. 1, n. 2, p. 91-112, 2021.</w:t>
      </w:r>
    </w:p>
    <w:p>
      <w:pPr>
        <w:spacing w:after="240" w:line="240"/>
        <w:jc w:val="left"/>
      </w:pPr>
      <w:r>
        <w:t xml:space="preserve">MÂNICA, Fernando Borges. Teoria da reserva do possível: direitos fundamentais a prestações e a intervenção do Poder Judiciário na implementação de políticas públicas. </w:t>
      </w:r>
      <w:r>
        <w:rPr>
          <w:b/>
          <w:bCs/>
        </w:rPr>
        <w:t xml:space="preserve">Revista Eletrônica de Direito Administrativo Econômico</w:t>
      </w:r>
      <w:r>
        <w:t xml:space="preserve">, Salvador, n. 25, fev./abr. 2011.</w:t>
      </w:r>
    </w:p>
    <w:p>
      <w:pPr>
        <w:spacing w:after="240" w:line="240"/>
        <w:jc w:val="left"/>
      </w:pPr>
      <w:r>
        <w:t xml:space="preserve">MORAES, Alexandre de. </w:t>
      </w:r>
      <w:r>
        <w:rPr>
          <w:b/>
          <w:bCs/>
        </w:rPr>
        <w:t xml:space="preserve">Direitos humanos fundamentais</w:t>
      </w:r>
      <w:r>
        <w:t xml:space="preserve">: teoria geral, comentários aos arts. 1º a 5º da Constituição da República Federativa do Brasil, doutrina e jurisprudência. 9. ed. São Paulo: Atlas, 2011.</w:t>
      </w:r>
    </w:p>
    <w:p>
      <w:pPr>
        <w:spacing w:after="240" w:line="240"/>
        <w:jc w:val="left"/>
      </w:pPr>
      <w:r>
        <w:t xml:space="preserve">PARANÁ. Tribunal de Justiça (5. Câmara Cível). </w:t>
      </w:r>
      <w:r>
        <w:rPr>
          <w:b/>
          <w:bCs/>
        </w:rPr>
        <w:t xml:space="preserve">Agravo de Instrumento nº 0102160-48.2024.8.16.0000</w:t>
      </w:r>
      <w:r>
        <w:t xml:space="preserve">. Relator: Juiz Subst. Anderson Ricardo Fogaça. Curitiba, julgado em 14 abr. 2025a. Disponível em: https://www.jusbrasil.com.br. Acesso em: 12 ago. 2026.</w:t>
      </w:r>
    </w:p>
    <w:p>
      <w:pPr>
        <w:spacing w:after="240" w:line="240"/>
        <w:jc w:val="left"/>
      </w:pPr>
      <w:r>
        <w:t xml:space="preserve">PARANÁ. Tribunal de Justiça (5. Câmara Cível). </w:t>
      </w:r>
      <w:r>
        <w:rPr>
          <w:b/>
          <w:bCs/>
        </w:rPr>
        <w:t xml:space="preserve">Apelação Cível nº 0001466-85.2024.8.16.0060</w:t>
      </w:r>
      <w:r>
        <w:t xml:space="preserve">. Relator: Juiz Subst. Marcelo Wallbach Silva. Cantagalo, julgado em 11 ago. 2025b. Disponível em: https://www.jusbrasil.com.br. Acesso em: 12 ago. 2026.</w:t>
      </w:r>
    </w:p>
    <w:p>
      <w:pPr>
        <w:spacing w:after="240" w:line="240"/>
        <w:jc w:val="left"/>
      </w:pPr>
      <w:r>
        <w:t xml:space="preserve">PARANÁ. Tribunal de Justiça (4. Câmara Cível). </w:t>
      </w:r>
      <w:r>
        <w:rPr>
          <w:b/>
          <w:bCs/>
        </w:rPr>
        <w:t xml:space="preserve">Agravo de Instrumento nº 0017062-61.2025.8.16.0000</w:t>
      </w:r>
      <w:r>
        <w:t xml:space="preserve">. Relator: Juiz Subst. Evandro Portugal. Assis Chateaubriand, julgado em 13 nov. 2025c. Disponível em: https://www.jusbrasil.com.br. Acesso em: 12 ago. 2026.</w:t>
      </w:r>
    </w:p>
    <w:p>
      <w:pPr>
        <w:spacing w:after="240" w:line="240"/>
        <w:jc w:val="left"/>
      </w:pPr>
      <w:r>
        <w:t xml:space="preserve">PARANÁ. Tribunal de Justiça (5. Câmara Cível). </w:t>
      </w:r>
      <w:r>
        <w:rPr>
          <w:b/>
          <w:bCs/>
        </w:rPr>
        <w:t xml:space="preserve">Agravo de Instrumento nº 0090700-30.2025.8.16.0000</w:t>
      </w:r>
      <w:r>
        <w:t xml:space="preserve">. Relator: Rogério Etzel. Cascavel, julgado em 8 dez. 2025d. Disponível em: https://www.jusbrasil.com.br. Acesso em: 12 ago. 2026.</w:t>
      </w:r>
    </w:p>
    <w:p>
      <w:pPr>
        <w:spacing w:after="240" w:line="240"/>
        <w:jc w:val="left"/>
      </w:pPr>
      <w:r>
        <w:t xml:space="preserve">PARANÁ. Tribunal de Justiça (5. Câmara Cível). </w:t>
      </w:r>
      <w:r>
        <w:rPr>
          <w:b/>
          <w:bCs/>
        </w:rPr>
        <w:t xml:space="preserve">Agravo de Instrumento nº 0133772-67.2025.8.16.0000</w:t>
      </w:r>
      <w:r>
        <w:t xml:space="preserve">. Relator: Juiz Subst. Anderson Ricardo Fogaça. Toledo, julgado em 22 abr. 2026. Disponível em: https://www.jusbrasil.com.br. Acesso em: 12 ago. 2026.</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Acesso à Saúde, um Direito Fundamental</dc:title>
  <dc:creator>Gabriele de Oliveira Diubate</dc:creator>
  <cp:lastModifiedBy>Un-named</cp:lastModifiedBy>
  <cp:revision>1</cp:revision>
  <dcterms:created xsi:type="dcterms:W3CDTF">2026-09-26T02:46:17.359Z</dcterms:created>
  <dcterms:modified xsi:type="dcterms:W3CDTF">2026-09-26T02:46:17.372Z</dcterms:modified>
</cp:coreProperties>
</file>

<file path=docProps/custom.xml><?xml version="1.0" encoding="utf-8"?>
<Properties xmlns="http://schemas.openxmlformats.org/officeDocument/2006/custom-properties" xmlns:vt="http://schemas.openxmlformats.org/officeDocument/2006/docPropsVTypes"/>
</file>