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F3B4D"/>
          <w:sz w:val="46"/>
          <w:szCs w:val="46"/>
        </w:rPr>
        <w:t xml:space="preserve">VOICE CLONING DETECTION SYSTEM</w:t>
      </w:r>
    </w:p>
    <w:p>
      <w:pPr>
        <w:spacing w:after="360"/>
        <w:jc w:val="center"/>
      </w:pPr>
      <w:r>
        <w:rPr>
          <w:b/>
          <w:bCs/>
          <w:color w:val="2E7D6E"/>
          <w:sz w:val="27"/>
          <w:szCs w:val="27"/>
        </w:rPr>
        <w:t xml:space="preserve">Product Requirements Document — Web MVP</w:t>
      </w:r>
    </w:p>
    <w:p>
      <w:pPr>
        <w:spacing w:after="80"/>
        <w:jc w:val="center"/>
      </w:pPr>
      <w:r>
        <w:rPr>
          <w:i/>
          <w:iCs/>
          <w:color w:val="5B6B6B"/>
          <w:sz w:val="21"/>
          <w:szCs w:val="21"/>
        </w:rPr>
        <w:t xml:space="preserve">PRD v0.3 — Cross-Checked Against Pipeline Walkthrough</w:t>
      </w:r>
    </w:p>
    <w:p>
      <w:pPr>
        <w:spacing w:after="1400"/>
        <w:jc w:val="center"/>
      </w:pPr>
      <w:r>
        <w:rPr>
          <w:color w:val="5B6B6B"/>
          <w:sz w:val="19"/>
          <w:szCs w:val="19"/>
        </w:rPr>
        <w:t xml:space="preserve">Prepared: September 2026</w:t>
      </w:r>
    </w:p>
    <w:p>
      <w:pPr>
        <w:pStyle w:val="Heading2"/>
        <w:spacing w:after="120" w:before="260"/>
      </w:pPr>
      <w:r>
        <w:rPr>
          <w:b/>
          <w:bCs/>
          <w:color w:val="1F3B4D"/>
          <w:sz w:val="24"/>
          <w:szCs w:val="24"/>
        </w:rPr>
        <w:t xml:space="preserve">Revision Note — v0.3</w:t>
      </w:r>
    </w:p>
    <w:p>
      <w:pPr>
        <w:spacing w:after="160" w:line="276"/>
      </w:pPr>
      <w:r>
        <w:rPr>
          <w:b w:val="false"/>
          <w:bCs w:val="false"/>
          <w:i w:val="false"/>
          <w:iCs w:val="false"/>
          <w:color w:val="262B2B"/>
          <w:sz w:val="21"/>
          <w:szCs w:val="21"/>
        </w:rPr>
        <w:t xml:space="preserve">Version 0.3 supersedes v0.2. A separate end-to-end pipeline walkthrough and architecture diagram (framed around a future Android/live-call scenario, from the same original master-project vision) were cross-checked against this PRD for consistency. That pass surfaced concrete model architecture detail (tensor shapes, embedding dimensions, exact feature sets), one payload-schema mismatch, several previously-implicit design decisions that needed to be made explicit, and one feasibility flag serious enough to require a non-goal clarification. All resulting changes are additive and marked [NEW]; see Section 24 (Appendix A) for the full changelog. No v0.2 requirement was removed or weakened.</w:t>
      </w:r>
    </w:p>
    <w:p>
      <w:pPr>
        <w:pStyle w:val="Heading2"/>
        <w:spacing w:after="120" w:before="260"/>
      </w:pPr>
      <w:r>
        <w:rPr>
          <w:b/>
          <w:bCs/>
          <w:color w:val="1F3B4D"/>
          <w:sz w:val="24"/>
          <w:szCs w:val="24"/>
        </w:rPr>
        <w:t xml:space="preserve">Revision Note — v0.2</w:t>
      </w:r>
    </w:p>
    <w:p>
      <w:pPr>
        <w:spacing w:after="160" w:line="276"/>
      </w:pPr>
      <w:r>
        <w:rPr>
          <w:b w:val="false"/>
          <w:bCs w:val="false"/>
          <w:i w:val="false"/>
          <w:iCs w:val="false"/>
          <w:color w:val="262B2B"/>
          <w:sz w:val="21"/>
          <w:szCs w:val="21"/>
        </w:rPr>
        <w:t xml:space="preserve">Version 0.2 added explainability as a first-class, end-to-end requirement: Section 9 (Explainability Requirements), plus additive changes to the goals, scope, component responsibilities, functional requirements, WebSocket contract, UX requirements, safety bounds, sandbox, error states, rollout milestones, evaluation plan, open questions, decisions, and risk register.</w:t>
      </w:r>
    </w:p>
    <w:p>
      <w:pPr>
        <w:pStyle w:val="Heading2"/>
        <w:spacing w:after="120" w:before="260"/>
      </w:pPr>
      <w:r>
        <w:rPr>
          <w:b/>
          <w:bCs/>
          <w:color w:val="1F3B4D"/>
          <w:sz w:val="24"/>
          <w:szCs w:val="24"/>
        </w:rPr>
        <w:t xml:space="preserve">Why Explainability Was Added</w:t>
      </w:r>
    </w:p>
    <w:p>
      <w:pPr>
        <w:spacing w:after="160" w:line="276"/>
      </w:pPr>
      <w:r>
        <w:rPr>
          <w:b w:val="false"/>
          <w:bCs w:val="false"/>
          <w:i w:val="false"/>
          <w:iCs w:val="false"/>
          <w:color w:val="262B2B"/>
          <w:sz w:val="21"/>
          <w:szCs w:val="21"/>
        </w:rPr>
        <w:t xml:space="preserve">The system hands a REAL/FAKE verdict to a human — a judge, a developer, or eventually an institutional operator or call recipient — who must decide how much to trust it. A risk score with no attribution is a black box that is hard to debug, hard to audit, and easy to either over-trust or dismiss. v0.3 goes further than v0.2: it's not enough for an explanation to be technically grounded — it has to be phrased for whoever is actually looking at it. See Section 9.4–9.5.</w:t>
      </w:r>
    </w:p>
    <w:p>
      <w:r>
        <w:br w:type="page"/>
      </w:r>
    </w:p>
    <w:p>
      <w:pPr>
        <w:pStyle w:val="Heading1"/>
        <w:pBdr>
          <w:bottom w:val="single" w:color="2E7D6E" w:sz="6" w:space="4"/>
        </w:pBdr>
        <w:spacing w:after="160" w:before="420"/>
      </w:pPr>
      <w:r>
        <w:rPr>
          <w:b/>
          <w:bCs/>
          <w:color w:val="1F3B4D"/>
          <w:sz w:val="30"/>
          <w:szCs w:val="30"/>
        </w:rPr>
        <w:t xml:space="preserve">Contents</w:t>
      </w:r>
    </w:p>
    <w:p>
      <w:pPr>
        <w:spacing w:after="90" w:line="276"/>
      </w:pPr>
      <w:r>
        <w:rPr>
          <w:b w:val="false"/>
          <w:bCs w:val="false"/>
          <w:i w:val="false"/>
          <w:iCs w:val="false"/>
          <w:color w:val="262B2B"/>
          <w:sz w:val="21"/>
          <w:szCs w:val="21"/>
        </w:rPr>
        <w:t xml:space="preserve">1. Product Summary</w:t>
      </w:r>
    </w:p>
    <w:p>
      <w:pPr>
        <w:spacing w:after="90" w:line="276"/>
      </w:pPr>
      <w:r>
        <w:rPr>
          <w:b w:val="false"/>
          <w:bCs w:val="false"/>
          <w:i w:val="false"/>
          <w:iCs w:val="false"/>
          <w:color w:val="262B2B"/>
          <w:sz w:val="21"/>
          <w:szCs w:val="21"/>
        </w:rPr>
        <w:t xml:space="preserve">2. Goals and Non-Goals</w:t>
      </w:r>
    </w:p>
    <w:p>
      <w:pPr>
        <w:spacing w:after="90" w:line="276"/>
      </w:pPr>
      <w:r>
        <w:rPr>
          <w:b w:val="false"/>
          <w:bCs w:val="false"/>
          <w:i w:val="false"/>
          <w:iCs w:val="false"/>
          <w:color w:val="262B2B"/>
          <w:sz w:val="21"/>
          <w:szCs w:val="21"/>
        </w:rPr>
        <w:t xml:space="preserve">3. Target Users and Demo Context</w:t>
      </w:r>
    </w:p>
    <w:p>
      <w:pPr>
        <w:spacing w:after="90" w:line="276"/>
      </w:pPr>
      <w:r>
        <w:rPr>
          <w:b w:val="false"/>
          <w:bCs w:val="false"/>
          <w:i w:val="false"/>
          <w:iCs w:val="false"/>
          <w:color w:val="262B2B"/>
          <w:sz w:val="21"/>
          <w:szCs w:val="21"/>
        </w:rPr>
        <w:t xml:space="preserve">4. Product Scope</w:t>
      </w:r>
    </w:p>
    <w:p>
      <w:pPr>
        <w:spacing w:after="90" w:line="276"/>
      </w:pPr>
      <w:r>
        <w:rPr>
          <w:b w:val="false"/>
          <w:bCs w:val="false"/>
          <w:i w:val="false"/>
          <w:iCs w:val="false"/>
          <w:color w:val="262B2B"/>
          <w:sz w:val="21"/>
          <w:szCs w:val="21"/>
        </w:rPr>
        <w:t xml:space="preserve">5. Recommended Deployment Architecture</w:t>
      </w:r>
    </w:p>
    <w:p>
      <w:pPr>
        <w:spacing w:after="90" w:line="276"/>
      </w:pPr>
      <w:r>
        <w:rPr>
          <w:b w:val="false"/>
          <w:bCs w:val="false"/>
          <w:i w:val="false"/>
          <w:iCs w:val="false"/>
          <w:color w:val="262B2B"/>
          <w:sz w:val="21"/>
          <w:szCs w:val="21"/>
        </w:rPr>
        <w:t xml:space="preserve">6. Component Responsibilities</w:t>
      </w:r>
    </w:p>
    <w:p>
      <w:pPr>
        <w:spacing w:after="90" w:line="276"/>
      </w:pPr>
      <w:r>
        <w:rPr>
          <w:b w:val="false"/>
          <w:bCs w:val="false"/>
          <w:i w:val="false"/>
          <w:iCs w:val="false"/>
          <w:color w:val="262B2B"/>
          <w:sz w:val="21"/>
          <w:szCs w:val="21"/>
        </w:rPr>
        <w:t xml:space="preserve">7. Functional Requirements</w:t>
      </w:r>
    </w:p>
    <w:p>
      <w:pPr>
        <w:spacing w:after="90" w:line="276"/>
      </w:pPr>
      <w:r>
        <w:rPr>
          <w:b w:val="false"/>
          <w:bCs w:val="false"/>
          <w:i w:val="false"/>
          <w:iCs w:val="false"/>
          <w:color w:val="262B2B"/>
          <w:sz w:val="21"/>
          <w:szCs w:val="21"/>
        </w:rPr>
        <w:t xml:space="preserve">8. WebSocket Contract</w:t>
      </w:r>
    </w:p>
    <w:p>
      <w:pPr>
        <w:spacing w:after="90" w:line="276"/>
      </w:pPr>
      <w:r>
        <w:rPr>
          <w:b w:val="false"/>
          <w:bCs w:val="false"/>
          <w:i w:val="false"/>
          <w:iCs w:val="false"/>
          <w:color w:val="262B2B"/>
          <w:sz w:val="21"/>
          <w:szCs w:val="21"/>
        </w:rPr>
        <w:t xml:space="preserve">9. Explainability Requirements  [NEW]</w:t>
      </w:r>
    </w:p>
    <w:p>
      <w:pPr>
        <w:spacing w:after="90" w:line="276"/>
      </w:pPr>
      <w:r>
        <w:rPr>
          <w:b w:val="false"/>
          <w:bCs w:val="false"/>
          <w:i w:val="false"/>
          <w:iCs w:val="false"/>
          <w:color w:val="262B2B"/>
          <w:sz w:val="21"/>
          <w:szCs w:val="21"/>
        </w:rPr>
        <w:t xml:space="preserve">10. User Experience Requirements</w:t>
      </w:r>
    </w:p>
    <w:p>
      <w:pPr>
        <w:spacing w:after="90" w:line="276"/>
      </w:pPr>
      <w:r>
        <w:rPr>
          <w:b w:val="false"/>
          <w:bCs w:val="false"/>
          <w:i w:val="false"/>
          <w:iCs w:val="false"/>
          <w:color w:val="262B2B"/>
          <w:sz w:val="21"/>
          <w:szCs w:val="21"/>
        </w:rPr>
        <w:t xml:space="preserve">11. Safety, Privacy, and Abuse Bounds</w:t>
      </w:r>
    </w:p>
    <w:p>
      <w:pPr>
        <w:spacing w:after="90" w:line="276"/>
      </w:pPr>
      <w:r>
        <w:rPr>
          <w:b w:val="false"/>
          <w:bCs w:val="false"/>
          <w:i w:val="false"/>
          <w:iCs w:val="false"/>
          <w:color w:val="262B2B"/>
          <w:sz w:val="21"/>
          <w:szCs w:val="21"/>
        </w:rPr>
        <w:t xml:space="preserve">12. Sandbox Environment</w:t>
      </w:r>
    </w:p>
    <w:p>
      <w:pPr>
        <w:spacing w:after="90" w:line="276"/>
      </w:pPr>
      <w:r>
        <w:rPr>
          <w:b w:val="false"/>
          <w:bCs w:val="false"/>
          <w:i w:val="false"/>
          <w:iCs w:val="false"/>
          <w:color w:val="262B2B"/>
          <w:sz w:val="21"/>
          <w:szCs w:val="21"/>
        </w:rPr>
        <w:t xml:space="preserve">13. Error and Safety States</w:t>
      </w:r>
    </w:p>
    <w:p>
      <w:pPr>
        <w:spacing w:after="90" w:line="276"/>
      </w:pPr>
      <w:r>
        <w:rPr>
          <w:b w:val="false"/>
          <w:bCs w:val="false"/>
          <w:i w:val="false"/>
          <w:iCs w:val="false"/>
          <w:color w:val="262B2B"/>
          <w:sz w:val="21"/>
          <w:szCs w:val="21"/>
        </w:rPr>
        <w:t xml:space="preserve">14. Deployment Plan</w:t>
      </w:r>
    </w:p>
    <w:p>
      <w:pPr>
        <w:spacing w:after="90" w:line="276"/>
      </w:pPr>
      <w:r>
        <w:rPr>
          <w:b w:val="false"/>
          <w:bCs w:val="false"/>
          <w:i w:val="false"/>
          <w:iCs w:val="false"/>
          <w:color w:val="262B2B"/>
          <w:sz w:val="21"/>
          <w:szCs w:val="21"/>
        </w:rPr>
        <w:t xml:space="preserve">15. MVP Acceptance Criteria</w:t>
      </w:r>
    </w:p>
    <w:p>
      <w:pPr>
        <w:spacing w:after="90" w:line="276"/>
      </w:pPr>
      <w:r>
        <w:rPr>
          <w:b w:val="false"/>
          <w:bCs w:val="false"/>
          <w:i w:val="false"/>
          <w:iCs w:val="false"/>
          <w:color w:val="262B2B"/>
          <w:sz w:val="21"/>
          <w:szCs w:val="21"/>
        </w:rPr>
        <w:t xml:space="preserve">16. Suggested Repository Structure</w:t>
      </w:r>
    </w:p>
    <w:p>
      <w:pPr>
        <w:spacing w:after="90" w:line="276"/>
      </w:pPr>
      <w:r>
        <w:rPr>
          <w:b w:val="false"/>
          <w:bCs w:val="false"/>
          <w:i w:val="false"/>
          <w:iCs w:val="false"/>
          <w:color w:val="262B2B"/>
          <w:sz w:val="21"/>
          <w:szCs w:val="21"/>
        </w:rPr>
        <w:t xml:space="preserve">17. Model Rollout Strategy</w:t>
      </w:r>
    </w:p>
    <w:p>
      <w:pPr>
        <w:spacing w:after="90" w:line="276"/>
      </w:pPr>
      <w:r>
        <w:rPr>
          <w:b w:val="false"/>
          <w:bCs w:val="false"/>
          <w:i w:val="false"/>
          <w:iCs w:val="false"/>
          <w:color w:val="262B2B"/>
          <w:sz w:val="21"/>
          <w:szCs w:val="21"/>
        </w:rPr>
        <w:t xml:space="preserve">18. Evaluation Plan</w:t>
      </w:r>
    </w:p>
    <w:p>
      <w:pPr>
        <w:spacing w:after="90" w:line="276"/>
      </w:pPr>
      <w:r>
        <w:rPr>
          <w:b w:val="false"/>
          <w:bCs w:val="false"/>
          <w:i w:val="false"/>
          <w:iCs w:val="false"/>
          <w:color w:val="262B2B"/>
          <w:sz w:val="21"/>
          <w:szCs w:val="21"/>
        </w:rPr>
        <w:t xml:space="preserve">19. Open Questions / Definitions Needed Before Implementation</w:t>
      </w:r>
    </w:p>
    <w:p>
      <w:pPr>
        <w:spacing w:after="90" w:line="276"/>
      </w:pPr>
      <w:r>
        <w:rPr>
          <w:b w:val="false"/>
          <w:bCs w:val="false"/>
          <w:i w:val="false"/>
          <w:iCs w:val="false"/>
          <w:color w:val="262B2B"/>
          <w:sz w:val="21"/>
          <w:szCs w:val="21"/>
        </w:rPr>
        <w:t xml:space="preserve">20. Initial Decisions</w:t>
      </w:r>
    </w:p>
    <w:p>
      <w:pPr>
        <w:spacing w:after="90" w:line="276"/>
      </w:pPr>
      <w:r>
        <w:rPr>
          <w:b w:val="false"/>
          <w:bCs w:val="false"/>
          <w:i w:val="false"/>
          <w:iCs w:val="false"/>
          <w:color w:val="262B2B"/>
          <w:sz w:val="21"/>
          <w:szCs w:val="21"/>
        </w:rPr>
        <w:t xml:space="preserve">21. Risks and Mitigations</w:t>
      </w:r>
    </w:p>
    <w:p>
      <w:pPr>
        <w:spacing w:after="90" w:line="276"/>
      </w:pPr>
      <w:r>
        <w:rPr>
          <w:b w:val="false"/>
          <w:bCs w:val="false"/>
          <w:i w:val="false"/>
          <w:iCs w:val="false"/>
          <w:color w:val="262B2B"/>
          <w:sz w:val="21"/>
          <w:szCs w:val="21"/>
        </w:rPr>
        <w:t xml:space="preserve">22. Source Boundary</w:t>
      </w:r>
    </w:p>
    <w:p>
      <w:pPr>
        <w:spacing w:after="90" w:line="276"/>
      </w:pPr>
      <w:r>
        <w:rPr>
          <w:b w:val="false"/>
          <w:bCs w:val="false"/>
          <w:i w:val="false"/>
          <w:iCs w:val="false"/>
          <w:color w:val="262B2B"/>
          <w:sz w:val="21"/>
          <w:szCs w:val="21"/>
        </w:rPr>
        <w:t xml:space="preserve">23. Immediate Next Action</w:t>
      </w:r>
    </w:p>
    <w:p>
      <w:pPr>
        <w:spacing w:after="90" w:line="276"/>
      </w:pPr>
      <w:r>
        <w:rPr>
          <w:b w:val="false"/>
          <w:bCs w:val="false"/>
          <w:i w:val="false"/>
          <w:iCs w:val="false"/>
          <w:color w:val="262B2B"/>
          <w:sz w:val="21"/>
          <w:szCs w:val="21"/>
        </w:rPr>
        <w:t xml:space="preserve">24. Appendix A — Consistency Review (v0.2 → v0.3)  [NEW]</w:t>
      </w:r>
    </w:p>
    <w:p>
      <w:r>
        <w:br w:type="page"/>
      </w:r>
    </w:p>
    <w:p>
      <w:pPr>
        <w:pStyle w:val="Heading1"/>
        <w:pBdr>
          <w:bottom w:val="single" w:color="2E7D6E" w:sz="6" w:space="4"/>
        </w:pBdr>
        <w:spacing w:after="160" w:before="420"/>
      </w:pPr>
      <w:r>
        <w:rPr>
          <w:b/>
          <w:bCs/>
          <w:color w:val="1F3B4D"/>
          <w:sz w:val="30"/>
          <w:szCs w:val="30"/>
        </w:rPr>
        <w:t xml:space="preserve">1. Product Summary</w:t>
      </w:r>
    </w:p>
    <w:p>
      <w:pPr>
        <w:spacing w:after="160" w:line="276"/>
      </w:pPr>
      <w:r>
        <w:rPr>
          <w:b w:val="false"/>
          <w:bCs w:val="false"/>
          <w:i w:val="false"/>
          <w:iCs w:val="false"/>
          <w:color w:val="262B2B"/>
          <w:sz w:val="21"/>
          <w:szCs w:val="21"/>
        </w:rPr>
        <w:t xml:space="preserve">The product is a near-real-time voice authenticity analysis system. A web browser captures microphone audio and streams small PCM audio chunks to a FastAPI backend over WebSocket. The backend performs voice-activity detection, runs an ensemble of spoof/deepfake detectors, fuses detector outputs into a calibrated risk score, and returns a REAL/FAKE verdict with supporting signals to the browser.</w:t>
      </w:r>
    </w:p>
    <w:p>
      <w:pPr>
        <w:spacing w:after="160" w:line="276"/>
      </w:pPr>
      <w:r>
        <w:rPr>
          <w:b w:val="false"/>
          <w:bCs w:val="false"/>
          <w:i w:val="false"/>
          <w:iCs w:val="false"/>
          <w:color w:val="262B2B"/>
          <w:sz w:val="21"/>
          <w:szCs w:val="21"/>
        </w:rPr>
        <w:t xml:space="preserve">The uploaded master project document specifies chunked streaming, Silero VAD, 2–4 second windows, SSL-AASIST as primary detector, raw AASIST as backup, prosody analysis, optional ECAPA-TDNN speaker matching and Whisper transcript context, and logistic-regression/small-MLP fusion. It also requires raw audio not to be persisted and describes an API-first modular design.</w:t>
      </w:r>
    </w:p>
    <w:p>
      <w:pPr>
        <w:spacing w:after="160" w:line="276"/>
      </w:pPr>
      <w:r>
        <w:rPr>
          <w:sz w:val="21"/>
          <w:szCs w:val="21"/>
        </w:rPr>
        <w:t xml:space="preserve">Because the verdict feeds a human decision, not an autonomous action, the system must also explain </w:t>
      </w:r>
      <w:r>
        <w:rPr>
          <w:i/>
          <w:iCs/>
          <w:sz w:val="21"/>
          <w:szCs w:val="21"/>
        </w:rPr>
        <w:t xml:space="preserve">why</w:t>
      </w:r>
      <w:r>
        <w:rPr>
          <w:sz w:val="21"/>
          <w:szCs w:val="21"/>
        </w:rPr>
        <w:t xml:space="preserve"> a window was scored the way it was — which detector(s) drove the decision and what interpretable features contributed — rather than emitting an opaque number.</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2. Goals and Non-Goals</w:t>
      </w:r>
    </w:p>
    <w:p>
      <w:pPr>
        <w:pStyle w:val="Heading2"/>
        <w:spacing w:after="120" w:before="260"/>
      </w:pPr>
      <w:r>
        <w:rPr>
          <w:b/>
          <w:bCs/>
          <w:color w:val="1F3B4D"/>
          <w:sz w:val="24"/>
          <w:szCs w:val="24"/>
        </w:rPr>
        <w:t xml:space="preserve">Goals</w:t>
      </w:r>
    </w:p>
    <w:p>
      <w:pPr>
        <w:pStyle w:val="ListParagraph"/>
        <w:numPr>
          <w:ilvl w:val="0"/>
          <w:numId w:val="2"/>
        </w:numPr>
        <w:spacing w:after="80"/>
      </w:pPr>
      <w:r>
        <w:rPr>
          <w:sz w:val="21"/>
          <w:szCs w:val="21"/>
        </w:rPr>
        <w:t xml:space="preserve">Create a working browser-based demonstration of live voice-cloning risk analysis.</w:t>
      </w:r>
    </w:p>
    <w:p>
      <w:pPr>
        <w:pStyle w:val="ListParagraph"/>
        <w:numPr>
          <w:ilvl w:val="0"/>
          <w:numId w:val="2"/>
        </w:numPr>
        <w:spacing w:after="80"/>
      </w:pPr>
      <w:r>
        <w:rPr>
          <w:sz w:val="21"/>
          <w:szCs w:val="21"/>
        </w:rPr>
        <w:t xml:space="preserve">Stream audio continuously rather than uploading a completed recording.</w:t>
      </w:r>
    </w:p>
    <w:p>
      <w:pPr>
        <w:pStyle w:val="ListParagraph"/>
        <w:numPr>
          <w:ilvl w:val="0"/>
          <w:numId w:val="2"/>
        </w:numPr>
        <w:spacing w:after="80"/>
      </w:pPr>
      <w:r>
        <w:rPr>
          <w:sz w:val="21"/>
          <w:szCs w:val="21"/>
        </w:rPr>
        <w:t xml:space="preserve">Run AI inference on the team's available GPU machine.</w:t>
      </w:r>
    </w:p>
    <w:p>
      <w:pPr>
        <w:pStyle w:val="ListParagraph"/>
        <w:numPr>
          <w:ilvl w:val="0"/>
          <w:numId w:val="2"/>
        </w:numPr>
        <w:spacing w:after="80"/>
      </w:pPr>
      <w:r>
        <w:rPr>
          <w:sz w:val="21"/>
          <w:szCs w:val="21"/>
        </w:rPr>
        <w:t xml:space="preserve">Provide a public web frontend through Vercel for the demonstration.</w:t>
      </w:r>
    </w:p>
    <w:p>
      <w:pPr>
        <w:pStyle w:val="ListParagraph"/>
        <w:numPr>
          <w:ilvl w:val="0"/>
          <w:numId w:val="2"/>
        </w:numPr>
        <w:spacing w:after="80"/>
      </w:pPr>
      <w:r>
        <w:rPr>
          <w:sz w:val="21"/>
          <w:szCs w:val="21"/>
        </w:rPr>
        <w:t xml:space="preserve">Connect the public frontend to the GPU-hosted FastAPI service through a secure tunnel.</w:t>
      </w:r>
    </w:p>
    <w:p>
      <w:pPr>
        <w:pStyle w:val="ListParagraph"/>
        <w:numPr>
          <w:ilvl w:val="0"/>
          <w:numId w:val="2"/>
        </w:numPr>
        <w:spacing w:after="80"/>
      </w:pPr>
      <w:r>
        <w:rPr>
          <w:sz w:val="21"/>
          <w:szCs w:val="21"/>
        </w:rPr>
        <w:t xml:space="preserve">Return risk score 0–100, verdict, confidence/supporting signal information, and timestamped window result.</w:t>
      </w:r>
    </w:p>
    <w:p>
      <w:pPr>
        <w:pStyle w:val="ListParagraph"/>
        <w:numPr>
          <w:ilvl w:val="0"/>
          <w:numId w:val="2"/>
        </w:numPr>
        <w:spacing w:after="80"/>
      </w:pPr>
      <w:r>
        <w:rPr>
          <w:sz w:val="21"/>
          <w:szCs w:val="21"/>
        </w:rPr>
        <w:t xml:space="preserve">Keep raw audio in memory only and avoid persistent raw-audio storage.</w:t>
      </w:r>
    </w:p>
    <w:p>
      <w:pPr>
        <w:pStyle w:val="ListParagraph"/>
        <w:numPr>
          <w:ilvl w:val="0"/>
          <w:numId w:val="2"/>
        </w:numPr>
        <w:spacing w:after="80"/>
      </w:pPr>
      <w:r>
        <w:rPr>
          <w:sz w:val="21"/>
          <w:szCs w:val="21"/>
        </w:rPr>
        <w:t xml:space="preserve">Keep the AI backend independent from the presentation layer so Android and enterprise clients can be added later.</w:t>
      </w:r>
    </w:p>
    <w:p>
      <w:pPr>
        <w:pStyle w:val="ListParagraph"/>
        <w:numPr>
          <w:ilvl w:val="0"/>
          <w:numId w:val="2"/>
        </w:numPr>
        <w:spacing w:after="80"/>
      </w:pPr>
      <w:r>
        <w:rPr>
          <w:sz w:val="21"/>
          <w:szCs w:val="21"/>
        </w:rPr>
        <w:t xml:space="preserve">Provide a sandbox/test mode using consenting or synthetic audio before live microphone testing.</w:t>
      </w:r>
    </w:p>
    <w:p>
      <w:pPr>
        <w:pStyle w:val="ListParagraph"/>
        <w:numPr>
          <w:ilvl w:val="0"/>
          <w:numId w:val="2"/>
        </w:numPr>
        <w:spacing w:after="80"/>
      </w:pPr>
      <w:r>
        <w:rPr>
          <w:sz w:val="21"/>
          <w:szCs w:val="21"/>
        </w:rPr>
        <w:t xml:space="preserve">Make every verdict explainable: surface which detector(s) and which interpretable features drove the risk score, not just the score itself.</w:t>
      </w:r>
      <w:r>
        <w:rPr>
          <w:b/>
          <w:bCs/>
          <w:color w:val="2E7D6E"/>
          <w:sz w:val="17"/>
          <w:szCs w:val="17"/>
        </w:rPr>
        <w:t xml:space="preserve">  [NEW]</w:t>
      </w:r>
    </w:p>
    <w:p>
      <w:pPr>
        <w:pStyle w:val="Heading2"/>
        <w:spacing w:after="120" w:before="260"/>
      </w:pPr>
      <w:r>
        <w:rPr>
          <w:b/>
          <w:bCs/>
          <w:color w:val="1F3B4D"/>
          <w:sz w:val="24"/>
          <w:szCs w:val="24"/>
        </w:rPr>
        <w:t xml:space="preserve">Non-Goals for the MVP</w:t>
      </w:r>
    </w:p>
    <w:p>
      <w:pPr>
        <w:pStyle w:val="ListParagraph"/>
        <w:numPr>
          <w:ilvl w:val="0"/>
          <w:numId w:val="2"/>
        </w:numPr>
        <w:spacing w:after="80"/>
      </w:pPr>
      <w:r>
        <w:rPr>
          <w:sz w:val="21"/>
          <w:szCs w:val="21"/>
        </w:rPr>
        <w:t xml:space="preserve">Do not attempt to access arbitrary cellular call audio from a third-party Android application.</w:t>
      </w:r>
    </w:p>
    <w:p>
      <w:pPr>
        <w:pStyle w:val="ListParagraph"/>
        <w:numPr>
          <w:ilvl w:val="0"/>
          <w:numId w:val="2"/>
        </w:numPr>
        <w:spacing w:after="80"/>
      </w:pPr>
      <w:r>
        <w:rPr>
          <w:sz w:val="21"/>
          <w:szCs w:val="21"/>
        </w:rPr>
        <w:t xml:space="preserve">Do not automatically approve, deny, or execute financial transactions based solely on the model verdict.</w:t>
      </w:r>
    </w:p>
    <w:p>
      <w:pPr>
        <w:pStyle w:val="ListParagraph"/>
        <w:numPr>
          <w:ilvl w:val="0"/>
          <w:numId w:val="2"/>
        </w:numPr>
        <w:spacing w:after="80"/>
      </w:pPr>
      <w:r>
        <w:rPr>
          <w:sz w:val="21"/>
          <w:szCs w:val="21"/>
        </w:rPr>
        <w:t xml:space="preserve">Do not claim universal or perfect detection of unseen voice-cloning methods.</w:t>
      </w:r>
    </w:p>
    <w:p>
      <w:pPr>
        <w:pStyle w:val="ListParagraph"/>
        <w:numPr>
          <w:ilvl w:val="0"/>
          <w:numId w:val="2"/>
        </w:numPr>
        <w:spacing w:after="80"/>
      </w:pPr>
      <w:r>
        <w:rPr>
          <w:sz w:val="21"/>
          <w:szCs w:val="21"/>
        </w:rPr>
        <w:t xml:space="preserve">Do not build a production-grade multi-tenant banking platform in the first iteration.</w:t>
      </w:r>
    </w:p>
    <w:p>
      <w:pPr>
        <w:pStyle w:val="ListParagraph"/>
        <w:numPr>
          <w:ilvl w:val="0"/>
          <w:numId w:val="2"/>
        </w:numPr>
        <w:spacing w:after="80"/>
      </w:pPr>
      <w:r>
        <w:rPr>
          <w:sz w:val="21"/>
          <w:szCs w:val="21"/>
        </w:rPr>
        <w:t xml:space="preserve">Do not make speaker identification a prerequisite for general voice-clone detection.</w:t>
      </w:r>
    </w:p>
    <w:p>
      <w:pPr>
        <w:pStyle w:val="ListParagraph"/>
        <w:numPr>
          <w:ilvl w:val="0"/>
          <w:numId w:val="2"/>
        </w:numPr>
        <w:spacing w:after="80"/>
      </w:pPr>
      <w:r>
        <w:rPr>
          <w:sz w:val="21"/>
          <w:szCs w:val="21"/>
        </w:rPr>
        <w:t xml:space="preserve">Do not store raw microphone recordings as a debugging shortcut.</w:t>
      </w:r>
    </w:p>
    <w:p>
      <w:pPr>
        <w:pStyle w:val="ListParagraph"/>
        <w:numPr>
          <w:ilvl w:val="0"/>
          <w:numId w:val="2"/>
        </w:numPr>
        <w:spacing w:after="80"/>
      </w:pPr>
      <w:r>
        <w:rPr>
          <w:sz w:val="21"/>
          <w:szCs w:val="21"/>
        </w:rPr>
        <w:t xml:space="preserve">Do not generate free-text explanations from a separate generative/language model that are not strictly derived from real detector outputs — explanations must trace back to actual computed feature or score values, never a fabricated narrative.</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3. Target Users and Demo Context</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800"/>
        <w:gridCol w:w="3100"/>
        <w:gridCol w:w="3460"/>
      </w:tblGrid>
      <w:tr>
        <w:trPr>
          <w:tblHeader/>
        </w:trPr>
        <w:tc>
          <w:tcPr>
            <w:tcW w:type="dxa" w:w="2800"/>
            <w:shd w:fill="1F3B4D" w:color="auto" w:val="clear"/>
            <w:tcMar>
              <w:top w:type="dxa" w:w="80"/>
              <w:left w:type="dxa" w:w="110"/>
              <w:bottom w:type="dxa" w:w="80"/>
              <w:right w:type="dxa" w:w="110"/>
            </w:tcMar>
            <w:vAlign w:val="center"/>
          </w:tcPr>
          <w:p>
            <w:pPr>
              <w:spacing w:after="40"/>
            </w:pPr>
            <w:r>
              <w:rPr>
                <w:b/>
                <w:bCs/>
                <w:color w:val="FFFFFF"/>
                <w:sz w:val="19"/>
                <w:szCs w:val="19"/>
              </w:rPr>
              <w:t xml:space="preserve">User / Stakeholder</w:t>
            </w:r>
          </w:p>
        </w:tc>
        <w:tc>
          <w:tcPr>
            <w:tcW w:type="dxa" w:w="3100"/>
            <w:shd w:fill="1F3B4D" w:color="auto" w:val="clear"/>
            <w:tcMar>
              <w:top w:type="dxa" w:w="80"/>
              <w:left w:type="dxa" w:w="110"/>
              <w:bottom w:type="dxa" w:w="80"/>
              <w:right w:type="dxa" w:w="110"/>
            </w:tcMar>
            <w:vAlign w:val="center"/>
          </w:tcPr>
          <w:p>
            <w:pPr>
              <w:spacing w:after="40"/>
            </w:pPr>
            <w:r>
              <w:rPr>
                <w:b/>
                <w:bCs/>
                <w:color w:val="FFFFFF"/>
                <w:sz w:val="19"/>
                <w:szCs w:val="19"/>
              </w:rPr>
              <w:t xml:space="preserve">Need</w:t>
            </w:r>
          </w:p>
        </w:tc>
        <w:tc>
          <w:tcPr>
            <w:tcW w:type="dxa" w:w="3460"/>
            <w:shd w:fill="1F3B4D" w:color="auto" w:val="clear"/>
            <w:tcMar>
              <w:top w:type="dxa" w:w="80"/>
              <w:left w:type="dxa" w:w="110"/>
              <w:bottom w:type="dxa" w:w="80"/>
              <w:right w:type="dxa" w:w="110"/>
            </w:tcMar>
            <w:vAlign w:val="center"/>
          </w:tcPr>
          <w:p>
            <w:pPr>
              <w:spacing w:after="40"/>
            </w:pPr>
            <w:r>
              <w:rPr>
                <w:b/>
                <w:bCs/>
                <w:color w:val="FFFFFF"/>
                <w:sz w:val="19"/>
                <w:szCs w:val="19"/>
              </w:rPr>
              <w:t xml:space="preserve">MVP Experience</w:t>
            </w:r>
          </w:p>
        </w:tc>
      </w:tr>
      <w:tr>
        <w:tc>
          <w:tcPr>
            <w:tcW w:type="dxa" w:w="2800"/>
            <w:tcMar>
              <w:top w:type="dxa" w:w="80"/>
              <w:left w:type="dxa" w:w="110"/>
              <w:bottom w:type="dxa" w:w="80"/>
              <w:right w:type="dxa" w:w="110"/>
            </w:tcMar>
            <w:vAlign w:val="center"/>
          </w:tcPr>
          <w:p>
            <w:pPr>
              <w:spacing w:after="40"/>
            </w:pPr>
            <w:r>
              <w:rPr>
                <w:b w:val="false"/>
                <w:bCs w:val="false"/>
                <w:color w:val="262B2B"/>
                <w:sz w:val="19"/>
                <w:szCs w:val="19"/>
              </w:rPr>
              <w:t xml:space="preserve">SIH judge / evaluator</w:t>
            </w:r>
          </w:p>
        </w:tc>
        <w:tc>
          <w:tcPr>
            <w:tcW w:type="dxa" w:w="3100"/>
            <w:tcMar>
              <w:top w:type="dxa" w:w="80"/>
              <w:left w:type="dxa" w:w="110"/>
              <w:bottom w:type="dxa" w:w="80"/>
              <w:right w:type="dxa" w:w="110"/>
            </w:tcMar>
            <w:vAlign w:val="center"/>
          </w:tcPr>
          <w:p>
            <w:pPr>
              <w:spacing w:after="40"/>
            </w:pPr>
            <w:r>
              <w:rPr>
                <w:b w:val="false"/>
                <w:bCs w:val="false"/>
                <w:color w:val="262B2B"/>
                <w:sz w:val="19"/>
                <w:szCs w:val="19"/>
              </w:rPr>
              <w:t xml:space="preserve">Quickly understand whether the system detects a clone.</w:t>
            </w:r>
          </w:p>
        </w:tc>
        <w:tc>
          <w:tcPr>
            <w:tcW w:type="dxa" w:w="3460"/>
            <w:tcMar>
              <w:top w:type="dxa" w:w="80"/>
              <w:left w:type="dxa" w:w="110"/>
              <w:bottom w:type="dxa" w:w="80"/>
              <w:right w:type="dxa" w:w="110"/>
            </w:tcMar>
            <w:vAlign w:val="center"/>
          </w:tcPr>
          <w:p>
            <w:pPr>
              <w:spacing w:after="40"/>
            </w:pPr>
            <w:r>
              <w:rPr>
                <w:b w:val="false"/>
                <w:bCs w:val="false"/>
                <w:color w:val="262B2B"/>
                <w:sz w:val="19"/>
                <w:szCs w:val="19"/>
              </w:rPr>
              <w:t xml:space="preserve">Open public URL, allow microphone, speak/play a sample, observe live risk.</w:t>
            </w:r>
          </w:p>
        </w:tc>
      </w:tr>
      <w:tr>
        <w:tc>
          <w:tcPr>
            <w:tcW w:type="dxa" w:w="28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Student developer</w:t>
            </w:r>
          </w:p>
        </w:tc>
        <w:tc>
          <w:tcPr>
            <w:tcW w:type="dxa" w:w="3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Debug the end-to-end pipeline safely.</w:t>
            </w:r>
          </w:p>
        </w:tc>
        <w:tc>
          <w:tcPr>
            <w:tcW w:type="dxa" w:w="3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Local sandbox with mock WebSocket responses and local GPU inference.</w:t>
            </w:r>
          </w:p>
        </w:tc>
      </w:tr>
      <w:tr>
        <w:tc>
          <w:tcPr>
            <w:tcW w:type="dxa" w:w="2800"/>
            <w:tcMar>
              <w:top w:type="dxa" w:w="80"/>
              <w:left w:type="dxa" w:w="110"/>
              <w:bottom w:type="dxa" w:w="80"/>
              <w:right w:type="dxa" w:w="110"/>
            </w:tcMar>
            <w:vAlign w:val="center"/>
          </w:tcPr>
          <w:p>
            <w:pPr>
              <w:spacing w:after="40"/>
            </w:pPr>
            <w:r>
              <w:rPr>
                <w:b w:val="false"/>
                <w:bCs w:val="false"/>
                <w:color w:val="262B2B"/>
                <w:sz w:val="19"/>
                <w:szCs w:val="19"/>
              </w:rPr>
              <w:t xml:space="preserve">Institutional operator (future)</w:t>
            </w:r>
          </w:p>
        </w:tc>
        <w:tc>
          <w:tcPr>
            <w:tcW w:type="dxa" w:w="3100"/>
            <w:tcMar>
              <w:top w:type="dxa" w:w="80"/>
              <w:left w:type="dxa" w:w="110"/>
              <w:bottom w:type="dxa" w:w="80"/>
              <w:right w:type="dxa" w:w="110"/>
            </w:tcMar>
            <w:vAlign w:val="center"/>
          </w:tcPr>
          <w:p>
            <w:pPr>
              <w:spacing w:after="40"/>
            </w:pPr>
            <w:r>
              <w:rPr>
                <w:b w:val="false"/>
                <w:bCs w:val="false"/>
                <w:color w:val="262B2B"/>
                <w:sz w:val="19"/>
                <w:szCs w:val="19"/>
              </w:rPr>
              <w:t xml:space="preserve">Use detection as a decision-support signal.</w:t>
            </w:r>
          </w:p>
        </w:tc>
        <w:tc>
          <w:tcPr>
            <w:tcW w:type="dxa" w:w="3460"/>
            <w:tcMar>
              <w:top w:type="dxa" w:w="80"/>
              <w:left w:type="dxa" w:w="110"/>
              <w:bottom w:type="dxa" w:w="80"/>
              <w:right w:type="dxa" w:w="110"/>
            </w:tcMar>
            <w:vAlign w:val="center"/>
          </w:tcPr>
          <w:p>
            <w:pPr>
              <w:spacing w:after="40"/>
            </w:pPr>
            <w:r>
              <w:rPr>
                <w:b w:val="false"/>
                <w:bCs w:val="false"/>
                <w:color w:val="262B2B"/>
                <w:sz w:val="19"/>
                <w:szCs w:val="19"/>
              </w:rPr>
              <w:t xml:space="preserve">API integration with auditable, confidence-tiered results.</w:t>
            </w:r>
          </w:p>
        </w:tc>
      </w:tr>
    </w:tbl>
    <w:p>
      <w:pPr>
        <w:spacing w:after="220" w:before="60"/>
      </w:pPr>
      <w:r>
        <w:rPr>
          <w:i/>
          <w:iCs/>
          <w:color w:val="5B6B6B"/>
          <w:sz w:val="19"/>
          <w:szCs w:val="19"/>
        </w:rPr>
        <w:t xml:space="preserve">[NEW] Explainability (§9) directly serves the "auditable, confidence-tiered results" need above — a signal is only auditable if a human can see what produced it. It also shortens the judge's and the student developer's path to trusting or debugging a result.</w:t>
      </w:r>
    </w:p>
    <w:p>
      <w:pPr>
        <w:pStyle w:val="Heading1"/>
        <w:pBdr>
          <w:bottom w:val="single" w:color="2E7D6E" w:sz="6" w:space="4"/>
        </w:pBdr>
        <w:spacing w:after="160" w:before="420"/>
      </w:pPr>
      <w:r>
        <w:rPr>
          <w:b/>
          <w:bCs/>
          <w:color w:val="1F3B4D"/>
          <w:sz w:val="30"/>
          <w:szCs w:val="30"/>
        </w:rPr>
        <w:t xml:space="preserve">4. Product Scope</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400"/>
        <w:gridCol w:w="5700"/>
        <w:gridCol w:w="1260"/>
      </w:tblGrid>
      <w:tr>
        <w:trPr>
          <w:tblHeader/>
        </w:trPr>
        <w:tc>
          <w:tcPr>
            <w:tcW w:type="dxa" w:w="2400"/>
            <w:shd w:fill="1F3B4D" w:color="auto" w:val="clear"/>
            <w:tcMar>
              <w:top w:type="dxa" w:w="80"/>
              <w:left w:type="dxa" w:w="110"/>
              <w:bottom w:type="dxa" w:w="80"/>
              <w:right w:type="dxa" w:w="110"/>
            </w:tcMar>
            <w:vAlign w:val="center"/>
          </w:tcPr>
          <w:p>
            <w:pPr>
              <w:spacing w:after="40"/>
            </w:pPr>
            <w:r>
              <w:rPr>
                <w:b/>
                <w:bCs/>
                <w:color w:val="FFFFFF"/>
                <w:sz w:val="19"/>
                <w:szCs w:val="19"/>
              </w:rPr>
              <w:t xml:space="preserve">Area</w:t>
            </w:r>
          </w:p>
        </w:tc>
        <w:tc>
          <w:tcPr>
            <w:tcW w:type="dxa" w:w="5700"/>
            <w:shd w:fill="1F3B4D" w:color="auto" w:val="clear"/>
            <w:tcMar>
              <w:top w:type="dxa" w:w="80"/>
              <w:left w:type="dxa" w:w="110"/>
              <w:bottom w:type="dxa" w:w="80"/>
              <w:right w:type="dxa" w:w="110"/>
            </w:tcMar>
            <w:vAlign w:val="center"/>
          </w:tcPr>
          <w:p>
            <w:pPr>
              <w:spacing w:after="40"/>
            </w:pPr>
            <w:r>
              <w:rPr>
                <w:b/>
                <w:bCs/>
                <w:color w:val="FFFFFF"/>
                <w:sz w:val="19"/>
                <w:szCs w:val="19"/>
              </w:rPr>
              <w:t xml:space="preserve">MVP Requirement</w:t>
            </w:r>
          </w:p>
        </w:tc>
        <w:tc>
          <w:tcPr>
            <w:tcW w:type="dxa" w:w="1260"/>
            <w:shd w:fill="1F3B4D" w:color="auto" w:val="clear"/>
            <w:tcMar>
              <w:top w:type="dxa" w:w="80"/>
              <w:left w:type="dxa" w:w="110"/>
              <w:bottom w:type="dxa" w:w="80"/>
              <w:right w:type="dxa" w:w="110"/>
            </w:tcMar>
            <w:vAlign w:val="center"/>
          </w:tcPr>
          <w:p>
            <w:pPr>
              <w:spacing w:after="40"/>
            </w:pPr>
            <w:r>
              <w:rPr>
                <w:b/>
                <w:bCs/>
                <w:color w:val="FFFFFF"/>
                <w:sz w:val="19"/>
                <w:szCs w:val="19"/>
              </w:rPr>
              <w:t xml:space="preserve">Priority</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Web UI</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Start/stop analysis, mic permission, connection status, waveform/activity indicator.</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Live results</w:t>
            </w:r>
          </w:p>
        </w:tc>
        <w:tc>
          <w:tcPr>
            <w:tcW w:type="dxa" w:w="5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Risk 0–100, REAL/FAKE, confidence/supporting signal, window timestamp.</w:t>
            </w:r>
          </w:p>
        </w:tc>
        <w:tc>
          <w:tcPr>
            <w:tcW w:type="dxa" w:w="1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Streaming</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Client streams native-rate 16-bit PCM mono in ~250-ms binary frames; declared sample_rate sent at session init (native rate varies by device/browser — commonly 44.1/48kHz, sometimes 8kHz on telephony sources). Backend resamples to 16kHz mono float32 for inference.</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Preprocessing</w:t>
            </w:r>
          </w:p>
        </w:tc>
        <w:tc>
          <w:tcPr>
            <w:tcW w:type="dxa" w:w="5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Silero VAD and 2–4 second analysis windows.</w:t>
            </w:r>
          </w:p>
        </w:tc>
        <w:tc>
          <w:tcPr>
            <w:tcW w:type="dxa" w:w="1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Detection</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AASIST end-to-end first; SSL-AASIST + prosody ensemble after baseline is proven.</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P0/P1</w:t>
            </w:r>
          </w:p>
        </w:tc>
      </w:tr>
      <w:tr>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Fusion</w:t>
            </w:r>
          </w:p>
        </w:tc>
        <w:tc>
          <w:tcPr>
            <w:tcW w:type="dxa" w:w="5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Calibrated logistic regression or small MLP on detector sub-scores.</w:t>
            </w:r>
          </w:p>
        </w:tc>
        <w:tc>
          <w:tcPr>
            <w:tcW w:type="dxa" w:w="1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P1</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Explainability [NEW]</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Per-window signal breakdown and dominant-detector identification; rationale tags and explanation versioning.</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P0/P1</w:t>
            </w:r>
          </w:p>
        </w:tc>
      </w:tr>
      <w:tr>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Optional modules</w:t>
            </w:r>
          </w:p>
        </w:tc>
        <w:tc>
          <w:tcPr>
            <w:tcW w:type="dxa" w:w="5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ECAPA-TDNN speaker match and Whisper transcript context.</w:t>
            </w:r>
          </w:p>
        </w:tc>
        <w:tc>
          <w:tcPr>
            <w:tcW w:type="dxa" w:w="1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P2</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Privacy</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No persistent raw audio; log only approved derived results/features.</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Deployment</w:t>
            </w:r>
          </w:p>
        </w:tc>
        <w:tc>
          <w:tcPr>
            <w:tcW w:type="dxa" w:w="5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Vercel frontend; GPU-hosted FastAPI backend; secure public API endpoint.</w:t>
            </w:r>
          </w:p>
        </w:tc>
        <w:tc>
          <w:tcPr>
            <w:tcW w:type="dxa" w:w="1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P0</w:t>
            </w:r>
          </w:p>
        </w:tc>
      </w:tr>
      <w:tr>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Sandbox</w:t>
            </w:r>
          </w:p>
        </w:tc>
        <w:tc>
          <w:tcPr>
            <w:tcW w:type="dxa" w:w="5700"/>
            <w:tcMar>
              <w:top w:type="dxa" w:w="80"/>
              <w:left w:type="dxa" w:w="110"/>
              <w:bottom w:type="dxa" w:w="80"/>
              <w:right w:type="dxa" w:w="110"/>
            </w:tcMar>
            <w:vAlign w:val="center"/>
          </w:tcPr>
          <w:p>
            <w:pPr>
              <w:spacing w:after="40"/>
            </w:pPr>
            <w:r>
              <w:rPr>
                <w:b w:val="false"/>
                <w:bCs w:val="false"/>
                <w:color w:val="262B2B"/>
                <w:sz w:val="19"/>
                <w:szCs w:val="19"/>
              </w:rPr>
              <w:t xml:space="preserve">Synthetic/consented test audio, mock backend, test configuration.</w:t>
            </w:r>
          </w:p>
        </w:tc>
        <w:tc>
          <w:tcPr>
            <w:tcW w:type="dxa" w:w="1260"/>
            <w:tcMar>
              <w:top w:type="dxa" w:w="80"/>
              <w:left w:type="dxa" w:w="110"/>
              <w:bottom w:type="dxa" w:w="80"/>
              <w:right w:type="dxa" w:w="110"/>
            </w:tcMar>
            <w:vAlign w:val="center"/>
          </w:tcPr>
          <w:p>
            <w:pPr>
              <w:spacing w:after="40"/>
            </w:pPr>
            <w:r>
              <w:rPr>
                <w:b w:val="false"/>
                <w:bCs w:val="false"/>
                <w:color w:val="262B2B"/>
                <w:sz w:val="19"/>
                <w:szCs w:val="19"/>
              </w:rPr>
              <w:t xml:space="preserve">P0</w:t>
            </w:r>
          </w:p>
        </w:tc>
      </w:tr>
    </w:tbl>
    <w:p>
      <w:pPr>
        <w:spacing w:after="220" w:before="60"/>
      </w:pPr>
      <w:r>
        <w:rPr>
          <w:i/>
          <w:iCs/>
          <w:color w:val="5B6B6B"/>
          <w:sz w:val="19"/>
          <w:szCs w:val="19"/>
        </w:rPr>
        <w:t xml:space="preserve">Explainability priority split: exposing raw per-detector sub-scores and the dominant signal is P0 (needed for the judge/developer demo). Rationale tags, weight normalization, and explanation versioning for auditability are P1.</w:t>
      </w:r>
    </w:p>
    <w:p>
      <w:pPr>
        <w:spacing w:after="220" w:before="60"/>
      </w:pPr>
      <w:r>
        <w:rPr>
          <w:i/>
          <w:iCs/>
          <w:color w:val="5B6B6B"/>
          <w:sz w:val="19"/>
          <w:szCs w:val="19"/>
        </w:rPr>
        <w:t xml:space="preserve">[NEW] The "Streaming" row was corrected in v0.3: v0.2 implied the client always sends fixed 16-kHz audio. A separate pipeline walkthrough clarified that client capture rate varies by device (Android in particular defaults to 44.1/48kHz, or 8kHz on telephony sources), and that resampling to 16kHz happens server-side. FR-04's existing sample_rate field already supports this — the requirement text above is now consistent with it.</w:t>
      </w:r>
    </w:p>
    <w:p>
      <w:pPr>
        <w:pStyle w:val="Heading1"/>
        <w:pBdr>
          <w:bottom w:val="single" w:color="2E7D6E" w:sz="6" w:space="4"/>
        </w:pBdr>
        <w:spacing w:after="160" w:before="420"/>
      </w:pPr>
      <w:r>
        <w:rPr>
          <w:b/>
          <w:bCs/>
          <w:color w:val="1F3B4D"/>
          <w:sz w:val="30"/>
          <w:szCs w:val="30"/>
        </w:rPr>
        <w:t xml:space="preserve">5. Recommended Deployment Architecture</w:t>
      </w:r>
    </w:p>
    <w:p>
      <w:pPr>
        <w:spacing w:after="160" w:line="276"/>
      </w:pPr>
      <w:r>
        <w:rPr>
          <w:b w:val="false"/>
          <w:bCs w:val="false"/>
          <w:i w:val="false"/>
          <w:iCs w:val="false"/>
          <w:color w:val="262B2B"/>
          <w:sz w:val="21"/>
          <w:szCs w:val="21"/>
        </w:rPr>
        <w:t xml:space="preserve">For the initial demonstration, separate the lightweight frontend from the GPU-dependent inference service. Vercel hosts the Next.js web application. The team's GPU machine runs FastAPI and the AI models. A secure outbound tunnel publishes the FastAPI WebSocket endpoint without directly exposing the machine's network port.</w:t>
      </w:r>
    </w:p>
    <w:p>
      <w:pPr>
        <w:pStyle w:val="ListParagraph"/>
        <w:numPr>
          <w:ilvl w:val="0"/>
          <w:numId w:val="2"/>
        </w:numPr>
        <w:spacing w:after="80"/>
      </w:pPr>
      <w:r>
        <w:rPr>
          <w:sz w:val="21"/>
          <w:szCs w:val="21"/>
        </w:rPr>
        <w:t xml:space="preserve">1. Judge opens the Vercel URL.</w:t>
      </w:r>
    </w:p>
    <w:p>
      <w:pPr>
        <w:pStyle w:val="ListParagraph"/>
        <w:numPr>
          <w:ilvl w:val="0"/>
          <w:numId w:val="2"/>
        </w:numPr>
        <w:spacing w:after="80"/>
      </w:pPr>
      <w:r>
        <w:rPr>
          <w:sz w:val="21"/>
          <w:szCs w:val="21"/>
        </w:rPr>
        <w:t xml:space="preserve">2. Browser requests microphone permission.</w:t>
      </w:r>
    </w:p>
    <w:p>
      <w:pPr>
        <w:pStyle w:val="ListParagraph"/>
        <w:numPr>
          <w:ilvl w:val="0"/>
          <w:numId w:val="2"/>
        </w:numPr>
        <w:spacing w:after="80"/>
      </w:pPr>
      <w:r>
        <w:rPr>
          <w:sz w:val="21"/>
          <w:szCs w:val="21"/>
        </w:rPr>
        <w:t xml:space="preserve">3. Browser captures audio at its native rate (16-bit PCM mono) and declares that rate at session init.</w:t>
      </w:r>
    </w:p>
    <w:p>
      <w:pPr>
        <w:pStyle w:val="ListParagraph"/>
        <w:numPr>
          <w:ilvl w:val="0"/>
          <w:numId w:val="2"/>
        </w:numPr>
        <w:spacing w:after="80"/>
      </w:pPr>
      <w:r>
        <w:rPr>
          <w:sz w:val="21"/>
          <w:szCs w:val="21"/>
        </w:rPr>
        <w:t xml:space="preserve">4. Browser opens one WebSocket connection and sends approximately 250-ms binary frames.</w:t>
      </w:r>
    </w:p>
    <w:p>
      <w:pPr>
        <w:pStyle w:val="ListParagraph"/>
        <w:numPr>
          <w:ilvl w:val="0"/>
          <w:numId w:val="2"/>
        </w:numPr>
        <w:spacing w:after="80"/>
      </w:pPr>
      <w:r>
        <w:rPr>
          <w:sz w:val="21"/>
          <w:szCs w:val="21"/>
        </w:rPr>
        <w:t xml:space="preserve">5. The secure tunnel forwards traffic to FastAPI on the GPU machine.</w:t>
      </w:r>
    </w:p>
    <w:p>
      <w:pPr>
        <w:pStyle w:val="ListParagraph"/>
        <w:numPr>
          <w:ilvl w:val="0"/>
          <w:numId w:val="2"/>
        </w:numPr>
        <w:spacing w:after="80"/>
      </w:pPr>
      <w:r>
        <w:rPr>
          <w:sz w:val="21"/>
          <w:szCs w:val="21"/>
        </w:rPr>
        <w:t xml:space="preserve">6. FastAPI resamples to 16kHz mono float32, applies Silero VAD, and forms 2–4 second analysis windows (e.g., a 4-second window is a 64,000-sample tensor).</w:t>
      </w:r>
    </w:p>
    <w:p>
      <w:pPr>
        <w:pStyle w:val="ListParagraph"/>
        <w:numPr>
          <w:ilvl w:val="0"/>
          <w:numId w:val="2"/>
        </w:numPr>
        <w:spacing w:after="80"/>
      </w:pPr>
      <w:r>
        <w:rPr>
          <w:sz w:val="21"/>
          <w:szCs w:val="21"/>
        </w:rPr>
        <w:t xml:space="preserve">7. The detector ensemble produces independent sub-scores.</w:t>
      </w:r>
    </w:p>
    <w:p>
      <w:pPr>
        <w:pStyle w:val="ListParagraph"/>
        <w:numPr>
          <w:ilvl w:val="0"/>
          <w:numId w:val="2"/>
        </w:numPr>
        <w:spacing w:after="80"/>
      </w:pPr>
      <w:r>
        <w:rPr>
          <w:sz w:val="21"/>
          <w:szCs w:val="21"/>
        </w:rPr>
        <w:t xml:space="preserve">8. The fusion model produces a calibrated 0–100 risk score and verdict.</w:t>
      </w:r>
    </w:p>
    <w:p>
      <w:pPr>
        <w:pStyle w:val="ListParagraph"/>
        <w:numPr>
          <w:ilvl w:val="0"/>
          <w:numId w:val="2"/>
        </w:numPr>
        <w:spacing w:after="80"/>
      </w:pPr>
      <w:r>
        <w:rPr>
          <w:sz w:val="21"/>
          <w:szCs w:val="21"/>
        </w:rPr>
        <w:t xml:space="preserve">8a. The fusion step also records each detector's normalized contribution weight, producing the explanation payload alongside the score.</w:t>
      </w:r>
      <w:r>
        <w:rPr>
          <w:b/>
          <w:bCs/>
          <w:color w:val="2E7D6E"/>
          <w:sz w:val="17"/>
          <w:szCs w:val="17"/>
        </w:rPr>
        <w:t xml:space="preserve">  [NEW]</w:t>
      </w:r>
    </w:p>
    <w:p>
      <w:pPr>
        <w:pStyle w:val="ListParagraph"/>
        <w:numPr>
          <w:ilvl w:val="0"/>
          <w:numId w:val="2"/>
        </w:numPr>
        <w:spacing w:after="80"/>
      </w:pPr>
      <w:r>
        <w:rPr>
          <w:sz w:val="21"/>
          <w:szCs w:val="21"/>
        </w:rPr>
        <w:t xml:space="preserve">9. FastAPI sends a compact JSON result — including the explanation payload — back over the same WebSocket.</w:t>
      </w:r>
    </w:p>
    <w:p>
      <w:pPr>
        <w:pStyle w:val="ListParagraph"/>
        <w:numPr>
          <w:ilvl w:val="0"/>
          <w:numId w:val="2"/>
        </w:numPr>
        <w:spacing w:after="80"/>
      </w:pPr>
      <w:r>
        <w:rPr>
          <w:sz w:val="21"/>
          <w:szCs w:val="21"/>
        </w:rPr>
        <w:t xml:space="preserve">10. The browser updates the risk gauge, verdict, confidence/supporting signal, explanation panel, and activity state.</w:t>
      </w:r>
    </w:p>
    <w:p>
      <w:pPr>
        <w:pStyle w:val="ListParagraph"/>
        <w:numPr>
          <w:ilvl w:val="0"/>
          <w:numId w:val="2"/>
        </w:numPr>
        <w:spacing w:after="80"/>
      </w:pPr>
      <w:r>
        <w:rPr>
          <w:sz w:val="21"/>
          <w:szCs w:val="21"/>
        </w:rPr>
        <w:t xml:space="preserve">11. Raw audio is discarded after processing; only permitted derived telemetry is retained.</w:t>
      </w:r>
    </w:p>
    <w:p>
      <w:pPr>
        <w:pStyle w:val="Heading1"/>
        <w:pBdr>
          <w:bottom w:val="single" w:color="2E7D6E" w:sz="6" w:space="4"/>
        </w:pBdr>
        <w:spacing w:after="160" w:before="420"/>
      </w:pPr>
      <w:r>
        <w:rPr>
          <w:b/>
          <w:bCs/>
          <w:color w:val="1F3B4D"/>
          <w:sz w:val="30"/>
          <w:szCs w:val="30"/>
        </w:rPr>
        <w:t xml:space="preserve">6. Component Responsibilities</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100"/>
        <w:gridCol w:w="4200"/>
        <w:gridCol w:w="3060"/>
      </w:tblGrid>
      <w:tr>
        <w:trPr>
          <w:tblHeader/>
        </w:trPr>
        <w:tc>
          <w:tcPr>
            <w:tcW w:type="dxa" w:w="2100"/>
            <w:shd w:fill="1F3B4D" w:color="auto" w:val="clear"/>
            <w:tcMar>
              <w:top w:type="dxa" w:w="80"/>
              <w:left w:type="dxa" w:w="110"/>
              <w:bottom w:type="dxa" w:w="80"/>
              <w:right w:type="dxa" w:w="110"/>
            </w:tcMar>
            <w:vAlign w:val="center"/>
          </w:tcPr>
          <w:p>
            <w:pPr>
              <w:spacing w:after="40"/>
            </w:pPr>
            <w:r>
              <w:rPr>
                <w:b/>
                <w:bCs/>
                <w:color w:val="FFFFFF"/>
                <w:sz w:val="19"/>
                <w:szCs w:val="19"/>
              </w:rPr>
              <w:t xml:space="preserve">Component</w:t>
            </w:r>
          </w:p>
        </w:tc>
        <w:tc>
          <w:tcPr>
            <w:tcW w:type="dxa" w:w="4200"/>
            <w:shd w:fill="1F3B4D" w:color="auto" w:val="clear"/>
            <w:tcMar>
              <w:top w:type="dxa" w:w="80"/>
              <w:left w:type="dxa" w:w="110"/>
              <w:bottom w:type="dxa" w:w="80"/>
              <w:right w:type="dxa" w:w="110"/>
            </w:tcMar>
            <w:vAlign w:val="center"/>
          </w:tcPr>
          <w:p>
            <w:pPr>
              <w:spacing w:after="40"/>
            </w:pPr>
            <w:r>
              <w:rPr>
                <w:b/>
                <w:bCs/>
                <w:color w:val="FFFFFF"/>
                <w:sz w:val="19"/>
                <w:szCs w:val="19"/>
              </w:rPr>
              <w:t xml:space="preserve">Responsibility</w:t>
            </w:r>
          </w:p>
        </w:tc>
        <w:tc>
          <w:tcPr>
            <w:tcW w:type="dxa" w:w="3060"/>
            <w:shd w:fill="1F3B4D" w:color="auto" w:val="clear"/>
            <w:tcMar>
              <w:top w:type="dxa" w:w="80"/>
              <w:left w:type="dxa" w:w="110"/>
              <w:bottom w:type="dxa" w:w="80"/>
              <w:right w:type="dxa" w:w="110"/>
            </w:tcMar>
            <w:vAlign w:val="center"/>
          </w:tcPr>
          <w:p>
            <w:pPr>
              <w:spacing w:after="40"/>
            </w:pPr>
            <w:r>
              <w:rPr>
                <w:b/>
                <w:bCs/>
                <w:color w:val="FFFFFF"/>
                <w:sz w:val="19"/>
                <w:szCs w:val="19"/>
              </w:rPr>
              <w:t xml:space="preserve">Must Not Do</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Next.js / React</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UI, mic permission, WebSocket client, visualization, result rendering.</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Run the heavy PyTorch detection pipeline.</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Browser audio layer</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Capture and prepare microphone data for streaming.</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Persist recordings without explicit product need/consent.</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WebSocket</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Continuous bidirectional transport for audio chunks and results.</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Be treated as authentication/authorization.</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FastAPI</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Session management, buffering, inference orchestration, result delivery.</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Execute financial or other consequential actions.</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Silero VAD</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Detect speech regions and support windowing.</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Be treated as a deepfake detector by itself.</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SSL-AASIST</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XLS-R encoder turns the windowed waveform into ~200 frames × 1024-dim embeddings, fed to an AASIST graph-attention back-end → single spoof probability.</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Be represented as infallible.</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AASIST (raw)</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Same windowed waveform through an independent conv + graph-attention path (no SSL step) → its own spoof probability. Expected to sometimes disagree with SSL-AASIST — that disagreement is itself a fusion input.</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Be represented as infallible; be silently discarded when it disagrees with SSL-AASIST.</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Prosody / XGBoost</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Extracts F0 (pitch), jitter, shimmer, and MFCCs (via librosa) into a ~30-value feature vector; XGBoost outputs a probability plus its top contributing feature by name — the primary explainability hook for this detector.</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Be treated as standalone identity proof.</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ECAPA-TDNN (P2, optional)</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Turns the window into a 192-dim speaker embedding and compares it by cosine similarity to a previously enrolled voiceprint.</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Run without a separately scoped, explicitly consented enrollment flow (S-14); be treated as identity proof on its own.</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Whisper + rule layer (P2, optional)</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Transcribes the window and flags a fixed, disclosed set of risk phrases/categories (e.g., financial-transfer language).</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Be treated as intent detection or a lie detector; persist raw transcript text beyond the processing window (S-16).</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Fusion model</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Combine the three core sub-scores (SSL-AASIST, AASIST, prosody) into a calibrated 0–100 risk score via logistic regression (or small MLP), and emit per-signal contribution weights.</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Use hand-tuned weights as validated evidence, or present an unweighted/unexplained score as authoritative.</w:t>
            </w:r>
          </w:p>
        </w:tc>
      </w:tr>
      <w:tr>
        <w:tc>
          <w:tcPr>
            <w:tcW w:type="dxa" w:w="2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Explainability module</w:t>
            </w:r>
          </w:p>
        </w:tc>
        <w:tc>
          <w:tcPr>
            <w:tcW w:type="dxa" w:w="4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Convert fusion weights and detector sub-scores into a bounded, versioned set of human-readable rationale tags; map raw detector names to plain-language categories (§9.4).</w:t>
            </w:r>
          </w:p>
        </w:tc>
        <w:tc>
          <w:tcPr>
            <w:tcW w:type="dxa" w:w="3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Fabricate narrative text not traceable to a real signal value; overstate interpretability of deep-model internals.</w:t>
            </w:r>
          </w:p>
        </w:tc>
      </w:tr>
      <w:tr>
        <w:tc>
          <w:tcPr>
            <w:tcW w:type="dxa" w:w="2100"/>
            <w:tcMar>
              <w:top w:type="dxa" w:w="80"/>
              <w:left w:type="dxa" w:w="110"/>
              <w:bottom w:type="dxa" w:w="80"/>
              <w:right w:type="dxa" w:w="110"/>
            </w:tcMar>
            <w:vAlign w:val="center"/>
          </w:tcPr>
          <w:p>
            <w:pPr>
              <w:spacing w:after="40"/>
            </w:pPr>
            <w:r>
              <w:rPr>
                <w:b w:val="false"/>
                <w:bCs w:val="false"/>
                <w:color w:val="262B2B"/>
                <w:sz w:val="19"/>
                <w:szCs w:val="19"/>
              </w:rPr>
              <w:t xml:space="preserve">Tunnel / edge</w:t>
            </w:r>
          </w:p>
        </w:tc>
        <w:tc>
          <w:tcPr>
            <w:tcW w:type="dxa" w:w="4200"/>
            <w:tcMar>
              <w:top w:type="dxa" w:w="80"/>
              <w:left w:type="dxa" w:w="110"/>
              <w:bottom w:type="dxa" w:w="80"/>
              <w:right w:type="dxa" w:w="110"/>
            </w:tcMar>
            <w:vAlign w:val="center"/>
          </w:tcPr>
          <w:p>
            <w:pPr>
              <w:spacing w:after="40"/>
            </w:pPr>
            <w:r>
              <w:rPr>
                <w:b w:val="false"/>
                <w:bCs w:val="false"/>
                <w:color w:val="262B2B"/>
                <w:sz w:val="19"/>
                <w:szCs w:val="19"/>
              </w:rPr>
              <w:t xml:space="preserve">Route public API hostname to private GPU service.</w:t>
            </w:r>
          </w:p>
        </w:tc>
        <w:tc>
          <w:tcPr>
            <w:tcW w:type="dxa" w:w="3060"/>
            <w:tcMar>
              <w:top w:type="dxa" w:w="80"/>
              <w:left w:type="dxa" w:w="110"/>
              <w:bottom w:type="dxa" w:w="80"/>
              <w:right w:type="dxa" w:w="110"/>
            </w:tcMar>
            <w:vAlign w:val="center"/>
          </w:tcPr>
          <w:p>
            <w:pPr>
              <w:spacing w:after="40"/>
            </w:pPr>
            <w:r>
              <w:rPr>
                <w:b w:val="false"/>
                <w:bCs w:val="false"/>
                <w:color w:val="262B2B"/>
                <w:sz w:val="19"/>
                <w:szCs w:val="19"/>
              </w:rPr>
              <w:t xml:space="preserve">Expose SSH, desktop access, model files, or admin services.</w:t>
            </w:r>
          </w:p>
        </w:tc>
      </w:tr>
    </w:tbl>
    <w:p>
      <w:pPr>
        <w:spacing w:after="220" w:before="60"/>
      </w:pPr>
      <w:r>
        <w:rPr>
          <w:i/>
          <w:iCs/>
          <w:color w:val="5B6B6B"/>
          <w:sz w:val="19"/>
          <w:szCs w:val="19"/>
        </w:rPr>
        <w:t xml:space="preserve">[NEW in v0.3] Architecture detail for SSL-AASIST, AASIST, and Prosody/XGBoost, plus the ECAPA-TDNN and Whisper rows, were added from a separate pipeline walkthrough. The Fusion model row is corrected: that walkthrough fuses only the three core detector probabilities — ECAPA-TDNN similarity and the Whisper risk-phrase flag are surfaced as separate signals, not fusion inputs (see FR-18, Q14).</w:t>
      </w:r>
    </w:p>
    <w:p>
      <w:pPr>
        <w:pStyle w:val="Heading1"/>
        <w:pBdr>
          <w:bottom w:val="single" w:color="2E7D6E" w:sz="6" w:space="4"/>
        </w:pBdr>
        <w:spacing w:after="160" w:before="420"/>
      </w:pPr>
      <w:r>
        <w:rPr>
          <w:b/>
          <w:bCs/>
          <w:color w:val="1F3B4D"/>
          <w:sz w:val="30"/>
          <w:szCs w:val="30"/>
        </w:rPr>
        <w:t xml:space="preserve">7. Functional Requirements</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1650"/>
        <w:gridCol w:w="7710"/>
      </w:tblGrid>
      <w:tr>
        <w:trPr>
          <w:tblHeader/>
        </w:trPr>
        <w:tc>
          <w:tcPr>
            <w:tcW w:type="dxa" w:w="1650"/>
            <w:shd w:fill="1F3B4D" w:color="auto"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7710"/>
            <w:shd w:fill="1F3B4D" w:color="auto" w:val="clear"/>
            <w:tcMar>
              <w:top w:type="dxa" w:w="80"/>
              <w:left w:type="dxa" w:w="110"/>
              <w:bottom w:type="dxa" w:w="80"/>
              <w:right w:type="dxa" w:w="110"/>
            </w:tcMar>
            <w:vAlign w:val="center"/>
          </w:tcPr>
          <w:p>
            <w:pPr>
              <w:spacing w:after="40"/>
            </w:pPr>
            <w:r>
              <w:rPr>
                <w:b/>
                <w:bCs/>
                <w:color w:val="FFFFFF"/>
                <w:sz w:val="19"/>
                <w:szCs w:val="19"/>
              </w:rPr>
              <w:t xml:space="preserve">Requirement</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FR-01</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User explicitly starts/stops microphone analysis.</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FR-02</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UI clearly shows microphone permission and connection state.</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FR-03</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Client establishes WebSocket before streaming audio.</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FR-04</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Client sends session initialization containing session_id and sample_rate.</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FR-05</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Client streams binary audio frames in the agreed format.</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FR-06</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Backend processes incoming audio without requiring a completed recording.</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FR-07</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Backend applies VAD and analysis-windowing before inference.</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FR-08</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Backend returns the agreed JSON result after each processed window.</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FR-09</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Frontend renders results without containing model-specific inference logic.</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FR-10</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Backend exposes enough model/signal status for controlled debugging.</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FR-11</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If backend is unavailable, UI shows "Analysis unavailable" rather than a fabricated verdict.</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FR-12</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Normal operation never persists raw audio.</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FR-13 [NEW]</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Backend returns, with every result, a structured signal breakdown: detector name, sub-score, and normalized contribution weight.</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FR-14 [NEW]</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Backend returns a bounded set of human-readable rationale tags drawn from real feature values, never freeform generated text.</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FR-15 [NEW]</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Frontend renders a "Why this result" panel showing the dominant signal(s) and rationale tags alongside the verdict.</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FR-16 [NEW]</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Every explanation is tagged with the model/version ID that produced it, for later audit.</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FR-17 [NEW]</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If explanation data is unavailable or incomplete, the UI still shows the verdict but marks the explanation as "unavailable" rather than fabricating one.</w:t>
            </w:r>
          </w:p>
        </w:tc>
      </w:tr>
      <w:tr>
        <w:tc>
          <w:tcPr>
            <w:tcW w:type="dxa" w:w="16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FR-18 [NEW]</w:t>
            </w:r>
          </w:p>
        </w:tc>
        <w:tc>
          <w:tcPr>
            <w:tcW w:type="dxa" w:w="771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Optional signals (speaker match, transcript risk-phrase) are surfaced as separate, clearly-labeled fields in the result payload and are never blended into risk_score unless a fusion model version explicitly documents including them (see Q14).</w:t>
            </w:r>
          </w:p>
        </w:tc>
      </w:tr>
      <w:tr>
        <w:tc>
          <w:tcPr>
            <w:tcW w:type="dxa" w:w="1650"/>
            <w:tcMar>
              <w:top w:type="dxa" w:w="80"/>
              <w:left w:type="dxa" w:w="110"/>
              <w:bottom w:type="dxa" w:w="80"/>
              <w:right w:type="dxa" w:w="110"/>
            </w:tcMar>
            <w:vAlign w:val="center"/>
          </w:tcPr>
          <w:p>
            <w:pPr>
              <w:spacing w:after="40"/>
            </w:pPr>
            <w:r>
              <w:rPr>
                <w:b w:val="false"/>
                <w:bCs w:val="false"/>
                <w:color w:val="262B2B"/>
                <w:sz w:val="19"/>
                <w:szCs w:val="19"/>
              </w:rPr>
              <w:t xml:space="preserve">FR-19 [NEW]</w:t>
            </w:r>
          </w:p>
        </w:tc>
        <w:tc>
          <w:tcPr>
            <w:tcW w:type="dxa" w:w="7710"/>
            <w:tcMar>
              <w:top w:type="dxa" w:w="80"/>
              <w:left w:type="dxa" w:w="110"/>
              <w:bottom w:type="dxa" w:w="80"/>
              <w:right w:type="dxa" w:w="110"/>
            </w:tcMar>
            <w:vAlign w:val="center"/>
          </w:tcPr>
          <w:p>
            <w:pPr>
              <w:spacing w:after="40"/>
            </w:pPr>
            <w:r>
              <w:rPr>
                <w:b w:val="false"/>
                <w:bCs w:val="false"/>
                <w:color w:val="262B2B"/>
                <w:sz w:val="19"/>
                <w:szCs w:val="19"/>
              </w:rPr>
              <w:t xml:space="preserve">The result payload schema is canonical across all clients (web, Android, future enterprise); a client may render only a subset of fields, but the backend never emits client-specific field names or shapes.</w:t>
            </w:r>
          </w:p>
        </w:tc>
      </w:tr>
    </w:tbl>
    <w:p>
      <w:pPr>
        <w:pStyle w:val="Heading1"/>
        <w:pBdr>
          <w:bottom w:val="single" w:color="2E7D6E" w:sz="6" w:space="4"/>
        </w:pBdr>
        <w:spacing w:after="160" w:before="420"/>
      </w:pPr>
      <w:r>
        <w:rPr>
          <w:b/>
          <w:bCs/>
          <w:color w:val="1F3B4D"/>
          <w:sz w:val="30"/>
          <w:szCs w:val="30"/>
        </w:rPr>
        <w:t xml:space="preserve">8. WebSocket Contract</w:t>
      </w:r>
    </w:p>
    <w:p>
      <w:pPr>
        <w:spacing w:after="160" w:line="276"/>
      </w:pPr>
      <w:r>
        <w:rPr>
          <w:b w:val="false"/>
          <w:bCs w:val="false"/>
          <w:i w:val="false"/>
          <w:iCs w:val="false"/>
          <w:color w:val="262B2B"/>
          <w:sz w:val="21"/>
          <w:szCs w:val="21"/>
        </w:rPr>
        <w:t xml:space="preserve">This contract is the integration boundary between frontend/client and backend/model work.</w:t>
      </w:r>
    </w:p>
    <w:p>
      <w:pPr>
        <w:spacing w:after="220" w:before="60"/>
      </w:pPr>
      <w:r>
        <w:rPr>
          <w:i/>
          <w:iCs/>
          <w:color w:val="5B6B6B"/>
          <w:sz w:val="19"/>
          <w:szCs w:val="19"/>
        </w:rPr>
        <w:t xml:space="preserve">The source master document presents the field-level JSON for this contract as figures/code blocks that did not extract as text into this PRD. The schema below reconstructs the described fields (session init, binary streaming, per-window result) and adds the v0.2 explanation payload; it must be reconciled line-by-line against the master document before the contract is frozen (see Q13, §19).</w:t>
      </w:r>
    </w:p>
    <w:p>
      <w:pPr>
        <w:pStyle w:val="Heading2"/>
        <w:spacing w:after="120" w:before="260"/>
      </w:pPr>
      <w:r>
        <w:rPr>
          <w:b/>
          <w:bCs/>
          <w:color w:val="1F3B4D"/>
          <w:sz w:val="24"/>
          <w:szCs w:val="24"/>
        </w:rPr>
        <w:t xml:space="preserve">Client → Server, once per connection</w:t>
      </w:r>
    </w:p>
    <w:p>
      <w:pPr>
        <w:shd w:fill="F2F6F5" w:color="auto" w:val="clear"/>
        <w:spacing w:after="0"/>
      </w:pPr>
      <w:r>
        <w:rPr>
          <w:rFonts w:ascii="Consolas" w:cs="Consolas" w:eastAsia="Consolas" w:hAnsi="Consolas"/>
          <w:color w:val="1F3B4D"/>
          <w:sz w:val="18"/>
          <w:szCs w:val="18"/>
        </w:rPr>
        <w:t xml:space="preserve">{</w:t>
      </w:r>
    </w:p>
    <w:p>
      <w:pPr>
        <w:shd w:fill="F2F6F5" w:color="auto" w:val="clear"/>
        <w:spacing w:after="0"/>
      </w:pPr>
      <w:r>
        <w:rPr>
          <w:rFonts w:ascii="Consolas" w:cs="Consolas" w:eastAsia="Consolas" w:hAnsi="Consolas"/>
          <w:color w:val="1F3B4D"/>
          <w:sz w:val="18"/>
          <w:szCs w:val="18"/>
        </w:rPr>
        <w:t xml:space="preserve">  "type": "session_init",</w:t>
      </w:r>
    </w:p>
    <w:p>
      <w:pPr>
        <w:shd w:fill="F2F6F5" w:color="auto" w:val="clear"/>
        <w:spacing w:after="0"/>
      </w:pPr>
      <w:r>
        <w:rPr>
          <w:rFonts w:ascii="Consolas" w:cs="Consolas" w:eastAsia="Consolas" w:hAnsi="Consolas"/>
          <w:color w:val="1F3B4D"/>
          <w:sz w:val="18"/>
          <w:szCs w:val="18"/>
        </w:rPr>
        <w:t xml:space="preserve">  "session_id": "string",</w:t>
      </w:r>
    </w:p>
    <w:p>
      <w:pPr>
        <w:shd w:fill="F2F6F5" w:color="auto" w:val="clear"/>
        <w:spacing w:after="0"/>
      </w:pPr>
      <w:r>
        <w:rPr>
          <w:rFonts w:ascii="Consolas" w:cs="Consolas" w:eastAsia="Consolas" w:hAnsi="Consolas"/>
          <w:color w:val="1F3B4D"/>
          <w:sz w:val="18"/>
          <w:szCs w:val="18"/>
        </w:rPr>
        <w:t xml:space="preserve">  "sample_rate": 16000</w:t>
      </w:r>
    </w:p>
    <w:p>
      <w:pPr>
        <w:shd w:fill="F2F6F5" w:color="auto" w:val="clear"/>
        <w:spacing w:after="200"/>
      </w:pPr>
      <w:r>
        <w:rPr>
          <w:rFonts w:ascii="Consolas" w:cs="Consolas" w:eastAsia="Consolas" w:hAnsi="Consolas"/>
          <w:color w:val="1F3B4D"/>
          <w:sz w:val="18"/>
          <w:szCs w:val="18"/>
        </w:rPr>
        <w:t xml:space="preserve">}</w:t>
      </w:r>
    </w:p>
    <w:p>
      <w:pPr>
        <w:pStyle w:val="Heading2"/>
        <w:spacing w:after="120" w:before="260"/>
      </w:pPr>
      <w:r>
        <w:rPr>
          <w:b/>
          <w:bCs/>
          <w:color w:val="1F3B4D"/>
          <w:sz w:val="24"/>
          <w:szCs w:val="24"/>
        </w:rPr>
        <w:t xml:space="preserve">Client → Server, continuously</w:t>
      </w:r>
    </w:p>
    <w:p>
      <w:pPr>
        <w:spacing w:after="160" w:line="276"/>
      </w:pPr>
      <w:r>
        <w:rPr>
          <w:b w:val="false"/>
          <w:bCs w:val="false"/>
          <w:i w:val="false"/>
          <w:iCs w:val="false"/>
          <w:color w:val="262B2B"/>
          <w:sz w:val="21"/>
          <w:szCs w:val="21"/>
        </w:rPr>
        <w:t xml:space="preserve">Binary WebSocket frames, ~250 ms of 16-kHz mono 16-bit PCM each. No JSON envelope on this channel — raw audio bytes only.</w:t>
      </w:r>
    </w:p>
    <w:p>
      <w:pPr>
        <w:pStyle w:val="Heading2"/>
        <w:spacing w:after="120" w:before="260"/>
      </w:pPr>
      <w:r>
        <w:rPr>
          <w:b/>
          <w:bCs/>
          <w:color w:val="1F3B4D"/>
          <w:sz w:val="24"/>
          <w:szCs w:val="24"/>
        </w:rPr>
        <w:t xml:space="preserve">Server → Client, after each processed window</w:t>
      </w:r>
    </w:p>
    <w:p>
      <w:pPr>
        <w:shd w:fill="F2F6F5" w:color="auto" w:val="clear"/>
        <w:spacing w:after="0"/>
      </w:pPr>
      <w:r>
        <w:rPr>
          <w:rFonts w:ascii="Consolas" w:cs="Consolas" w:eastAsia="Consolas" w:hAnsi="Consolas"/>
          <w:color w:val="1F3B4D"/>
          <w:sz w:val="18"/>
          <w:szCs w:val="18"/>
        </w:rPr>
        <w:t xml:space="preserve">{</w:t>
      </w:r>
    </w:p>
    <w:p>
      <w:pPr>
        <w:shd w:fill="F2F6F5" w:color="auto" w:val="clear"/>
        <w:spacing w:after="0"/>
      </w:pPr>
      <w:r>
        <w:rPr>
          <w:rFonts w:ascii="Consolas" w:cs="Consolas" w:eastAsia="Consolas" w:hAnsi="Consolas"/>
          <w:color w:val="1F3B4D"/>
          <w:sz w:val="18"/>
          <w:szCs w:val="18"/>
        </w:rPr>
        <w:t xml:space="preserve">  "type": "result",</w:t>
      </w:r>
    </w:p>
    <w:p>
      <w:pPr>
        <w:shd w:fill="F2F6F5" w:color="auto" w:val="clear"/>
        <w:spacing w:after="0"/>
      </w:pPr>
      <w:r>
        <w:rPr>
          <w:rFonts w:ascii="Consolas" w:cs="Consolas" w:eastAsia="Consolas" w:hAnsi="Consolas"/>
          <w:color w:val="1F3B4D"/>
          <w:sz w:val="18"/>
          <w:szCs w:val="18"/>
        </w:rPr>
        <w:t xml:space="preserve">  "window_ts_start": "ISO8601",</w:t>
      </w:r>
    </w:p>
    <w:p>
      <w:pPr>
        <w:shd w:fill="F2F6F5" w:color="auto" w:val="clear"/>
        <w:spacing w:after="0"/>
      </w:pPr>
      <w:r>
        <w:rPr>
          <w:rFonts w:ascii="Consolas" w:cs="Consolas" w:eastAsia="Consolas" w:hAnsi="Consolas"/>
          <w:color w:val="1F3B4D"/>
          <w:sz w:val="18"/>
          <w:szCs w:val="18"/>
        </w:rPr>
        <w:t xml:space="preserve">  "window_ts_end": "ISO8601",</w:t>
      </w:r>
    </w:p>
    <w:p>
      <w:pPr>
        <w:shd w:fill="F2F6F5" w:color="auto" w:val="clear"/>
        <w:spacing w:after="0"/>
      </w:pPr>
      <w:r>
        <w:rPr>
          <w:rFonts w:ascii="Consolas" w:cs="Consolas" w:eastAsia="Consolas" w:hAnsi="Consolas"/>
          <w:color w:val="1F3B4D"/>
          <w:sz w:val="18"/>
          <w:szCs w:val="18"/>
        </w:rPr>
        <w:t xml:space="preserve">  "risk_score": 0,</w:t>
      </w:r>
    </w:p>
    <w:p>
      <w:pPr>
        <w:shd w:fill="F2F6F5" w:color="auto" w:val="clear"/>
        <w:spacing w:after="0"/>
      </w:pPr>
      <w:r>
        <w:rPr>
          <w:rFonts w:ascii="Consolas" w:cs="Consolas" w:eastAsia="Consolas" w:hAnsi="Consolas"/>
          <w:color w:val="1F3B4D"/>
          <w:sz w:val="18"/>
          <w:szCs w:val="18"/>
        </w:rPr>
        <w:t xml:space="preserve">  "verdict": "REAL | FAKE | INSUFFICIENT_SPEECH | UNAVAILABLE",</w:t>
      </w:r>
    </w:p>
    <w:p>
      <w:pPr>
        <w:shd w:fill="F2F6F5" w:color="auto" w:val="clear"/>
        <w:spacing w:after="0"/>
      </w:pPr>
      <w:r>
        <w:rPr>
          <w:rFonts w:ascii="Consolas" w:cs="Consolas" w:eastAsia="Consolas" w:hAnsi="Consolas"/>
          <w:color w:val="1F3B4D"/>
          <w:sz w:val="18"/>
          <w:szCs w:val="18"/>
        </w:rPr>
        <w:t xml:space="preserve">  "confidence": 0.0,</w:t>
      </w:r>
    </w:p>
    <w:p>
      <w:pPr>
        <w:shd w:fill="F2F6F5" w:color="auto" w:val="clear"/>
        <w:spacing w:after="0"/>
      </w:pPr>
      <w:r>
        <w:rPr>
          <w:rFonts w:ascii="Consolas" w:cs="Consolas" w:eastAsia="Consolas" w:hAnsi="Consolas"/>
          <w:color w:val="1F3B4D"/>
          <w:sz w:val="18"/>
          <w:szCs w:val="18"/>
        </w:rPr>
        <w:t xml:space="preserve">  "signals": [</w:t>
      </w:r>
    </w:p>
    <w:p>
      <w:pPr>
        <w:shd w:fill="F2F6F5" w:color="auto" w:val="clear"/>
        <w:spacing w:after="0"/>
      </w:pPr>
      <w:r>
        <w:rPr>
          <w:rFonts w:ascii="Consolas" w:cs="Consolas" w:eastAsia="Consolas" w:hAnsi="Consolas"/>
          <w:color w:val="1F3B4D"/>
          <w:sz w:val="18"/>
          <w:szCs w:val="18"/>
        </w:rPr>
        <w:t xml:space="preserve">    { "name": "ssl_aasist", "category": "spectral", "score": 0.0, "weight": 0.0 },</w:t>
      </w:r>
    </w:p>
    <w:p>
      <w:pPr>
        <w:shd w:fill="F2F6F5" w:color="auto" w:val="clear"/>
        <w:spacing w:after="0"/>
      </w:pPr>
      <w:r>
        <w:rPr>
          <w:rFonts w:ascii="Consolas" w:cs="Consolas" w:eastAsia="Consolas" w:hAnsi="Consolas"/>
          <w:color w:val="1F3B4D"/>
          <w:sz w:val="18"/>
          <w:szCs w:val="18"/>
        </w:rPr>
        <w:t xml:space="preserve">    { "name": "aasist",     "category": "spectral", "score": 0.0, "weight": 0.0 },</w:t>
      </w:r>
    </w:p>
    <w:p>
      <w:pPr>
        <w:shd w:fill="F2F6F5" w:color="auto" w:val="clear"/>
        <w:spacing w:after="0"/>
      </w:pPr>
      <w:r>
        <w:rPr>
          <w:rFonts w:ascii="Consolas" w:cs="Consolas" w:eastAsia="Consolas" w:hAnsi="Consolas"/>
          <w:color w:val="1F3B4D"/>
          <w:sz w:val="18"/>
          <w:szCs w:val="18"/>
        </w:rPr>
        <w:t xml:space="preserve">    { "name": "prosody",    "category": "prosody",  "score": 0.0, "weight": 0.0,</w:t>
      </w:r>
    </w:p>
    <w:p>
      <w:pPr>
        <w:shd w:fill="F2F6F5" w:color="auto" w:val="clear"/>
        <w:spacing w:after="0"/>
      </w:pPr>
      <w:r>
        <w:rPr>
          <w:rFonts w:ascii="Consolas" w:cs="Consolas" w:eastAsia="Consolas" w:hAnsi="Consolas"/>
          <w:color w:val="1F3B4D"/>
          <w:sz w:val="18"/>
          <w:szCs w:val="18"/>
        </w:rPr>
        <w:t xml:space="preserve">      "top_feature": "pitch_variance" }</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  "optional_signals": {</w:t>
      </w:r>
    </w:p>
    <w:p>
      <w:pPr>
        <w:shd w:fill="F2F6F5" w:color="auto" w:val="clear"/>
        <w:spacing w:after="0"/>
      </w:pPr>
      <w:r>
        <w:rPr>
          <w:rFonts w:ascii="Consolas" w:cs="Consolas" w:eastAsia="Consolas" w:hAnsi="Consolas"/>
          <w:color w:val="1F3B4D"/>
          <w:sz w:val="18"/>
          <w:szCs w:val="18"/>
        </w:rPr>
        <w:t xml:space="preserve">    "speaker_match": {</w:t>
      </w:r>
    </w:p>
    <w:p>
      <w:pPr>
        <w:shd w:fill="F2F6F5" w:color="auto" w:val="clear"/>
        <w:spacing w:after="0"/>
      </w:pPr>
      <w:r>
        <w:rPr>
          <w:rFonts w:ascii="Consolas" w:cs="Consolas" w:eastAsia="Consolas" w:hAnsi="Consolas"/>
          <w:color w:val="1F3B4D"/>
          <w:sz w:val="18"/>
          <w:szCs w:val="18"/>
        </w:rPr>
        <w:t xml:space="preserve">      "similarity": 0.0, "flag": "low_similarity"</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    "transcript_risk": {</w:t>
      </w:r>
    </w:p>
    <w:p>
      <w:pPr>
        <w:shd w:fill="F2F6F5" w:color="auto" w:val="clear"/>
        <w:spacing w:after="0"/>
      </w:pPr>
      <w:r>
        <w:rPr>
          <w:rFonts w:ascii="Consolas" w:cs="Consolas" w:eastAsia="Consolas" w:hAnsi="Consolas"/>
          <w:color w:val="1F3B4D"/>
          <w:sz w:val="18"/>
          <w:szCs w:val="18"/>
        </w:rPr>
        <w:t xml:space="preserve">      "flag": "risk_phrase_detected", "phrase_type": "financial_transfer"</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  "explanation": {</w:t>
      </w:r>
    </w:p>
    <w:p>
      <w:pPr>
        <w:shd w:fill="F2F6F5" w:color="auto" w:val="clear"/>
        <w:spacing w:after="0"/>
      </w:pPr>
      <w:r>
        <w:rPr>
          <w:rFonts w:ascii="Consolas" w:cs="Consolas" w:eastAsia="Consolas" w:hAnsi="Consolas"/>
          <w:color w:val="1F3B4D"/>
          <w:sz w:val="18"/>
          <w:szCs w:val="18"/>
        </w:rPr>
        <w:t xml:space="preserve">    "dominant_signal": "ssl_aasist",</w:t>
      </w:r>
    </w:p>
    <w:p>
      <w:pPr>
        <w:shd w:fill="F2F6F5" w:color="auto" w:val="clear"/>
        <w:spacing w:after="0"/>
      </w:pPr>
      <w:r>
        <w:rPr>
          <w:rFonts w:ascii="Consolas" w:cs="Consolas" w:eastAsia="Consolas" w:hAnsi="Consolas"/>
          <w:color w:val="1F3B4D"/>
          <w:sz w:val="18"/>
          <w:szCs w:val="18"/>
        </w:rPr>
        <w:t xml:space="preserve">    "dominant_category": "spectral",</w:t>
      </w:r>
    </w:p>
    <w:p>
      <w:pPr>
        <w:shd w:fill="F2F6F5" w:color="auto" w:val="clear"/>
        <w:spacing w:after="0"/>
      </w:pPr>
      <w:r>
        <w:rPr>
          <w:rFonts w:ascii="Consolas" w:cs="Consolas" w:eastAsia="Consolas" w:hAnsi="Consolas"/>
          <w:color w:val="1F3B4D"/>
          <w:sz w:val="18"/>
          <w:szCs w:val="18"/>
        </w:rPr>
        <w:t xml:space="preserve">    "rationale_tags": ["unnatural_spectral_pattern", "low_pitch_variance"],</w:t>
      </w:r>
    </w:p>
    <w:p>
      <w:pPr>
        <w:shd w:fill="F2F6F5" w:color="auto" w:val="clear"/>
        <w:spacing w:after="0"/>
      </w:pPr>
      <w:r>
        <w:rPr>
          <w:rFonts w:ascii="Consolas" w:cs="Consolas" w:eastAsia="Consolas" w:hAnsi="Consolas"/>
          <w:color w:val="1F3B4D"/>
          <w:sz w:val="18"/>
          <w:szCs w:val="18"/>
        </w:rPr>
        <w:t xml:space="preserve">    "explainability_version": "explain-v0.1"</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  "model_versions": {</w:t>
      </w:r>
    </w:p>
    <w:p>
      <w:pPr>
        <w:shd w:fill="F2F6F5" w:color="auto" w:val="clear"/>
        <w:spacing w:after="0"/>
      </w:pPr>
      <w:r>
        <w:rPr>
          <w:rFonts w:ascii="Consolas" w:cs="Consolas" w:eastAsia="Consolas" w:hAnsi="Consolas"/>
          <w:color w:val="1F3B4D"/>
          <w:sz w:val="18"/>
          <w:szCs w:val="18"/>
        </w:rPr>
        <w:t xml:space="preserve">    "fusion": "fusion-v0.3",</w:t>
      </w:r>
    </w:p>
    <w:p>
      <w:pPr>
        <w:shd w:fill="F2F6F5" w:color="auto" w:val="clear"/>
        <w:spacing w:after="0"/>
      </w:pPr>
      <w:r>
        <w:rPr>
          <w:rFonts w:ascii="Consolas" w:cs="Consolas" w:eastAsia="Consolas" w:hAnsi="Consolas"/>
          <w:color w:val="1F3B4D"/>
          <w:sz w:val="18"/>
          <w:szCs w:val="18"/>
        </w:rPr>
        <w:t xml:space="preserve">    "ssl_aasist": "...",</w:t>
      </w:r>
    </w:p>
    <w:p>
      <w:pPr>
        <w:shd w:fill="F2F6F5" w:color="auto" w:val="clear"/>
        <w:spacing w:after="0"/>
      </w:pPr>
      <w:r>
        <w:rPr>
          <w:rFonts w:ascii="Consolas" w:cs="Consolas" w:eastAsia="Consolas" w:hAnsi="Consolas"/>
          <w:color w:val="1F3B4D"/>
          <w:sz w:val="18"/>
          <w:szCs w:val="18"/>
        </w:rPr>
        <w:t xml:space="preserve">    "aasist": "...",</w:t>
      </w:r>
    </w:p>
    <w:p>
      <w:pPr>
        <w:shd w:fill="F2F6F5" w:color="auto" w:val="clear"/>
        <w:spacing w:after="0"/>
      </w:pPr>
      <w:r>
        <w:rPr>
          <w:rFonts w:ascii="Consolas" w:cs="Consolas" w:eastAsia="Consolas" w:hAnsi="Consolas"/>
          <w:color w:val="1F3B4D"/>
          <w:sz w:val="18"/>
          <w:szCs w:val="18"/>
        </w:rPr>
        <w:t xml:space="preserve">    "prosody": "..."</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200"/>
      </w:pPr>
      <w:r>
        <w:rPr>
          <w:rFonts w:ascii="Consolas" w:cs="Consolas" w:eastAsia="Consolas" w:hAnsi="Consolas"/>
          <w:color w:val="1F3B4D"/>
          <w:sz w:val="18"/>
          <w:szCs w:val="18"/>
        </w:rPr>
        <w:t xml:space="preserve">}</w:t>
      </w:r>
    </w:p>
    <w:p>
      <w:pPr>
        <w:spacing w:after="220" w:before="60"/>
      </w:pPr>
      <w:r>
        <w:rPr>
          <w:i/>
          <w:iCs/>
          <w:color w:val="5B6B6B"/>
          <w:sz w:val="19"/>
          <w:szCs w:val="19"/>
        </w:rPr>
        <w:t xml:space="preserve">"signals", "explanation", and the "fusion" key in "model_versions" are new in v0.2. "category" (on each signal), "optional_signals", and "dominant_category" are new in v0.3 — see below.</w:t>
      </w:r>
    </w:p>
    <w:p>
      <w:pPr>
        <w:pStyle w:val="Heading2"/>
        <w:spacing w:after="120" w:before="260"/>
      </w:pPr>
      <w:r>
        <w:rPr>
          <w:b/>
          <w:bCs/>
          <w:color w:val="1F3B4D"/>
          <w:sz w:val="24"/>
          <w:szCs w:val="24"/>
        </w:rPr>
        <w:t xml:space="preserve">Reconciling with the Android pipeline walkthrough [NEW]</w:t>
      </w:r>
    </w:p>
    <w:p>
      <w:pPr>
        <w:spacing w:after="160" w:line="276"/>
      </w:pPr>
      <w:r>
        <w:rPr>
          <w:b w:val="false"/>
          <w:bCs w:val="false"/>
          <w:i w:val="false"/>
          <w:iCs w:val="false"/>
          <w:color w:val="262B2B"/>
          <w:sz w:val="21"/>
          <w:szCs w:val="21"/>
        </w:rPr>
        <w:t xml:space="preserve">A separate pipeline walkthrough (Android, live-call framing) showed a simpler example payload: {"verdict":"FAKE","risk_score":78,"top_signal":"spectral"}. That is not a different schema — it is a minimal view of the canonical one above: "top_signal" corresponds to explanation.dominant_category. The walkthrough also confirmed two things this contract now reflects: (1) only the three core detectors (ssl_aasist, aasist, prosody) feed the fusion model that produces risk_score — ECAPA-TDNN speaker similarity and the Whisper risk-phrase flag ride alongside as optional_signals, not fusion inputs, which is why they are broken out separately above; (2) each signal carries a "category" so a client can group ssl_aasist and aasist under one user-facing "spectral" label without needing to know both model names.</w:t>
      </w:r>
    </w:p>
    <w:p>
      <w:pPr>
        <w:pStyle w:val="Heading1"/>
        <w:pBdr>
          <w:bottom w:val="single" w:color="2E7D6E" w:sz="6" w:space="4"/>
        </w:pBdr>
        <w:spacing w:after="160" w:before="420"/>
      </w:pPr>
      <w:r>
        <w:rPr>
          <w:b/>
          <w:bCs/>
          <w:color w:val="1F3B4D"/>
          <w:sz w:val="30"/>
          <w:szCs w:val="30"/>
        </w:rPr>
        <w:t xml:space="preserve">9. Explainability Requirements  [NEW]</w:t>
      </w:r>
    </w:p>
    <w:p>
      <w:pPr>
        <w:pStyle w:val="Heading2"/>
        <w:spacing w:after="120" w:before="260"/>
      </w:pPr>
      <w:r>
        <w:rPr>
          <w:b/>
          <w:bCs/>
          <w:color w:val="1F3B4D"/>
          <w:sz w:val="24"/>
          <w:szCs w:val="24"/>
        </w:rPr>
        <w:t xml:space="preserve">9.1 Purpose</w:t>
      </w:r>
    </w:p>
    <w:p>
      <w:pPr>
        <w:spacing w:after="160" w:line="276"/>
      </w:pPr>
      <w:r>
        <w:rPr>
          <w:b w:val="false"/>
          <w:bCs w:val="false"/>
          <w:i w:val="false"/>
          <w:iCs w:val="false"/>
          <w:color w:val="262B2B"/>
          <w:sz w:val="21"/>
          <w:szCs w:val="21"/>
        </w:rPr>
        <w:t xml:space="preserve">Explainability is what turns a bare risk score into decision support. An SIH judge needs to see why the system believes a sample is cloned; a student developer needs to tell which detector is misfiring; an institutional operator needs an auditable trail, not a black-box number. This section defines what "explainable" means for this system, what it deliberately does not mean, and what is required for the MVP versus deferred.</w:t>
      </w:r>
    </w:p>
    <w:p>
      <w:pPr>
        <w:pStyle w:val="Heading2"/>
        <w:spacing w:after="120" w:before="260"/>
      </w:pPr>
      <w:r>
        <w:rPr>
          <w:b/>
          <w:bCs/>
          <w:color w:val="1F3B4D"/>
          <w:sz w:val="24"/>
          <w:szCs w:val="24"/>
        </w:rPr>
        <w:t xml:space="preserve">9.2 What Explainability Means Here — and What It Doesn't</w:t>
      </w:r>
    </w:p>
    <w:p>
      <w:pPr>
        <w:pStyle w:val="ListParagraph"/>
        <w:numPr>
          <w:ilvl w:val="0"/>
          <w:numId w:val="2"/>
        </w:numPr>
        <w:spacing w:after="80"/>
      </w:pPr>
      <w:r>
        <w:rPr>
          <w:sz w:val="21"/>
          <w:szCs w:val="21"/>
        </w:rPr>
        <w:t xml:space="preserve">Means: exposing each detector's sub-score, the fusion model's normalized contribution weight for that sub-score, and a small, predefined, feature-grounded set of rationale tags (e.g., "low_pitch_variance", "spectral_artifact_high_freq", "unnatural_pause_pattern").</w:t>
      </w:r>
    </w:p>
    <w:p>
      <w:pPr>
        <w:pStyle w:val="ListParagraph"/>
        <w:numPr>
          <w:ilvl w:val="0"/>
          <w:numId w:val="2"/>
        </w:numPr>
        <w:spacing w:after="80"/>
      </w:pPr>
      <w:r>
        <w:rPr>
          <w:sz w:val="21"/>
          <w:szCs w:val="21"/>
        </w:rPr>
        <w:t xml:space="preserve">Does not mean the neural detectors (AASIST / SSL-AASIST) become inherently interpretable at the weight level — they remain largely black-box. The system explains the ensemble's decision process (which detector dominated, and by how much), not the internal firing of the neural network.</w:t>
      </w:r>
    </w:p>
    <w:p>
      <w:pPr>
        <w:pStyle w:val="ListParagraph"/>
        <w:numPr>
          <w:ilvl w:val="0"/>
          <w:numId w:val="2"/>
        </w:numPr>
        <w:spacing w:after="80"/>
      </w:pPr>
      <w:r>
        <w:rPr>
          <w:sz w:val="21"/>
          <w:szCs w:val="21"/>
        </w:rPr>
        <w:t xml:space="preserve">Does not mean free-text narrative from a separate generative model. Any wording shown to the user is assembled from a fixed, reviewed tag vocabulary mapped to real feature thresholds — never a model asked to "explain this score" from the number alone, which risks confident-sounding fabrication.</w:t>
      </w:r>
    </w:p>
    <w:p>
      <w:pPr>
        <w:pStyle w:val="Heading2"/>
        <w:spacing w:after="120" w:before="260"/>
      </w:pPr>
      <w:r>
        <w:rPr>
          <w:b/>
          <w:bCs/>
          <w:color w:val="1F3B4D"/>
          <w:sz w:val="24"/>
          <w:szCs w:val="24"/>
        </w:rPr>
        <w:t xml:space="preserve">9.3 Explainability by Component</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600"/>
        <w:gridCol w:w="6760"/>
      </w:tblGrid>
      <w:tr>
        <w:trPr>
          <w:tblHeader/>
        </w:trPr>
        <w:tc>
          <w:tcPr>
            <w:tcW w:type="dxa" w:w="2600"/>
            <w:shd w:fill="1F3B4D" w:color="auto" w:val="clear"/>
            <w:tcMar>
              <w:top w:type="dxa" w:w="80"/>
              <w:left w:type="dxa" w:w="110"/>
              <w:bottom w:type="dxa" w:w="80"/>
              <w:right w:type="dxa" w:w="110"/>
            </w:tcMar>
            <w:vAlign w:val="center"/>
          </w:tcPr>
          <w:p>
            <w:pPr>
              <w:spacing w:after="40"/>
            </w:pPr>
            <w:r>
              <w:rPr>
                <w:b/>
                <w:bCs/>
                <w:color w:val="FFFFFF"/>
                <w:sz w:val="19"/>
                <w:szCs w:val="19"/>
              </w:rPr>
              <w:t xml:space="preserve">Component</w:t>
            </w:r>
          </w:p>
        </w:tc>
        <w:tc>
          <w:tcPr>
            <w:tcW w:type="dxa" w:w="6760"/>
            <w:shd w:fill="1F3B4D" w:color="auto" w:val="clear"/>
            <w:tcMar>
              <w:top w:type="dxa" w:w="80"/>
              <w:left w:type="dxa" w:w="110"/>
              <w:bottom w:type="dxa" w:w="80"/>
              <w:right w:type="dxa" w:w="110"/>
            </w:tcMar>
            <w:vAlign w:val="center"/>
          </w:tcPr>
          <w:p>
            <w:pPr>
              <w:spacing w:after="40"/>
            </w:pPr>
            <w:r>
              <w:rPr>
                <w:b/>
                <w:bCs/>
                <w:color w:val="FFFFFF"/>
                <w:sz w:val="19"/>
                <w:szCs w:val="19"/>
              </w:rPr>
              <w:t xml:space="preserve">Explainability Approach</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SSL-AASIST</w:t>
            </w:r>
          </w:p>
        </w:tc>
        <w:tc>
          <w:tcPr>
            <w:tcW w:type="dxa" w:w="6760"/>
            <w:tcMar>
              <w:top w:type="dxa" w:w="80"/>
              <w:left w:type="dxa" w:w="110"/>
              <w:bottom w:type="dxa" w:w="80"/>
              <w:right w:type="dxa" w:w="110"/>
            </w:tcMar>
            <w:vAlign w:val="center"/>
          </w:tcPr>
          <w:p>
            <w:pPr>
              <w:spacing w:after="40"/>
            </w:pPr>
            <w:r>
              <w:rPr>
                <w:b w:val="false"/>
                <w:bCs w:val="false"/>
                <w:color w:val="262B2B"/>
                <w:sz w:val="19"/>
                <w:szCs w:val="19"/>
              </w:rPr>
              <w:t xml:space="preserve">Expose the raw sub-score. Coarse temporal localization (which part of the 2–4s window scored highest) is a stretch goal, not a P0 claim — do not assert frequency-band interpretability without validation.</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AASIST (raw)</w:t>
            </w:r>
          </w:p>
        </w:tc>
        <w:tc>
          <w:tcPr>
            <w:tcW w:type="dxa" w:w="67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Expose its own raw sub-score alongside SSL-AASIST's. The two are independent models that look at different artifacts and can disagree — surfacing both, not just the higher one, is itself explanatory: it shows the ensemble was not unanimous.</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Prosody / XGBoost</w:t>
            </w:r>
          </w:p>
        </w:tc>
        <w:tc>
          <w:tcPr>
            <w:tcW w:type="dxa" w:w="6760"/>
            <w:tcMar>
              <w:top w:type="dxa" w:w="80"/>
              <w:left w:type="dxa" w:w="110"/>
              <w:bottom w:type="dxa" w:w="80"/>
              <w:right w:type="dxa" w:w="110"/>
            </w:tcMar>
            <w:vAlign w:val="center"/>
          </w:tcPr>
          <w:p>
            <w:pPr>
              <w:spacing w:after="40"/>
            </w:pPr>
            <w:r>
              <w:rPr>
                <w:b w:val="false"/>
                <w:bCs w:val="false"/>
                <w:color w:val="262B2B"/>
                <w:sz w:val="19"/>
                <w:szCs w:val="19"/>
              </w:rPr>
              <w:t xml:space="preserve">Naturally interpretable: expose top-N feature importances by name (jitter, shimmer, pitch variance, pause ratio) directly from the tree model — e.g., "unnaturally flat pitch variance" as a rationale tag.</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ECAPA-TDNN (P2, optional)</w:t>
            </w:r>
          </w:p>
        </w:tc>
        <w:tc>
          <w:tcPr>
            <w:tcW w:type="dxa" w:w="67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Expose cosine similarity to the enrolled voiceprint as its own field, plus a low/high-similarity flag; never merge it into the core spoof-detection rationale vocabulary — a low similarity means "doesn't sound like this person," which is a different claim from "sounds synthetic."</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Whisper + rule layer (P2, optional)</w:t>
            </w:r>
          </w:p>
        </w:tc>
        <w:tc>
          <w:tcPr>
            <w:tcW w:type="dxa" w:w="6760"/>
            <w:tcMar>
              <w:top w:type="dxa" w:w="80"/>
              <w:left w:type="dxa" w:w="110"/>
              <w:bottom w:type="dxa" w:w="80"/>
              <w:right w:type="dxa" w:w="110"/>
            </w:tcMar>
            <w:vAlign w:val="center"/>
          </w:tcPr>
          <w:p>
            <w:pPr>
              <w:spacing w:after="40"/>
            </w:pPr>
            <w:r>
              <w:rPr>
                <w:b w:val="false"/>
                <w:bCs w:val="false"/>
                <w:color w:val="262B2B"/>
                <w:sz w:val="19"/>
                <w:szCs w:val="19"/>
              </w:rPr>
              <w:t xml:space="preserve">Expose which risk-phrase category matched (e.g., "financial_transfer"), never the raw matched text as a rationale tag — the tag names the category, not the sentence.</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Fusion model</w:t>
            </w:r>
          </w:p>
        </w:tc>
        <w:tc>
          <w:tcPr>
            <w:tcW w:type="dxa" w:w="67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If logistic regression: expose normalized coefficients as contribution weights directly. If a small MLP: expose an approximate per-input sensitivity (e.g., leave-one-out sub-score swing), clearly labeled as an approximation, not exact weights.</w:t>
            </w:r>
          </w:p>
        </w:tc>
      </w:tr>
    </w:tbl>
    <w:p>
      <w:pPr>
        <w:pStyle w:val="Heading2"/>
        <w:spacing w:after="120" w:before="260"/>
      </w:pPr>
      <w:r>
        <w:rPr>
          <w:b/>
          <w:bCs/>
          <w:color w:val="1F3B4D"/>
          <w:sz w:val="24"/>
          <w:szCs w:val="24"/>
        </w:rPr>
        <w:t xml:space="preserve">9.4 Plain-Language Signal Categories  [NEW]</w:t>
      </w:r>
    </w:p>
    <w:p>
      <w:pPr>
        <w:spacing w:after="160" w:line="276"/>
      </w:pPr>
      <w:r>
        <w:rPr>
          <w:b w:val="false"/>
          <w:bCs w:val="false"/>
          <w:i w:val="false"/>
          <w:iCs w:val="false"/>
          <w:color w:val="262B2B"/>
          <w:sz w:val="21"/>
          <w:szCs w:val="21"/>
        </w:rPr>
        <w:t xml:space="preserve">Raw detector names are debugging vocabulary, not user-facing vocabulary. "ssl_aasist" means nothing to an SIH judge and less to the eventual end user this system is meant to protect. Every signal maps to exactly one plain-language category, and rationale tags are phrased within that category:</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900"/>
        <w:gridCol w:w="2400"/>
        <w:gridCol w:w="4060"/>
      </w:tblGrid>
      <w:tr>
        <w:trPr>
          <w:tblHeader/>
        </w:trPr>
        <w:tc>
          <w:tcPr>
            <w:tcW w:type="dxa" w:w="2900"/>
            <w:shd w:fill="1F3B4D" w:color="auto" w:val="clear"/>
            <w:tcMar>
              <w:top w:type="dxa" w:w="80"/>
              <w:left w:type="dxa" w:w="110"/>
              <w:bottom w:type="dxa" w:w="80"/>
              <w:right w:type="dxa" w:w="110"/>
            </w:tcMar>
            <w:vAlign w:val="center"/>
          </w:tcPr>
          <w:p>
            <w:pPr>
              <w:spacing w:after="40"/>
            </w:pPr>
            <w:r>
              <w:rPr>
                <w:b/>
                <w:bCs/>
                <w:color w:val="FFFFFF"/>
                <w:sz w:val="19"/>
                <w:szCs w:val="19"/>
              </w:rPr>
              <w:t xml:space="preserve">Detector</w:t>
            </w:r>
          </w:p>
        </w:tc>
        <w:tc>
          <w:tcPr>
            <w:tcW w:type="dxa" w:w="2400"/>
            <w:shd w:fill="1F3B4D" w:color="auto" w:val="clear"/>
            <w:tcMar>
              <w:top w:type="dxa" w:w="80"/>
              <w:left w:type="dxa" w:w="110"/>
              <w:bottom w:type="dxa" w:w="80"/>
              <w:right w:type="dxa" w:w="110"/>
            </w:tcMar>
            <w:vAlign w:val="center"/>
          </w:tcPr>
          <w:p>
            <w:pPr>
              <w:spacing w:after="40"/>
            </w:pPr>
            <w:r>
              <w:rPr>
                <w:b/>
                <w:bCs/>
                <w:color w:val="FFFFFF"/>
                <w:sz w:val="19"/>
                <w:szCs w:val="19"/>
              </w:rPr>
              <w:t xml:space="preserve">Category</w:t>
            </w:r>
          </w:p>
        </w:tc>
        <w:tc>
          <w:tcPr>
            <w:tcW w:type="dxa" w:w="4060"/>
            <w:shd w:fill="1F3B4D" w:color="auto" w:val="clear"/>
            <w:tcMar>
              <w:top w:type="dxa" w:w="80"/>
              <w:left w:type="dxa" w:w="110"/>
              <w:bottom w:type="dxa" w:w="80"/>
              <w:right w:type="dxa" w:w="110"/>
            </w:tcMar>
            <w:vAlign w:val="center"/>
          </w:tcPr>
          <w:p>
            <w:pPr>
              <w:spacing w:after="40"/>
            </w:pPr>
            <w:r>
              <w:rPr>
                <w:b/>
                <w:bCs/>
                <w:color w:val="FFFFFF"/>
                <w:sz w:val="19"/>
                <w:szCs w:val="19"/>
              </w:rPr>
              <w:t xml:space="preserve">Example Rationale Phrasing</w:t>
            </w:r>
          </w:p>
        </w:tc>
      </w:tr>
      <w:tr>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ssl_aasist, aasist</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Spectral pattern</w:t>
            </w:r>
          </w:p>
        </w:tc>
        <w:tc>
          <w:tcPr>
            <w:tcW w:type="dxa" w:w="4060"/>
            <w:tcMar>
              <w:top w:type="dxa" w:w="80"/>
              <w:left w:type="dxa" w:w="110"/>
              <w:bottom w:type="dxa" w:w="80"/>
              <w:right w:type="dxa" w:w="110"/>
            </w:tcMar>
            <w:vAlign w:val="center"/>
          </w:tcPr>
          <w:p>
            <w:pPr>
              <w:spacing w:after="40"/>
            </w:pPr>
            <w:r>
              <w:rPr>
                <w:b w:val="false"/>
                <w:bCs w:val="false"/>
                <w:color w:val="262B2B"/>
                <w:sz w:val="19"/>
                <w:szCs w:val="19"/>
              </w:rPr>
              <w:t xml:space="preserve">"Unusual spectral pattern typical of synthetic speech"</w:t>
            </w:r>
          </w:p>
        </w:tc>
      </w:tr>
      <w:tr>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prosody</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Voice rhythm &amp; pitch</w:t>
            </w:r>
          </w:p>
        </w:tc>
        <w:tc>
          <w:tcPr>
            <w:tcW w:type="dxa" w:w="4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"Unnaturally flat pitch variance"</w:t>
            </w:r>
          </w:p>
        </w:tc>
      </w:tr>
      <w:tr>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speaker_match (ECAPA-TDNN)</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Speaker identity</w:t>
            </w:r>
          </w:p>
        </w:tc>
        <w:tc>
          <w:tcPr>
            <w:tcW w:type="dxa" w:w="4060"/>
            <w:tcMar>
              <w:top w:type="dxa" w:w="80"/>
              <w:left w:type="dxa" w:w="110"/>
              <w:bottom w:type="dxa" w:w="80"/>
              <w:right w:type="dxa" w:w="110"/>
            </w:tcMar>
            <w:vAlign w:val="center"/>
          </w:tcPr>
          <w:p>
            <w:pPr>
              <w:spacing w:after="40"/>
            </w:pPr>
            <w:r>
              <w:rPr>
                <w:b w:val="false"/>
                <w:bCs w:val="false"/>
                <w:color w:val="262B2B"/>
                <w:sz w:val="19"/>
                <w:szCs w:val="19"/>
              </w:rPr>
              <w:t xml:space="preserve">"Voice doesn't match the known speaker's voice"</w:t>
            </w:r>
          </w:p>
        </w:tc>
      </w:tr>
      <w:tr>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transcript_risk (Whisper + rules)</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Message content</w:t>
            </w:r>
          </w:p>
        </w:tc>
        <w:tc>
          <w:tcPr>
            <w:tcW w:type="dxa" w:w="40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"Mentions a money transfer — a common scam pattern"</w:t>
            </w:r>
          </w:p>
        </w:tc>
      </w:tr>
    </w:tbl>
    <w:p>
      <w:pPr>
        <w:spacing w:after="220" w:before="60"/>
      </w:pPr>
      <w:r>
        <w:rPr>
          <w:i/>
          <w:iCs/>
          <w:color w:val="5B6B6B"/>
          <w:sz w:val="19"/>
          <w:szCs w:val="19"/>
        </w:rPr>
        <w:t xml:space="preserve">This is the taxonomy referenced by "category" and "dominant_category" in the WebSocket contract (§8) — it is what makes the Android walkthrough's simplified {"top_signal":"spectral"} and this PRD's richer {"signals":[...]} the same underlying data at two levels of detail.</w:t>
      </w:r>
    </w:p>
    <w:p>
      <w:pPr>
        <w:pStyle w:val="Heading2"/>
        <w:spacing w:after="120" w:before="260"/>
      </w:pPr>
      <w:r>
        <w:rPr>
          <w:b/>
          <w:bCs/>
          <w:color w:val="1F3B4D"/>
          <w:sz w:val="24"/>
          <w:szCs w:val="24"/>
        </w:rPr>
        <w:t xml:space="preserve">9.5 Audience-Adaptive Explanation  [NEW]</w:t>
      </w:r>
    </w:p>
    <w:p>
      <w:pPr>
        <w:spacing w:after="160" w:line="276"/>
      </w:pPr>
      <w:r>
        <w:rPr>
          <w:b w:val="false"/>
          <w:bCs w:val="false"/>
          <w:i w:val="false"/>
          <w:iCs w:val="false"/>
          <w:color w:val="262B2B"/>
          <w:sz w:val="21"/>
          <w:szCs w:val="21"/>
        </w:rPr>
        <w:t xml:space="preserve">The same underlying signal data is rendered differently depending on who is looking at it — the canonical payload (§8) doesn't change, only what the client chooses to surface:</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3100"/>
        <w:gridCol w:w="3600"/>
        <w:gridCol w:w="2660"/>
      </w:tblGrid>
      <w:tr>
        <w:trPr>
          <w:tblHeader/>
        </w:trPr>
        <w:tc>
          <w:tcPr>
            <w:tcW w:type="dxa" w:w="3100"/>
            <w:shd w:fill="1F3B4D" w:color="auto" w:val="clear"/>
            <w:tcMar>
              <w:top w:type="dxa" w:w="80"/>
              <w:left w:type="dxa" w:w="110"/>
              <w:bottom w:type="dxa" w:w="80"/>
              <w:right w:type="dxa" w:w="110"/>
            </w:tcMar>
            <w:vAlign w:val="center"/>
          </w:tcPr>
          <w:p>
            <w:pPr>
              <w:spacing w:after="40"/>
            </w:pPr>
            <w:r>
              <w:rPr>
                <w:b/>
                <w:bCs/>
                <w:color w:val="FFFFFF"/>
                <w:sz w:val="19"/>
                <w:szCs w:val="19"/>
              </w:rPr>
              <w:t xml:space="preserve">Audience</w:t>
            </w:r>
          </w:p>
        </w:tc>
        <w:tc>
          <w:tcPr>
            <w:tcW w:type="dxa" w:w="3600"/>
            <w:shd w:fill="1F3B4D" w:color="auto" w:val="clear"/>
            <w:tcMar>
              <w:top w:type="dxa" w:w="80"/>
              <w:left w:type="dxa" w:w="110"/>
              <w:bottom w:type="dxa" w:w="80"/>
              <w:right w:type="dxa" w:w="110"/>
            </w:tcMar>
            <w:vAlign w:val="center"/>
          </w:tcPr>
          <w:p>
            <w:pPr>
              <w:spacing w:after="40"/>
            </w:pPr>
            <w:r>
              <w:rPr>
                <w:b/>
                <w:bCs/>
                <w:color w:val="FFFFFF"/>
                <w:sz w:val="19"/>
                <w:szCs w:val="19"/>
              </w:rPr>
              <w:t xml:space="preserve">What They See</w:t>
            </w:r>
          </w:p>
        </w:tc>
        <w:tc>
          <w:tcPr>
            <w:tcW w:type="dxa" w:w="2660"/>
            <w:shd w:fill="1F3B4D" w:color="auto" w:val="clear"/>
            <w:tcMar>
              <w:top w:type="dxa" w:w="80"/>
              <w:left w:type="dxa" w:w="110"/>
              <w:bottom w:type="dxa" w:w="80"/>
              <w:right w:type="dxa" w:w="110"/>
            </w:tcMar>
            <w:vAlign w:val="center"/>
          </w:tcPr>
          <w:p>
            <w:pPr>
              <w:spacing w:after="40"/>
            </w:pPr>
            <w:r>
              <w:rPr>
                <w:b/>
                <w:bCs/>
                <w:color w:val="FFFFFF"/>
                <w:sz w:val="19"/>
                <w:szCs w:val="19"/>
              </w:rPr>
              <w:t xml:space="preserve">Why</w:t>
            </w:r>
          </w:p>
        </w:tc>
      </w:tr>
      <w:tr>
        <w:tc>
          <w:tcPr>
            <w:tcW w:type="dxa" w:w="3100"/>
            <w:tcMar>
              <w:top w:type="dxa" w:w="80"/>
              <w:left w:type="dxa" w:w="110"/>
              <w:bottom w:type="dxa" w:w="80"/>
              <w:right w:type="dxa" w:w="110"/>
            </w:tcMar>
            <w:vAlign w:val="center"/>
          </w:tcPr>
          <w:p>
            <w:pPr>
              <w:spacing w:after="40"/>
            </w:pPr>
            <w:r>
              <w:rPr>
                <w:b w:val="false"/>
                <w:bCs w:val="false"/>
                <w:color w:val="262B2B"/>
                <w:sz w:val="19"/>
                <w:szCs w:val="19"/>
              </w:rPr>
              <w:t xml:space="preserve">SIH judge / student developer (web MVP, current build)</w:t>
            </w:r>
          </w:p>
        </w:tc>
        <w:tc>
          <w:tcPr>
            <w:tcW w:type="dxa" w:w="3600"/>
            <w:tcMar>
              <w:top w:type="dxa" w:w="80"/>
              <w:left w:type="dxa" w:w="110"/>
              <w:bottom w:type="dxa" w:w="80"/>
              <w:right w:type="dxa" w:w="110"/>
            </w:tcMar>
            <w:vAlign w:val="center"/>
          </w:tcPr>
          <w:p>
            <w:pPr>
              <w:spacing w:after="40"/>
            </w:pPr>
            <w:r>
              <w:rPr>
                <w:b w:val="false"/>
                <w:bCs w:val="false"/>
                <w:color w:val="262B2B"/>
                <w:sz w:val="19"/>
                <w:szCs w:val="19"/>
              </w:rPr>
              <w:t xml:space="preserve">Full breakdown: per-detector raw scores, category, weights, rationale tags, model versions.</w:t>
            </w:r>
          </w:p>
        </w:tc>
        <w:tc>
          <w:tcPr>
            <w:tcW w:type="dxa" w:w="2660"/>
            <w:tcMar>
              <w:top w:type="dxa" w:w="80"/>
              <w:left w:type="dxa" w:w="110"/>
              <w:bottom w:type="dxa" w:w="80"/>
              <w:right w:type="dxa" w:w="110"/>
            </w:tcMar>
            <w:vAlign w:val="center"/>
          </w:tcPr>
          <w:p>
            <w:pPr>
              <w:spacing w:after="40"/>
            </w:pPr>
            <w:r>
              <w:rPr>
                <w:b w:val="false"/>
                <w:bCs w:val="false"/>
                <w:color w:val="262B2B"/>
                <w:sz w:val="19"/>
                <w:szCs w:val="19"/>
              </w:rPr>
              <w:t xml:space="preserve">They are evaluating or debugging the system itself, not just trusting a verdict about someone else's voice.</w:t>
            </w:r>
          </w:p>
        </w:tc>
      </w:tr>
      <w:tr>
        <w:tc>
          <w:tcPr>
            <w:tcW w:type="dxa" w:w="3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End user receiving a flagged call (original vision, future/institutional)</w:t>
            </w:r>
          </w:p>
        </w:tc>
        <w:tc>
          <w:tcPr>
            <w:tcW w:type="dxa" w:w="3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Category-level summary only + rationale phrase + a suggested next action (e.g., "Verify by calling back on a known number"). No raw detector names or scores.</w:t>
            </w:r>
          </w:p>
        </w:tc>
        <w:tc>
          <w:tcPr>
            <w:tcW w:type="dxa" w:w="26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They need to make a fast trust decision, not audit a model. Raw scores add noise, not clarity, in that moment.</w:t>
            </w:r>
          </w:p>
        </w:tc>
      </w:tr>
      <w:tr>
        <w:tc>
          <w:tcPr>
            <w:tcW w:type="dxa" w:w="3100"/>
            <w:tcMar>
              <w:top w:type="dxa" w:w="80"/>
              <w:left w:type="dxa" w:w="110"/>
              <w:bottom w:type="dxa" w:w="80"/>
              <w:right w:type="dxa" w:w="110"/>
            </w:tcMar>
            <w:vAlign w:val="center"/>
          </w:tcPr>
          <w:p>
            <w:pPr>
              <w:spacing w:after="40"/>
            </w:pPr>
            <w:r>
              <w:rPr>
                <w:b w:val="false"/>
                <w:bCs w:val="false"/>
                <w:color w:val="262B2B"/>
                <w:sz w:val="19"/>
                <w:szCs w:val="19"/>
              </w:rPr>
              <w:t xml:space="preserve">Institutional operator (future, API integration)</w:t>
            </w:r>
          </w:p>
        </w:tc>
        <w:tc>
          <w:tcPr>
            <w:tcW w:type="dxa" w:w="3600"/>
            <w:tcMar>
              <w:top w:type="dxa" w:w="80"/>
              <w:left w:type="dxa" w:w="110"/>
              <w:bottom w:type="dxa" w:w="80"/>
              <w:right w:type="dxa" w:w="110"/>
            </w:tcMar>
            <w:vAlign w:val="center"/>
          </w:tcPr>
          <w:p>
            <w:pPr>
              <w:spacing w:after="40"/>
            </w:pPr>
            <w:r>
              <w:rPr>
                <w:b w:val="false"/>
                <w:bCs w:val="false"/>
                <w:color w:val="262B2B"/>
                <w:sz w:val="19"/>
                <w:szCs w:val="19"/>
              </w:rPr>
              <w:t xml:space="preserve">Full breakdown plus explainability_version and model_versions for audit logging.</w:t>
            </w:r>
          </w:p>
        </w:tc>
        <w:tc>
          <w:tcPr>
            <w:tcW w:type="dxa" w:w="2660"/>
            <w:tcMar>
              <w:top w:type="dxa" w:w="80"/>
              <w:left w:type="dxa" w:w="110"/>
              <w:bottom w:type="dxa" w:w="80"/>
              <w:right w:type="dxa" w:w="110"/>
            </w:tcMar>
            <w:vAlign w:val="center"/>
          </w:tcPr>
          <w:p>
            <w:pPr>
              <w:spacing w:after="40"/>
            </w:pPr>
            <w:r>
              <w:rPr>
                <w:b w:val="false"/>
                <w:bCs w:val="false"/>
                <w:color w:val="262B2B"/>
                <w:sz w:val="19"/>
                <w:szCs w:val="19"/>
              </w:rPr>
              <w:t xml:space="preserve">They need a defensible, versioned trail — this is what makes the signal "auditable" per §3.</w:t>
            </w:r>
          </w:p>
        </w:tc>
      </w:tr>
    </w:tbl>
    <w:p>
      <w:pPr>
        <w:pStyle w:val="ListParagraph"/>
        <w:numPr>
          <w:ilvl w:val="0"/>
          <w:numId w:val="2"/>
        </w:numPr>
        <w:spacing w:after="80"/>
      </w:pPr>
      <w:r>
        <w:rPr>
          <w:sz w:val="21"/>
          <w:szCs w:val="21"/>
        </w:rPr>
        <w:t xml:space="preserve">This is a UX/presentation-layer rule, not a backend one: the backend always emits the full canonical payload (§8); each client decides how much of it to render.</w:t>
      </w:r>
      <w:r>
        <w:rPr>
          <w:b/>
          <w:bCs/>
          <w:color w:val="2E7D6E"/>
          <w:sz w:val="17"/>
          <w:szCs w:val="17"/>
        </w:rPr>
        <w:t xml:space="preserve">  [NEW]</w:t>
      </w:r>
    </w:p>
    <w:p>
      <w:pPr>
        <w:pStyle w:val="Heading2"/>
        <w:spacing w:after="120" w:before="260"/>
      </w:pPr>
      <w:r>
        <w:rPr>
          <w:b/>
          <w:bCs/>
          <w:color w:val="1F3B4D"/>
          <w:sz w:val="24"/>
          <w:szCs w:val="24"/>
        </w:rPr>
        <w:t xml:space="preserve">9.6 Functional Requirements</w:t>
      </w:r>
    </w:p>
    <w:p>
      <w:pPr>
        <w:spacing w:after="160" w:line="276"/>
      </w:pPr>
      <w:r>
        <w:rPr>
          <w:b w:val="false"/>
          <w:bCs w:val="false"/>
          <w:i w:val="false"/>
          <w:iCs w:val="false"/>
          <w:color w:val="262B2B"/>
          <w:sz w:val="21"/>
          <w:szCs w:val="21"/>
        </w:rPr>
        <w:t xml:space="preserve">See FR-13 through FR-19 in Section 7. In summary: every result includes a signals array and an explanation object; rationale tags are drawn from a fixed, versioned vocabulary (a new tag requires a version bump); optional signals never silently enter the fusion score; and the UI never shows a verdict with a guessed or missing dominant signal — it shows "unavailable" instead.</w:t>
      </w:r>
    </w:p>
    <w:p>
      <w:pPr>
        <w:pStyle w:val="Heading2"/>
        <w:spacing w:after="120" w:before="260"/>
      </w:pPr>
      <w:r>
        <w:rPr>
          <w:b/>
          <w:bCs/>
          <w:color w:val="1F3B4D"/>
          <w:sz w:val="24"/>
          <w:szCs w:val="24"/>
        </w:rPr>
        <w:t xml:space="preserve">9.7 UX Requirements for Explainability</w:t>
      </w:r>
    </w:p>
    <w:p>
      <w:pPr>
        <w:pStyle w:val="ListParagraph"/>
        <w:numPr>
          <w:ilvl w:val="0"/>
          <w:numId w:val="2"/>
        </w:numPr>
        <w:spacing w:after="80"/>
      </w:pPr>
      <w:r>
        <w:rPr>
          <w:sz w:val="21"/>
          <w:szCs w:val="21"/>
        </w:rPr>
        <w:t xml:space="preserve">A "Why this result" affordance (expandable or persistent panel) next to the primary risk gauge.</w:t>
      </w:r>
    </w:p>
    <w:p>
      <w:pPr>
        <w:pStyle w:val="ListParagraph"/>
        <w:numPr>
          <w:ilvl w:val="0"/>
          <w:numId w:val="2"/>
        </w:numPr>
        <w:spacing w:after="80"/>
      </w:pPr>
      <w:r>
        <w:rPr>
          <w:sz w:val="21"/>
          <w:szCs w:val="21"/>
        </w:rPr>
        <w:t xml:space="preserve">Signal breakdown shown as a simple ranked list or bar, dominant signal first — not raw JSON.</w:t>
      </w:r>
    </w:p>
    <w:p>
      <w:pPr>
        <w:pStyle w:val="ListParagraph"/>
        <w:numPr>
          <w:ilvl w:val="0"/>
          <w:numId w:val="2"/>
        </w:numPr>
        <w:spacing w:after="80"/>
      </w:pPr>
      <w:r>
        <w:rPr>
          <w:sz w:val="21"/>
          <w:szCs w:val="21"/>
        </w:rPr>
        <w:t xml:space="preserve">Rationale tags rendered as short, plain-language phrases sourced from the fixed vocabulary; no live text generation in the UI layer.</w:t>
      </w:r>
    </w:p>
    <w:p>
      <w:pPr>
        <w:pStyle w:val="ListParagraph"/>
        <w:numPr>
          <w:ilvl w:val="0"/>
          <w:numId w:val="2"/>
        </w:numPr>
        <w:spacing w:after="80"/>
      </w:pPr>
      <w:r>
        <w:rPr>
          <w:sz w:val="21"/>
          <w:szCs w:val="21"/>
        </w:rPr>
        <w:t xml:space="preserve">A visible note that explanations describe what the models detected, not proof of cloning — consistent with S-05 (Uncertainty) in Section 11.</w:t>
      </w:r>
    </w:p>
    <w:p>
      <w:pPr>
        <w:pStyle w:val="ListParagraph"/>
        <w:numPr>
          <w:ilvl w:val="0"/>
          <w:numId w:val="2"/>
        </w:numPr>
        <w:spacing w:after="80"/>
      </w:pPr>
      <w:r>
        <w:rPr>
          <w:sz w:val="21"/>
          <w:szCs w:val="21"/>
        </w:rPr>
        <w:t xml:space="preserve">Rendered depth follows §9.5's audience mapping — the web MVP demo uses the full-breakdown view.</w:t>
      </w:r>
      <w:r>
        <w:rPr>
          <w:b/>
          <w:bCs/>
          <w:color w:val="2E7D6E"/>
          <w:sz w:val="17"/>
          <w:szCs w:val="17"/>
        </w:rPr>
        <w:t xml:space="preserve">  [NEW]</w:t>
      </w:r>
    </w:p>
    <w:p>
      <w:pPr>
        <w:pStyle w:val="Heading2"/>
        <w:spacing w:after="120" w:before="260"/>
      </w:pPr>
      <w:r>
        <w:rPr>
          <w:b/>
          <w:bCs/>
          <w:color w:val="1F3B4D"/>
          <w:sz w:val="24"/>
          <w:szCs w:val="24"/>
        </w:rPr>
        <w:t xml:space="preserve">9.8 Non-Goals for Explainability (MVP)</w:t>
      </w:r>
    </w:p>
    <w:p>
      <w:pPr>
        <w:pStyle w:val="ListParagraph"/>
        <w:numPr>
          <w:ilvl w:val="0"/>
          <w:numId w:val="2"/>
        </w:numPr>
        <w:spacing w:after="80"/>
      </w:pPr>
      <w:r>
        <w:rPr>
          <w:sz w:val="21"/>
          <w:szCs w:val="21"/>
        </w:rPr>
        <w:t xml:space="preserve">Full mechanistic interpretability of AASIST/SSL-AASIST internals.</w:t>
      </w:r>
    </w:p>
    <w:p>
      <w:pPr>
        <w:pStyle w:val="ListParagraph"/>
        <w:numPr>
          <w:ilvl w:val="0"/>
          <w:numId w:val="2"/>
        </w:numPr>
        <w:spacing w:after="80"/>
      </w:pPr>
      <w:r>
        <w:rPr>
          <w:sz w:val="21"/>
          <w:szCs w:val="21"/>
        </w:rPr>
        <w:t xml:space="preserve">Counterfactual explanations ("if pitch had been X, the verdict would flip").</w:t>
      </w:r>
    </w:p>
    <w:p>
      <w:pPr>
        <w:pStyle w:val="ListParagraph"/>
        <w:numPr>
          <w:ilvl w:val="0"/>
          <w:numId w:val="2"/>
        </w:numPr>
        <w:spacing w:after="80"/>
      </w:pPr>
      <w:r>
        <w:rPr>
          <w:sz w:val="21"/>
          <w:szCs w:val="21"/>
        </w:rPr>
        <w:t xml:space="preserve">User-facing SHAP/LIME-style visualizations — deferred to P2 only if latency/compute budget allows.</w:t>
      </w:r>
    </w:p>
    <w:p>
      <w:pPr>
        <w:pStyle w:val="ListParagraph"/>
        <w:numPr>
          <w:ilvl w:val="0"/>
          <w:numId w:val="2"/>
        </w:numPr>
        <w:spacing w:after="80"/>
      </w:pPr>
      <w:r>
        <w:rPr>
          <w:sz w:val="21"/>
          <w:szCs w:val="21"/>
        </w:rPr>
        <w:t xml:space="preserve">Explaining unseen synthesis methods the detectors were not trained on — an unexplainable miss is still possible and must not be hidden (ties to S-06, Generalization).</w:t>
      </w:r>
    </w:p>
    <w:p>
      <w:pPr>
        <w:pStyle w:val="Heading2"/>
        <w:spacing w:after="120" w:before="260"/>
      </w:pPr>
      <w:r>
        <w:rPr>
          <w:b/>
          <w:bCs/>
          <w:color w:val="1F3B4D"/>
          <w:sz w:val="24"/>
          <w:szCs w:val="24"/>
        </w:rPr>
        <w:t xml:space="preserve">9.9 Acceptance Criteria for Explainability</w:t>
      </w:r>
    </w:p>
    <w:p>
      <w:pPr>
        <w:pStyle w:val="ListParagraph"/>
        <w:numPr>
          <w:ilvl w:val="0"/>
          <w:numId w:val="2"/>
        </w:numPr>
        <w:spacing w:after="80"/>
      </w:pPr>
      <w:r>
        <w:rPr>
          <w:sz w:val="21"/>
          <w:szCs w:val="21"/>
        </w:rPr>
        <w:t xml:space="preserve">Every result includes a non-empty signals array with at least one detector sub-score once the AASIST baseline (M1) is live.</w:t>
      </w:r>
    </w:p>
    <w:p>
      <w:pPr>
        <w:pStyle w:val="ListParagraph"/>
        <w:numPr>
          <w:ilvl w:val="0"/>
          <w:numId w:val="2"/>
        </w:numPr>
        <w:spacing w:after="80"/>
      </w:pPr>
      <w:r>
        <w:rPr>
          <w:sz w:val="21"/>
          <w:szCs w:val="21"/>
        </w:rPr>
        <w:t xml:space="preserve">Rationale tags shown in the UI trace back to a documented, versioned tag definition — auditable by a developer, not just descriptive copy.</w:t>
      </w:r>
    </w:p>
    <w:p>
      <w:pPr>
        <w:pStyle w:val="ListParagraph"/>
        <w:numPr>
          <w:ilvl w:val="0"/>
          <w:numId w:val="2"/>
        </w:numPr>
        <w:spacing w:after="80"/>
      </w:pPr>
      <w:r>
        <w:rPr>
          <w:sz w:val="21"/>
          <w:szCs w:val="21"/>
        </w:rPr>
        <w:t xml:space="preserve">Explanation payloads are versioned; a version mismatch between model and explanation is logged and surfaced, never silently dropped.</w:t>
      </w:r>
    </w:p>
    <w:p>
      <w:pPr>
        <w:pStyle w:val="ListParagraph"/>
        <w:numPr>
          <w:ilvl w:val="0"/>
          <w:numId w:val="2"/>
        </w:numPr>
        <w:spacing w:after="80"/>
      </w:pPr>
      <w:r>
        <w:rPr>
          <w:sz w:val="21"/>
          <w:szCs w:val="21"/>
        </w:rPr>
        <w:t xml:space="preserve">A rationale phrase from §9.4 reads correctly for its stated category with no raw detector/model name leaking into end-user-facing copy.</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10. User Experience Requirements</w:t>
      </w:r>
    </w:p>
    <w:p>
      <w:pPr>
        <w:pStyle w:val="ListParagraph"/>
        <w:numPr>
          <w:ilvl w:val="0"/>
          <w:numId w:val="2"/>
        </w:numPr>
        <w:spacing w:after="80"/>
      </w:pPr>
      <w:r>
        <w:rPr>
          <w:sz w:val="21"/>
          <w:szCs w:val="21"/>
        </w:rPr>
        <w:t xml:space="preserve">Landing screen briefly explains voice-authenticity analysis and that results are advisory.</w:t>
      </w:r>
    </w:p>
    <w:p>
      <w:pPr>
        <w:pStyle w:val="ListParagraph"/>
        <w:numPr>
          <w:ilvl w:val="0"/>
          <w:numId w:val="2"/>
        </w:numPr>
        <w:spacing w:after="80"/>
      </w:pPr>
      <w:r>
        <w:rPr>
          <w:sz w:val="21"/>
          <w:szCs w:val="21"/>
        </w:rPr>
        <w:t xml:space="preserve">Microphone capture requires an explicit user action and browser permission.</w:t>
      </w:r>
    </w:p>
    <w:p>
      <w:pPr>
        <w:pStyle w:val="ListParagraph"/>
        <w:numPr>
          <w:ilvl w:val="0"/>
          <w:numId w:val="2"/>
        </w:numPr>
        <w:spacing w:after="80"/>
      </w:pPr>
      <w:r>
        <w:rPr>
          <w:sz w:val="21"/>
          <w:szCs w:val="21"/>
        </w:rPr>
        <w:t xml:space="preserve">Show connection state: Disconnected, Connecting, Connected, Processing, or Error.</w:t>
      </w:r>
    </w:p>
    <w:p>
      <w:pPr>
        <w:pStyle w:val="ListParagraph"/>
        <w:numPr>
          <w:ilvl w:val="0"/>
          <w:numId w:val="2"/>
        </w:numPr>
        <w:spacing w:after="80"/>
      </w:pPr>
      <w:r>
        <w:rPr>
          <w:sz w:val="21"/>
          <w:szCs w:val="21"/>
        </w:rPr>
        <w:t xml:space="preserve">Show live activity/waveform without retaining the raw recording.</w:t>
      </w:r>
    </w:p>
    <w:p>
      <w:pPr>
        <w:pStyle w:val="ListParagraph"/>
        <w:numPr>
          <w:ilvl w:val="0"/>
          <w:numId w:val="2"/>
        </w:numPr>
        <w:spacing w:after="80"/>
      </w:pPr>
      <w:r>
        <w:rPr>
          <w:sz w:val="21"/>
          <w:szCs w:val="21"/>
        </w:rPr>
        <w:t xml:space="preserve">Make the primary result obvious: risk score + REAL/FAKE verdict.</w:t>
      </w:r>
    </w:p>
    <w:p>
      <w:pPr>
        <w:pStyle w:val="ListParagraph"/>
        <w:numPr>
          <w:ilvl w:val="0"/>
          <w:numId w:val="2"/>
        </w:numPr>
        <w:spacing w:after="80"/>
      </w:pPr>
      <w:r>
        <w:rPr>
          <w:sz w:val="21"/>
          <w:szCs w:val="21"/>
        </w:rPr>
        <w:t xml:space="preserve">Show the strongest available signal (for example spectral/prosody/speaker).</w:t>
      </w:r>
    </w:p>
    <w:p>
      <w:pPr>
        <w:pStyle w:val="ListParagraph"/>
        <w:numPr>
          <w:ilvl w:val="0"/>
          <w:numId w:val="2"/>
        </w:numPr>
        <w:spacing w:after="80"/>
      </w:pPr>
      <w:r>
        <w:rPr>
          <w:sz w:val="21"/>
          <w:szCs w:val="21"/>
        </w:rPr>
        <w:t xml:space="preserve">If confidence is insufficient or the backend fails, do not force a binary verdict.</w:t>
      </w:r>
    </w:p>
    <w:p>
      <w:pPr>
        <w:pStyle w:val="ListParagraph"/>
        <w:numPr>
          <w:ilvl w:val="0"/>
          <w:numId w:val="2"/>
        </w:numPr>
        <w:spacing w:after="80"/>
      </w:pPr>
      <w:r>
        <w:rPr>
          <w:sz w:val="21"/>
          <w:szCs w:val="21"/>
        </w:rPr>
        <w:t xml:space="preserve">Clearly mark synthetic/pre-recorded test mode when it is being used.</w:t>
      </w:r>
    </w:p>
    <w:p>
      <w:pPr>
        <w:pStyle w:val="ListParagraph"/>
        <w:numPr>
          <w:ilvl w:val="0"/>
          <w:numId w:val="2"/>
        </w:numPr>
        <w:spacing w:after="80"/>
      </w:pPr>
      <w:r>
        <w:rPr>
          <w:sz w:val="21"/>
          <w:szCs w:val="21"/>
        </w:rPr>
        <w:t xml:space="preserve">Show a "Why this result" panel with the dominant signal and rationale tags whenever a verdict is rendered (see §9.7).</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11. Safety, Privacy, and Abuse Bounds</w:t>
      </w:r>
    </w:p>
    <w:p>
      <w:pPr>
        <w:spacing w:after="160" w:line="276"/>
      </w:pPr>
      <w:r>
        <w:rPr>
          <w:b w:val="false"/>
          <w:bCs w:val="false"/>
          <w:i w:val="false"/>
          <w:iCs w:val="false"/>
          <w:color w:val="262B2B"/>
          <w:sz w:val="21"/>
          <w:szCs w:val="21"/>
        </w:rPr>
        <w:t xml:space="preserve">These are product requirements. The system is a defensive cybersecurity/deepfake detection tool and is decision support, not an autonomous authority.</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1100"/>
        <w:gridCol w:w="2400"/>
        <w:gridCol w:w="5860"/>
      </w:tblGrid>
      <w:tr>
        <w:trPr>
          <w:tblHeader/>
        </w:trPr>
        <w:tc>
          <w:tcPr>
            <w:tcW w:type="dxa" w:w="1100"/>
            <w:shd w:fill="1F3B4D" w:color="auto"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2400"/>
            <w:shd w:fill="1F3B4D" w:color="auto" w:val="clear"/>
            <w:tcMar>
              <w:top w:type="dxa" w:w="80"/>
              <w:left w:type="dxa" w:w="110"/>
              <w:bottom w:type="dxa" w:w="80"/>
              <w:right w:type="dxa" w:w="110"/>
            </w:tcMar>
            <w:vAlign w:val="center"/>
          </w:tcPr>
          <w:p>
            <w:pPr>
              <w:spacing w:after="40"/>
            </w:pPr>
            <w:r>
              <w:rPr>
                <w:b/>
                <w:bCs/>
                <w:color w:val="FFFFFF"/>
                <w:sz w:val="19"/>
                <w:szCs w:val="19"/>
              </w:rPr>
              <w:t xml:space="preserve">Bound</w:t>
            </w:r>
          </w:p>
        </w:tc>
        <w:tc>
          <w:tcPr>
            <w:tcW w:type="dxa" w:w="5860"/>
            <w:shd w:fill="1F3B4D" w:color="auto" w:val="clear"/>
            <w:tcMar>
              <w:top w:type="dxa" w:w="80"/>
              <w:left w:type="dxa" w:w="110"/>
              <w:bottom w:type="dxa" w:w="80"/>
              <w:right w:type="dxa" w:w="110"/>
            </w:tcMar>
            <w:vAlign w:val="center"/>
          </w:tcPr>
          <w:p>
            <w:pPr>
              <w:spacing w:after="40"/>
            </w:pPr>
            <w:r>
              <w:rPr>
                <w:b/>
                <w:bCs/>
                <w:color w:val="FFFFFF"/>
                <w:sz w:val="19"/>
                <w:szCs w:val="19"/>
              </w:rPr>
              <w:t xml:space="preserve">Requirement</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S-01</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Consent</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Microphone capture requires explicit user action and browser permission.</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S-02</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Data minimization</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Process raw audio in memory and discard it after the required inference window.</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S-03</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Biometrics</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Do not retain speaker enrollment/voiceprints unless a separately scoped, explicitly approved feature exists.</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S-04</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High-impact decisions</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A model result must not directly approve/deny fund transfers, account access, emergency response, or similar consequential actions.</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S-05</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Uncertainty</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Present risk as a decision-support signal; never claim 100% accuracy.</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S-06</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Generalization</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Disclose that unseen synthesis methods can cause errors and validate claims on held-out data.</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S-07</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Access control</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Use authentication/rate limiting before allowing uncontrolled public access to the GPU endpoint.</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S-08</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Logging</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Retain only necessary scores, model/version IDs, timestamps, and approved derived features.</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S-09</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Demo samples</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Use team-created synthetic voices or recordings from consenting participants.</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S-10</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Network exposure</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Expose only the required application/API endpoint through the tunnel.</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S-11</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Failure mode</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Model/network failure produces an explicit unavailable/error state, never a fabricated verdict.</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S-12</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Sandbox first</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Test new models/parsers locally with non-sensitive samples before public integration.</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S-13 [NEW]</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Explanation integrity</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Rationale tags and signal breakdowns must be derived only from real detector outputs; never generate explanatory text that isn't traceable to an actual computed feature or score.</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S-14 [NEW]</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Voiceprint enrollment consent</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ECAPA-TDNN speaker matching may only run against a voiceprint the compared individual explicitly enrolled through a separate, revocable consent flow — never build a voiceprint from unconsented call/session audio.</w:t>
            </w:r>
          </w:p>
        </w:tc>
      </w:tr>
      <w:tr>
        <w:tc>
          <w:tcPr>
            <w:tcW w:type="dxa" w:w="1100"/>
            <w:tcMar>
              <w:top w:type="dxa" w:w="80"/>
              <w:left w:type="dxa" w:w="110"/>
              <w:bottom w:type="dxa" w:w="80"/>
              <w:right w:type="dxa" w:w="110"/>
            </w:tcMar>
            <w:vAlign w:val="center"/>
          </w:tcPr>
          <w:p>
            <w:pPr>
              <w:spacing w:after="40"/>
            </w:pPr>
            <w:r>
              <w:rPr>
                <w:b w:val="false"/>
                <w:bCs w:val="false"/>
                <w:color w:val="262B2B"/>
                <w:sz w:val="19"/>
                <w:szCs w:val="19"/>
              </w:rPr>
              <w:t xml:space="preserve">S-15 [NEW]</w:t>
            </w:r>
          </w:p>
        </w:tc>
        <w:tc>
          <w:tcPr>
            <w:tcW w:type="dxa" w:w="2400"/>
            <w:tcMar>
              <w:top w:type="dxa" w:w="80"/>
              <w:left w:type="dxa" w:w="110"/>
              <w:bottom w:type="dxa" w:w="80"/>
              <w:right w:type="dxa" w:w="110"/>
            </w:tcMar>
            <w:vAlign w:val="center"/>
          </w:tcPr>
          <w:p>
            <w:pPr>
              <w:spacing w:after="40"/>
            </w:pPr>
            <w:r>
              <w:rPr>
                <w:b w:val="false"/>
                <w:bCs w:val="false"/>
                <w:color w:val="262B2B"/>
                <w:sz w:val="19"/>
                <w:szCs w:val="19"/>
              </w:rPr>
              <w:t xml:space="preserve">Live call audio access</w:t>
            </w:r>
          </w:p>
        </w:tc>
        <w:tc>
          <w:tcPr>
            <w:tcW w:type="dxa" w:w="5860"/>
            <w:tcMar>
              <w:top w:type="dxa" w:w="80"/>
              <w:left w:type="dxa" w:w="110"/>
              <w:bottom w:type="dxa" w:w="80"/>
              <w:right w:type="dxa" w:w="110"/>
            </w:tcMar>
            <w:vAlign w:val="center"/>
          </w:tcPr>
          <w:p>
            <w:pPr>
              <w:spacing w:after="40"/>
            </w:pPr>
            <w:r>
              <w:rPr>
                <w:b w:val="false"/>
                <w:bCs w:val="false"/>
                <w:color w:val="262B2B"/>
                <w:sz w:val="19"/>
                <w:szCs w:val="19"/>
              </w:rPr>
              <w:t xml:space="preserve">Do not treat passive interception of a live cellular/carrier call as a build target. Real-time protection against live scam calls is only in scope once audio flows through infrastructure the operator controls (e.g., an owned VoIP/contact-center pipeline) and applicable call-recording consent law is satisfied — reinforces the existing non-goal in §2.</w:t>
            </w:r>
          </w:p>
        </w:tc>
      </w:tr>
      <w:tr>
        <w:tc>
          <w:tcPr>
            <w:tcW w:type="dxa" w:w="11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S-16 [NEW]</w:t>
            </w:r>
          </w:p>
        </w:tc>
        <w:tc>
          <w:tcPr>
            <w:tcW w:type="dxa" w:w="2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Transcript content sensitivity</w:t>
            </w:r>
          </w:p>
        </w:tc>
        <w:tc>
          <w:tcPr>
            <w:tcW w:type="dxa" w:w="58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Whisper-based risk-phrase flagging operates on a fixed, disclosed keyword/category list only; raw transcript text is not persisted beyond the processing window, and its use is disclosed alongside the voice-analysis consent notice (S-01).</w:t>
            </w:r>
          </w:p>
        </w:tc>
      </w:tr>
    </w:tbl>
    <w:p>
      <w:pPr>
        <w:pStyle w:val="Heading1"/>
        <w:pBdr>
          <w:bottom w:val="single" w:color="2E7D6E" w:sz="6" w:space="4"/>
        </w:pBdr>
        <w:spacing w:after="160" w:before="420"/>
      </w:pPr>
      <w:r>
        <w:rPr>
          <w:b/>
          <w:bCs/>
          <w:color w:val="1F3B4D"/>
          <w:sz w:val="30"/>
          <w:szCs w:val="30"/>
        </w:rPr>
        <w:t xml:space="preserve">12. Sandbox Environment</w:t>
      </w:r>
    </w:p>
    <w:p>
      <w:pPr>
        <w:spacing w:after="160" w:line="276"/>
      </w:pPr>
      <w:r>
        <w:rPr>
          <w:b w:val="false"/>
          <w:bCs w:val="false"/>
          <w:i w:val="false"/>
          <w:iCs w:val="false"/>
          <w:color w:val="262B2B"/>
          <w:sz w:val="21"/>
          <w:szCs w:val="21"/>
        </w:rPr>
        <w:t xml:space="preserve">The sandbox is the default development environment. It must exercise the same WebSocket contract as the demo while minimizing exposure of sensitive data.</w:t>
      </w:r>
    </w:p>
    <w:p>
      <w:pPr>
        <w:pStyle w:val="ListParagraph"/>
        <w:numPr>
          <w:ilvl w:val="0"/>
          <w:numId w:val="2"/>
        </w:numPr>
        <w:spacing w:after="80"/>
      </w:pPr>
      <w:r>
        <w:rPr>
          <w:sz w:val="21"/>
          <w:szCs w:val="21"/>
        </w:rPr>
        <w:t xml:space="preserve">Local Next.js development server for the frontend.</w:t>
      </w:r>
    </w:p>
    <w:p>
      <w:pPr>
        <w:pStyle w:val="ListParagraph"/>
        <w:numPr>
          <w:ilvl w:val="0"/>
          <w:numId w:val="2"/>
        </w:numPr>
        <w:spacing w:after="80"/>
      </w:pPr>
      <w:r>
        <w:rPr>
          <w:sz w:val="21"/>
          <w:szCs w:val="21"/>
        </w:rPr>
        <w:t xml:space="preserve">Local FastAPI/WebSocket service for the backend.</w:t>
      </w:r>
    </w:p>
    <w:p>
      <w:pPr>
        <w:pStyle w:val="ListParagraph"/>
        <w:numPr>
          <w:ilvl w:val="0"/>
          <w:numId w:val="2"/>
        </w:numPr>
        <w:spacing w:after="80"/>
      </w:pPr>
      <w:r>
        <w:rPr>
          <w:sz w:val="21"/>
          <w:szCs w:val="21"/>
        </w:rPr>
        <w:t xml:space="preserve">Mock mode that returns deterministic REAL/FAKE/risk responses so the UI can be tested without AI inference.</w:t>
      </w:r>
    </w:p>
    <w:p>
      <w:pPr>
        <w:pStyle w:val="ListParagraph"/>
        <w:numPr>
          <w:ilvl w:val="0"/>
          <w:numId w:val="2"/>
        </w:numPr>
        <w:spacing w:after="80"/>
      </w:pPr>
      <w:r>
        <w:rPr>
          <w:sz w:val="21"/>
          <w:szCs w:val="21"/>
        </w:rPr>
        <w:t xml:space="preserve">GPU model mode using synthetic and consented real samples.</w:t>
      </w:r>
    </w:p>
    <w:p>
      <w:pPr>
        <w:pStyle w:val="ListParagraph"/>
        <w:numPr>
          <w:ilvl w:val="0"/>
          <w:numId w:val="2"/>
        </w:numPr>
        <w:spacing w:after="80"/>
      </w:pPr>
      <w:r>
        <w:rPr>
          <w:sz w:val="21"/>
          <w:szCs w:val="21"/>
        </w:rPr>
        <w:t xml:space="preserve">No production credentials, personal identifiers, or sensitive institutional data in test fixtures.</w:t>
      </w:r>
    </w:p>
    <w:p>
      <w:pPr>
        <w:pStyle w:val="ListParagraph"/>
        <w:numPr>
          <w:ilvl w:val="0"/>
          <w:numId w:val="2"/>
        </w:numPr>
        <w:spacing w:after="80"/>
      </w:pPr>
      <w:r>
        <w:rPr>
          <w:sz w:val="21"/>
          <w:szCs w:val="21"/>
        </w:rPr>
        <w:t xml:space="preserve">A test-audio directory with sample provenance and permission status.</w:t>
      </w:r>
    </w:p>
    <w:p>
      <w:pPr>
        <w:pStyle w:val="ListParagraph"/>
        <w:numPr>
          <w:ilvl w:val="0"/>
          <w:numId w:val="2"/>
        </w:numPr>
        <w:spacing w:after="80"/>
      </w:pPr>
      <w:r>
        <w:rPr>
          <w:sz w:val="21"/>
          <w:szCs w:val="21"/>
        </w:rPr>
        <w:t xml:space="preserve">Automated tests for framing, session initialization, malformed input, timeouts, disconnect/reconnect, and result schema.</w:t>
      </w:r>
    </w:p>
    <w:p>
      <w:pPr>
        <w:pStyle w:val="ListParagraph"/>
        <w:numPr>
          <w:ilvl w:val="0"/>
          <w:numId w:val="2"/>
        </w:numPr>
        <w:spacing w:after="80"/>
      </w:pPr>
      <w:r>
        <w:rPr>
          <w:sz w:val="21"/>
          <w:szCs w:val="21"/>
        </w:rPr>
        <w:t xml:space="preserve">Bounded session duration, message size, memory buffers, and concurrent sessions.</w:t>
      </w:r>
    </w:p>
    <w:p>
      <w:pPr>
        <w:pStyle w:val="ListParagraph"/>
        <w:numPr>
          <w:ilvl w:val="0"/>
          <w:numId w:val="2"/>
        </w:numPr>
        <w:spacing w:after="80"/>
      </w:pPr>
      <w:r>
        <w:rPr>
          <w:sz w:val="21"/>
          <w:szCs w:val="21"/>
        </w:rPr>
        <w:t xml:space="preserve">Mock mode also returns deterministic explanation payloads (signals + rationale tags) so the "Why this result" UI can be tested without AI inference.</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13. Error and Safety States</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600"/>
        <w:gridCol w:w="3400"/>
        <w:gridCol w:w="3360"/>
      </w:tblGrid>
      <w:tr>
        <w:trPr>
          <w:tblHeader/>
        </w:trPr>
        <w:tc>
          <w:tcPr>
            <w:tcW w:type="dxa" w:w="2600"/>
            <w:shd w:fill="1F3B4D" w:color="auto" w:val="clear"/>
            <w:tcMar>
              <w:top w:type="dxa" w:w="80"/>
              <w:left w:type="dxa" w:w="110"/>
              <w:bottom w:type="dxa" w:w="80"/>
              <w:right w:type="dxa" w:w="110"/>
            </w:tcMar>
            <w:vAlign w:val="center"/>
          </w:tcPr>
          <w:p>
            <w:pPr>
              <w:spacing w:after="40"/>
            </w:pPr>
            <w:r>
              <w:rPr>
                <w:b/>
                <w:bCs/>
                <w:color w:val="FFFFFF"/>
                <w:sz w:val="19"/>
                <w:szCs w:val="19"/>
              </w:rPr>
              <w:t xml:space="preserve">Situation</w:t>
            </w:r>
          </w:p>
        </w:tc>
        <w:tc>
          <w:tcPr>
            <w:tcW w:type="dxa" w:w="3400"/>
            <w:shd w:fill="1F3B4D" w:color="auto" w:val="clear"/>
            <w:tcMar>
              <w:top w:type="dxa" w:w="80"/>
              <w:left w:type="dxa" w:w="110"/>
              <w:bottom w:type="dxa" w:w="80"/>
              <w:right w:type="dxa" w:w="110"/>
            </w:tcMar>
            <w:vAlign w:val="center"/>
          </w:tcPr>
          <w:p>
            <w:pPr>
              <w:spacing w:after="40"/>
            </w:pPr>
            <w:r>
              <w:rPr>
                <w:b/>
                <w:bCs/>
                <w:color w:val="FFFFFF"/>
                <w:sz w:val="19"/>
                <w:szCs w:val="19"/>
              </w:rPr>
              <w:t xml:space="preserve">Frontend</w:t>
            </w:r>
          </w:p>
        </w:tc>
        <w:tc>
          <w:tcPr>
            <w:tcW w:type="dxa" w:w="3360"/>
            <w:shd w:fill="1F3B4D" w:color="auto" w:val="clear"/>
            <w:tcMar>
              <w:top w:type="dxa" w:w="80"/>
              <w:left w:type="dxa" w:w="110"/>
              <w:bottom w:type="dxa" w:w="80"/>
              <w:right w:type="dxa" w:w="110"/>
            </w:tcMar>
            <w:vAlign w:val="center"/>
          </w:tcPr>
          <w:p>
            <w:pPr>
              <w:spacing w:after="40"/>
            </w:pPr>
            <w:r>
              <w:rPr>
                <w:b/>
                <w:bCs/>
                <w:color w:val="FFFFFF"/>
                <w:sz w:val="19"/>
                <w:szCs w:val="19"/>
              </w:rPr>
              <w:t xml:space="preserve">Backend</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No mic permission</w:t>
            </w:r>
          </w:p>
        </w:tc>
        <w:tc>
          <w:tcPr>
            <w:tcW w:type="dxa" w:w="3400"/>
            <w:tcMar>
              <w:top w:type="dxa" w:w="80"/>
              <w:left w:type="dxa" w:w="110"/>
              <w:bottom w:type="dxa" w:w="80"/>
              <w:right w:type="dxa" w:w="110"/>
            </w:tcMar>
            <w:vAlign w:val="center"/>
          </w:tcPr>
          <w:p>
            <w:pPr>
              <w:spacing w:after="40"/>
            </w:pPr>
            <w:r>
              <w:rPr>
                <w:b w:val="false"/>
                <w:bCs w:val="false"/>
                <w:color w:val="262B2B"/>
                <w:sz w:val="19"/>
                <w:szCs w:val="19"/>
              </w:rPr>
              <w:t xml:space="preserve">Explain permission requirement; do not start.</w:t>
            </w:r>
          </w:p>
        </w:tc>
        <w:tc>
          <w:tcPr>
            <w:tcW w:type="dxa" w:w="3360"/>
            <w:tcMar>
              <w:top w:type="dxa" w:w="80"/>
              <w:left w:type="dxa" w:w="110"/>
              <w:bottom w:type="dxa" w:w="80"/>
              <w:right w:type="dxa" w:w="110"/>
            </w:tcMar>
            <w:vAlign w:val="center"/>
          </w:tcPr>
          <w:p>
            <w:pPr>
              <w:spacing w:after="40"/>
            </w:pPr>
            <w:r>
              <w:rPr>
                <w:b w:val="false"/>
                <w:bCs w:val="false"/>
                <w:color w:val="262B2B"/>
                <w:sz w:val="19"/>
                <w:szCs w:val="19"/>
              </w:rPr>
              <w:t xml:space="preserve">No session.</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WebSocket unavailable</w:t>
            </w:r>
          </w:p>
        </w:tc>
        <w:tc>
          <w:tcPr>
            <w:tcW w:type="dxa" w:w="3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Connection Error / Retry.</w:t>
            </w:r>
          </w:p>
        </w:tc>
        <w:tc>
          <w:tcPr>
            <w:tcW w:type="dxa" w:w="33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No fake result.</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Malformed audio</w:t>
            </w:r>
          </w:p>
        </w:tc>
        <w:tc>
          <w:tcPr>
            <w:tcW w:type="dxa" w:w="3400"/>
            <w:tcMar>
              <w:top w:type="dxa" w:w="80"/>
              <w:left w:type="dxa" w:w="110"/>
              <w:bottom w:type="dxa" w:w="80"/>
              <w:right w:type="dxa" w:w="110"/>
            </w:tcMar>
            <w:vAlign w:val="center"/>
          </w:tcPr>
          <w:p>
            <w:pPr>
              <w:spacing w:after="40"/>
            </w:pPr>
            <w:r>
              <w:rPr>
                <w:b w:val="false"/>
                <w:bCs w:val="false"/>
                <w:color w:val="262B2B"/>
                <w:sz w:val="19"/>
                <w:szCs w:val="19"/>
              </w:rPr>
              <w:t xml:space="preserve">Audio Format Error.</w:t>
            </w:r>
          </w:p>
        </w:tc>
        <w:tc>
          <w:tcPr>
            <w:tcW w:type="dxa" w:w="3360"/>
            <w:tcMar>
              <w:top w:type="dxa" w:w="80"/>
              <w:left w:type="dxa" w:w="110"/>
              <w:bottom w:type="dxa" w:w="80"/>
              <w:right w:type="dxa" w:w="110"/>
            </w:tcMar>
            <w:vAlign w:val="center"/>
          </w:tcPr>
          <w:p>
            <w:pPr>
              <w:spacing w:after="40"/>
            </w:pPr>
            <w:r>
              <w:rPr>
                <w:b w:val="false"/>
                <w:bCs w:val="false"/>
                <w:color w:val="262B2B"/>
                <w:sz w:val="19"/>
                <w:szCs w:val="19"/>
              </w:rPr>
              <w:t xml:space="preserve">Reject/close safely.</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Insufficient speech</w:t>
            </w:r>
          </w:p>
        </w:tc>
        <w:tc>
          <w:tcPr>
            <w:tcW w:type="dxa" w:w="3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Listening / "Not enough speech".</w:t>
            </w:r>
          </w:p>
        </w:tc>
        <w:tc>
          <w:tcPr>
            <w:tcW w:type="dxa" w:w="33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Avoid forced verdict.</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Model failure</w:t>
            </w:r>
          </w:p>
        </w:tc>
        <w:tc>
          <w:tcPr>
            <w:tcW w:type="dxa" w:w="3400"/>
            <w:tcMar>
              <w:top w:type="dxa" w:w="80"/>
              <w:left w:type="dxa" w:w="110"/>
              <w:bottom w:type="dxa" w:w="80"/>
              <w:right w:type="dxa" w:w="110"/>
            </w:tcMar>
            <w:vAlign w:val="center"/>
          </w:tcPr>
          <w:p>
            <w:pPr>
              <w:spacing w:after="40"/>
            </w:pPr>
            <w:r>
              <w:rPr>
                <w:b w:val="false"/>
                <w:bCs w:val="false"/>
                <w:color w:val="262B2B"/>
                <w:sz w:val="19"/>
                <w:szCs w:val="19"/>
              </w:rPr>
              <w:t xml:space="preserve">Analysis Unavailable.</w:t>
            </w:r>
          </w:p>
        </w:tc>
        <w:tc>
          <w:tcPr>
            <w:tcW w:type="dxa" w:w="3360"/>
            <w:tcMar>
              <w:top w:type="dxa" w:w="80"/>
              <w:left w:type="dxa" w:w="110"/>
              <w:bottom w:type="dxa" w:w="80"/>
              <w:right w:type="dxa" w:w="110"/>
            </w:tcMar>
            <w:vAlign w:val="center"/>
          </w:tcPr>
          <w:p>
            <w:pPr>
              <w:spacing w:after="40"/>
            </w:pPr>
            <w:r>
              <w:rPr>
                <w:b w:val="false"/>
                <w:bCs w:val="false"/>
                <w:color w:val="262B2B"/>
                <w:sz w:val="19"/>
                <w:szCs w:val="19"/>
              </w:rPr>
              <w:t xml:space="preserve">Safe diagnostic metadata only.</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Overload</w:t>
            </w:r>
          </w:p>
        </w:tc>
        <w:tc>
          <w:tcPr>
            <w:tcW w:type="dxa" w:w="3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Server Busy / Retry.</w:t>
            </w:r>
          </w:p>
        </w:tc>
        <w:tc>
          <w:tcPr>
            <w:tcW w:type="dxa" w:w="33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Bound concurrency/backpressure.</w:t>
            </w:r>
          </w:p>
        </w:tc>
      </w:tr>
      <w:tr>
        <w:tc>
          <w:tcPr>
            <w:tcW w:type="dxa" w:w="2600"/>
            <w:tcMar>
              <w:top w:type="dxa" w:w="80"/>
              <w:left w:type="dxa" w:w="110"/>
              <w:bottom w:type="dxa" w:w="80"/>
              <w:right w:type="dxa" w:w="110"/>
            </w:tcMar>
            <w:vAlign w:val="center"/>
          </w:tcPr>
          <w:p>
            <w:pPr>
              <w:spacing w:after="40"/>
            </w:pPr>
            <w:r>
              <w:rPr>
                <w:b w:val="false"/>
                <w:bCs w:val="false"/>
                <w:color w:val="262B2B"/>
                <w:sz w:val="19"/>
                <w:szCs w:val="19"/>
              </w:rPr>
              <w:t xml:space="preserve">Unexpected disconnect</w:t>
            </w:r>
          </w:p>
        </w:tc>
        <w:tc>
          <w:tcPr>
            <w:tcW w:type="dxa" w:w="3400"/>
            <w:tcMar>
              <w:top w:type="dxa" w:w="80"/>
              <w:left w:type="dxa" w:w="110"/>
              <w:bottom w:type="dxa" w:w="80"/>
              <w:right w:type="dxa" w:w="110"/>
            </w:tcMar>
            <w:vAlign w:val="center"/>
          </w:tcPr>
          <w:p>
            <w:pPr>
              <w:spacing w:after="40"/>
            </w:pPr>
            <w:r>
              <w:rPr>
                <w:b w:val="false"/>
                <w:bCs w:val="false"/>
                <w:color w:val="262B2B"/>
                <w:sz w:val="19"/>
                <w:szCs w:val="19"/>
              </w:rPr>
              <w:t xml:space="preserve">Stop capture; show disconnected.</w:t>
            </w:r>
          </w:p>
        </w:tc>
        <w:tc>
          <w:tcPr>
            <w:tcW w:type="dxa" w:w="3360"/>
            <w:tcMar>
              <w:top w:type="dxa" w:w="80"/>
              <w:left w:type="dxa" w:w="110"/>
              <w:bottom w:type="dxa" w:w="80"/>
              <w:right w:type="dxa" w:w="110"/>
            </w:tcMar>
            <w:vAlign w:val="center"/>
          </w:tcPr>
          <w:p>
            <w:pPr>
              <w:spacing w:after="40"/>
            </w:pPr>
            <w:r>
              <w:rPr>
                <w:b w:val="false"/>
                <w:bCs w:val="false"/>
                <w:color w:val="262B2B"/>
                <w:sz w:val="19"/>
                <w:szCs w:val="19"/>
              </w:rPr>
              <w:t xml:space="preserve">Release buffers.</w:t>
            </w:r>
          </w:p>
        </w:tc>
      </w:tr>
      <w:tr>
        <w:tc>
          <w:tcPr>
            <w:tcW w:type="dxa" w:w="26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Explanation unavailable [NEW]</w:t>
            </w:r>
          </w:p>
        </w:tc>
        <w:tc>
          <w:tcPr>
            <w:tcW w:type="dxa" w:w="34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Show verdict/score with an "Explanation unavailable" label instead of the rationale panel.</w:t>
            </w:r>
          </w:p>
        </w:tc>
        <w:tc>
          <w:tcPr>
            <w:tcW w:type="dxa" w:w="33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Return the result without an explanation object; never fabricate one.</w:t>
            </w:r>
          </w:p>
        </w:tc>
      </w:tr>
    </w:tbl>
    <w:p>
      <w:pPr>
        <w:pStyle w:val="Heading1"/>
        <w:pBdr>
          <w:bottom w:val="single" w:color="2E7D6E" w:sz="6" w:space="4"/>
        </w:pBdr>
        <w:spacing w:after="160" w:before="420"/>
      </w:pPr>
      <w:r>
        <w:rPr>
          <w:b/>
          <w:bCs/>
          <w:color w:val="1F3B4D"/>
          <w:sz w:val="30"/>
          <w:szCs w:val="30"/>
        </w:rPr>
        <w:t xml:space="preserve">14. Deployment Plan</w:t>
      </w:r>
    </w:p>
    <w:p>
      <w:pPr>
        <w:pStyle w:val="ListParagraph"/>
        <w:numPr>
          <w:ilvl w:val="0"/>
          <w:numId w:val="2"/>
        </w:numPr>
        <w:spacing w:after="80"/>
      </w:pPr>
      <w:r>
        <w:rPr>
          <w:sz w:val="21"/>
          <w:szCs w:val="21"/>
        </w:rPr>
        <w:t xml:space="preserve">1. Create the Next.js frontend and FastAPI backend locally.</w:t>
      </w:r>
    </w:p>
    <w:p>
      <w:pPr>
        <w:pStyle w:val="ListParagraph"/>
        <w:numPr>
          <w:ilvl w:val="0"/>
          <w:numId w:val="2"/>
        </w:numPr>
        <w:spacing w:after="80"/>
      </w:pPr>
      <w:r>
        <w:rPr>
          <w:sz w:val="21"/>
          <w:szCs w:val="21"/>
        </w:rPr>
        <w:t xml:space="preserve">2. Implement the WebSocket contract and mock mode (including the explanation payload).</w:t>
      </w:r>
      <w:r>
        <w:rPr>
          <w:b/>
          <w:bCs/>
          <w:color w:val="2E7D6E"/>
          <w:sz w:val="17"/>
          <w:szCs w:val="17"/>
        </w:rPr>
        <w:t xml:space="preserve">  [NEW]</w:t>
      </w:r>
    </w:p>
    <w:p>
      <w:pPr>
        <w:pStyle w:val="ListParagraph"/>
        <w:numPr>
          <w:ilvl w:val="0"/>
          <w:numId w:val="2"/>
        </w:numPr>
        <w:spacing w:after="80"/>
      </w:pPr>
      <w:r>
        <w:rPr>
          <w:sz w:val="21"/>
          <w:szCs w:val="21"/>
        </w:rPr>
        <w:t xml:space="preserve">3. Connect browser microphone streaming to the local backend.</w:t>
      </w:r>
    </w:p>
    <w:p>
      <w:pPr>
        <w:pStyle w:val="ListParagraph"/>
        <w:numPr>
          <w:ilvl w:val="0"/>
          <w:numId w:val="2"/>
        </w:numPr>
        <w:spacing w:after="80"/>
      </w:pPr>
      <w:r>
        <w:rPr>
          <w:sz w:val="21"/>
          <w:szCs w:val="21"/>
        </w:rPr>
        <w:t xml:space="preserve">4. Integrate and validate the AASIST baseline on the GPU.</w:t>
      </w:r>
    </w:p>
    <w:p>
      <w:pPr>
        <w:pStyle w:val="ListParagraph"/>
        <w:numPr>
          <w:ilvl w:val="0"/>
          <w:numId w:val="2"/>
        </w:numPr>
        <w:spacing w:after="80"/>
      </w:pPr>
      <w:r>
        <w:rPr>
          <w:sz w:val="21"/>
          <w:szCs w:val="21"/>
        </w:rPr>
        <w:t xml:space="preserve">5. Add Silero VAD and streaming windows.</w:t>
      </w:r>
    </w:p>
    <w:p>
      <w:pPr>
        <w:pStyle w:val="ListParagraph"/>
        <w:numPr>
          <w:ilvl w:val="0"/>
          <w:numId w:val="2"/>
        </w:numPr>
        <w:spacing w:after="80"/>
      </w:pPr>
      <w:r>
        <w:rPr>
          <w:sz w:val="21"/>
          <w:szCs w:val="21"/>
        </w:rPr>
        <w:t xml:space="preserve">6. Add SSL-AASIST, prosody analysis, and calibrated fusion.</w:t>
      </w:r>
    </w:p>
    <w:p>
      <w:pPr>
        <w:pStyle w:val="ListParagraph"/>
        <w:numPr>
          <w:ilvl w:val="0"/>
          <w:numId w:val="2"/>
        </w:numPr>
        <w:spacing w:after="80"/>
      </w:pPr>
      <w:r>
        <w:rPr>
          <w:sz w:val="21"/>
          <w:szCs w:val="21"/>
        </w:rPr>
        <w:t xml:space="preserve">7. Add the explainability payload (signal weights + rationale tags) to the fusion output and wire it into the UI panel.</w:t>
      </w:r>
      <w:r>
        <w:rPr>
          <w:b/>
          <w:bCs/>
          <w:color w:val="2E7D6E"/>
          <w:sz w:val="17"/>
          <w:szCs w:val="17"/>
        </w:rPr>
        <w:t xml:space="preserve">  [NEW]</w:t>
      </w:r>
    </w:p>
    <w:p>
      <w:pPr>
        <w:pStyle w:val="ListParagraph"/>
        <w:numPr>
          <w:ilvl w:val="0"/>
          <w:numId w:val="2"/>
        </w:numPr>
        <w:spacing w:after="80"/>
      </w:pPr>
      <w:r>
        <w:rPr>
          <w:sz w:val="21"/>
          <w:szCs w:val="21"/>
        </w:rPr>
        <w:t xml:space="preserve">8. Deploy the frontend to Vercel from Git.</w:t>
      </w:r>
    </w:p>
    <w:p>
      <w:pPr>
        <w:pStyle w:val="ListParagraph"/>
        <w:numPr>
          <w:ilvl w:val="0"/>
          <w:numId w:val="2"/>
        </w:numPr>
        <w:spacing w:after="80"/>
      </w:pPr>
      <w:r>
        <w:rPr>
          <w:sz w:val="21"/>
          <w:szCs w:val="21"/>
        </w:rPr>
        <w:t xml:space="preserve">9. Expose only the FastAPI service through a secure tunnel/custom API hostname.</w:t>
      </w:r>
    </w:p>
    <w:p>
      <w:pPr>
        <w:pStyle w:val="ListParagraph"/>
        <w:numPr>
          <w:ilvl w:val="0"/>
          <w:numId w:val="2"/>
        </w:numPr>
        <w:spacing w:after="80"/>
      </w:pPr>
      <w:r>
        <w:rPr>
          <w:sz w:val="21"/>
          <w:szCs w:val="21"/>
        </w:rPr>
        <w:t xml:space="preserve">10. Test browser → WSS → tunnel → FastAPI → GPU → JSON end-to-end, including the explanation payload.</w:t>
      </w:r>
      <w:r>
        <w:rPr>
          <w:b/>
          <w:bCs/>
          <w:color w:val="2E7D6E"/>
          <w:sz w:val="17"/>
          <w:szCs w:val="17"/>
        </w:rPr>
        <w:t xml:space="preserve">  [NEW]</w:t>
      </w:r>
    </w:p>
    <w:p>
      <w:pPr>
        <w:pStyle w:val="ListParagraph"/>
        <w:numPr>
          <w:ilvl w:val="0"/>
          <w:numId w:val="2"/>
        </w:numPr>
        <w:spacing w:after="80"/>
      </w:pPr>
      <w:r>
        <w:rPr>
          <w:sz w:val="21"/>
          <w:szCs w:val="21"/>
        </w:rPr>
        <w:t xml:space="preserve">11. Harden the demo with authentication/rate limits, resource limits, clear errors, and a demo-mode switch.</w:t>
      </w:r>
    </w:p>
    <w:p>
      <w:pPr>
        <w:pStyle w:val="ListParagraph"/>
        <w:numPr>
          <w:ilvl w:val="0"/>
          <w:numId w:val="2"/>
        </w:numPr>
        <w:spacing w:after="80"/>
      </w:pPr>
      <w:r>
        <w:rPr>
          <w:sz w:val="21"/>
          <w:szCs w:val="21"/>
        </w:rPr>
        <w:t xml:space="preserve">12. Rehearse with genuine and permitted synthetic/clone samples.</w:t>
      </w:r>
    </w:p>
    <w:p>
      <w:pPr>
        <w:pStyle w:val="Heading1"/>
        <w:pBdr>
          <w:bottom w:val="single" w:color="2E7D6E" w:sz="6" w:space="4"/>
        </w:pBdr>
        <w:spacing w:after="160" w:before="420"/>
      </w:pPr>
      <w:r>
        <w:rPr>
          <w:b/>
          <w:bCs/>
          <w:color w:val="1F3B4D"/>
          <w:sz w:val="30"/>
          <w:szCs w:val="30"/>
        </w:rPr>
        <w:t xml:space="preserve">15. MVP Acceptance Criteria</w:t>
      </w:r>
    </w:p>
    <w:p>
      <w:pPr>
        <w:pStyle w:val="ListParagraph"/>
        <w:numPr>
          <w:ilvl w:val="0"/>
          <w:numId w:val="2"/>
        </w:numPr>
        <w:spacing w:after="80"/>
      </w:pPr>
      <w:r>
        <w:rPr>
          <w:sz w:val="21"/>
          <w:szCs w:val="21"/>
        </w:rPr>
        <w:t xml:space="preserve">Public Vercel page opens successfully and requests microphone permission only after user action.</w:t>
      </w:r>
    </w:p>
    <w:p>
      <w:pPr>
        <w:pStyle w:val="ListParagraph"/>
        <w:numPr>
          <w:ilvl w:val="0"/>
          <w:numId w:val="2"/>
        </w:numPr>
        <w:spacing w:after="80"/>
      </w:pPr>
      <w:r>
        <w:rPr>
          <w:sz w:val="21"/>
          <w:szCs w:val="21"/>
        </w:rPr>
        <w:t xml:space="preserve">Browser establishes the WebSocket and streams audio continuously in the agreed format.</w:t>
      </w:r>
    </w:p>
    <w:p>
      <w:pPr>
        <w:pStyle w:val="ListParagraph"/>
        <w:numPr>
          <w:ilvl w:val="0"/>
          <w:numId w:val="2"/>
        </w:numPr>
        <w:spacing w:after="80"/>
      </w:pPr>
      <w:r>
        <w:rPr>
          <w:sz w:val="21"/>
          <w:szCs w:val="21"/>
        </w:rPr>
        <w:t xml:space="preserve">FastAPI receives and processes audio on the GPU without saving raw audio.</w:t>
      </w:r>
    </w:p>
    <w:p>
      <w:pPr>
        <w:pStyle w:val="ListParagraph"/>
        <w:numPr>
          <w:ilvl w:val="0"/>
          <w:numId w:val="2"/>
        </w:numPr>
        <w:spacing w:after="80"/>
      </w:pPr>
      <w:r>
        <w:rPr>
          <w:sz w:val="21"/>
          <w:szCs w:val="21"/>
        </w:rPr>
        <w:t xml:space="preserve">AASIST baseline produces a real inference result.</w:t>
      </w:r>
    </w:p>
    <w:p>
      <w:pPr>
        <w:pStyle w:val="ListParagraph"/>
        <w:numPr>
          <w:ilvl w:val="0"/>
          <w:numId w:val="2"/>
        </w:numPr>
        <w:spacing w:after="80"/>
      </w:pPr>
      <w:r>
        <w:rPr>
          <w:sz w:val="21"/>
          <w:szCs w:val="21"/>
        </w:rPr>
        <w:t xml:space="preserve">Frontend receives valid JSON and updates risk/verdict in near real time.</w:t>
      </w:r>
    </w:p>
    <w:p>
      <w:pPr>
        <w:pStyle w:val="ListParagraph"/>
        <w:numPr>
          <w:ilvl w:val="0"/>
          <w:numId w:val="2"/>
        </w:numPr>
        <w:spacing w:after="80"/>
      </w:pPr>
      <w:r>
        <w:rPr>
          <w:sz w:val="21"/>
          <w:szCs w:val="21"/>
        </w:rPr>
        <w:t xml:space="preserve">Disconnects, malformed input, model failures, and overload are handled safely.</w:t>
      </w:r>
    </w:p>
    <w:p>
      <w:pPr>
        <w:pStyle w:val="ListParagraph"/>
        <w:numPr>
          <w:ilvl w:val="0"/>
          <w:numId w:val="2"/>
        </w:numPr>
        <w:spacing w:after="80"/>
      </w:pPr>
      <w:r>
        <w:rPr>
          <w:sz w:val="21"/>
          <w:szCs w:val="21"/>
        </w:rPr>
        <w:t xml:space="preserve">Demo clearly distinguishes genuine and synthetic/clone test samples.</w:t>
      </w:r>
    </w:p>
    <w:p>
      <w:pPr>
        <w:pStyle w:val="ListParagraph"/>
        <w:numPr>
          <w:ilvl w:val="0"/>
          <w:numId w:val="2"/>
        </w:numPr>
        <w:spacing w:after="80"/>
      </w:pPr>
      <w:r>
        <w:rPr>
          <w:sz w:val="21"/>
          <w:szCs w:val="21"/>
        </w:rPr>
        <w:t xml:space="preserve">No raw audio is written to disk or database during normal operation.</w:t>
      </w:r>
    </w:p>
    <w:p>
      <w:pPr>
        <w:pStyle w:val="ListParagraph"/>
        <w:numPr>
          <w:ilvl w:val="0"/>
          <w:numId w:val="2"/>
        </w:numPr>
        <w:spacing w:after="80"/>
      </w:pPr>
      <w:r>
        <w:rPr>
          <w:sz w:val="21"/>
          <w:szCs w:val="21"/>
        </w:rPr>
        <w:t xml:space="preserve">Public exposure is limited to the required application/API surface.</w:t>
      </w:r>
    </w:p>
    <w:p>
      <w:pPr>
        <w:pStyle w:val="ListParagraph"/>
        <w:numPr>
          <w:ilvl w:val="0"/>
          <w:numId w:val="2"/>
        </w:numPr>
        <w:spacing w:after="80"/>
      </w:pPr>
      <w:r>
        <w:rPr>
          <w:sz w:val="21"/>
          <w:szCs w:val="21"/>
        </w:rPr>
        <w:t xml:space="preserve">Performance claims are backed by a documented held-out validation set.</w:t>
      </w:r>
    </w:p>
    <w:p>
      <w:pPr>
        <w:pStyle w:val="ListParagraph"/>
        <w:numPr>
          <w:ilvl w:val="0"/>
          <w:numId w:val="2"/>
        </w:numPr>
        <w:spacing w:after="80"/>
      </w:pPr>
      <w:r>
        <w:rPr>
          <w:sz w:val="21"/>
          <w:szCs w:val="21"/>
        </w:rPr>
        <w:t xml:space="preserve">Every rendered verdict is accompanied by a dominant-signal explanation panel, or an explicit "Explanation unavailable" state — never a bare number with no attribution.</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16. Suggested Repository Structure</w:t>
      </w:r>
    </w:p>
    <w:p>
      <w:pPr>
        <w:spacing w:after="220" w:before="60"/>
      </w:pPr>
      <w:r>
        <w:rPr>
          <w:i/>
          <w:iCs/>
          <w:color w:val="5B6B6B"/>
          <w:sz w:val="19"/>
          <w:szCs w:val="19"/>
        </w:rPr>
        <w:t xml:space="preserve">The source master document presents a repository tree as a figure that did not extract as text. The structure below is a proposed, reconstructed layout — including a new explainability module — for reconciliation against the original.</w:t>
      </w:r>
    </w:p>
    <w:p>
      <w:pPr>
        <w:shd w:fill="F2F6F5" w:color="auto" w:val="clear"/>
        <w:spacing w:after="0"/>
      </w:pPr>
      <w:r>
        <w:rPr>
          <w:rFonts w:ascii="Consolas" w:cs="Consolas" w:eastAsia="Consolas" w:hAnsi="Consolas"/>
          <w:color w:val="1F3B4D"/>
          <w:sz w:val="18"/>
          <w:szCs w:val="18"/>
        </w:rPr>
        <w:t xml:space="preserve">/frontend                  (Next.js)</w:t>
      </w:r>
    </w:p>
    <w:p>
      <w:pPr>
        <w:shd w:fill="F2F6F5" w:color="auto" w:val="clear"/>
        <w:spacing w:after="0"/>
      </w:pPr>
      <w:r>
        <w:rPr>
          <w:rFonts w:ascii="Consolas" w:cs="Consolas" w:eastAsia="Consolas" w:hAnsi="Consolas"/>
          <w:color w:val="1F3B4D"/>
          <w:sz w:val="18"/>
          <w:szCs w:val="18"/>
        </w:rPr>
        <w:t xml:space="preserve">  /components</w:t>
      </w:r>
    </w:p>
    <w:p>
      <w:pPr>
        <w:shd w:fill="F2F6F5" w:color="auto" w:val="clear"/>
        <w:spacing w:after="0"/>
      </w:pPr>
      <w:r>
        <w:rPr>
          <w:rFonts w:ascii="Consolas" w:cs="Consolas" w:eastAsia="Consolas" w:hAnsi="Consolas"/>
          <w:color w:val="1F3B4D"/>
          <w:sz w:val="18"/>
          <w:szCs w:val="18"/>
        </w:rPr>
        <w:t xml:space="preserve">    RiskGauge.tsx</w:t>
      </w:r>
    </w:p>
    <w:p>
      <w:pPr>
        <w:shd w:fill="F2F6F5" w:color="auto" w:val="clear"/>
        <w:spacing w:after="0"/>
      </w:pPr>
      <w:r>
        <w:rPr>
          <w:rFonts w:ascii="Consolas" w:cs="Consolas" w:eastAsia="Consolas" w:hAnsi="Consolas"/>
          <w:color w:val="1F3B4D"/>
          <w:sz w:val="18"/>
          <w:szCs w:val="18"/>
        </w:rPr>
        <w:t xml:space="preserve">    ConnectionStatus.tsx</w:t>
      </w:r>
    </w:p>
    <w:p>
      <w:pPr>
        <w:shd w:fill="F2F6F5" w:color="auto" w:val="clear"/>
        <w:spacing w:after="0"/>
      </w:pPr>
      <w:r>
        <w:rPr>
          <w:rFonts w:ascii="Consolas" w:cs="Consolas" w:eastAsia="Consolas" w:hAnsi="Consolas"/>
          <w:color w:val="1F3B4D"/>
          <w:sz w:val="18"/>
          <w:szCs w:val="18"/>
        </w:rPr>
        <w:t xml:space="preserve">    ResultPanel.tsx</w:t>
      </w:r>
    </w:p>
    <w:p>
      <w:pPr>
        <w:shd w:fill="F2F6F5" w:color="auto" w:val="clear"/>
        <w:spacing w:after="0"/>
      </w:pPr>
      <w:r>
        <w:rPr>
          <w:rFonts w:ascii="Consolas" w:cs="Consolas" w:eastAsia="Consolas" w:hAnsi="Consolas"/>
          <w:color w:val="1F3B4D"/>
          <w:sz w:val="18"/>
          <w:szCs w:val="18"/>
        </w:rPr>
        <w:t xml:space="preserve">    ExplanationPanel.tsx     [NEW]</w:t>
      </w:r>
    </w:p>
    <w:p>
      <w:pPr>
        <w:shd w:fill="F2F6F5" w:color="auto" w:val="clear"/>
        <w:spacing w:after="0"/>
      </w:pPr>
      <w:r>
        <w:rPr>
          <w:rFonts w:ascii="Consolas" w:cs="Consolas" w:eastAsia="Consolas" w:hAnsi="Consolas"/>
          <w:color w:val="1F3B4D"/>
          <w:sz w:val="18"/>
          <w:szCs w:val="18"/>
        </w:rPr>
        <w:t xml:space="preserve">  /lib/websocket-client.ts</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0"/>
      </w:pPr>
      <w:r>
        <w:rPr>
          <w:rFonts w:ascii="Consolas" w:cs="Consolas" w:eastAsia="Consolas" w:hAnsi="Consolas"/>
          <w:color w:val="1F3B4D"/>
          <w:sz w:val="18"/>
          <w:szCs w:val="18"/>
        </w:rPr>
        <w:t xml:space="preserve">/backend                   (FastAPI)</w:t>
      </w:r>
    </w:p>
    <w:p>
      <w:pPr>
        <w:shd w:fill="F2F6F5" w:color="auto" w:val="clear"/>
        <w:spacing w:after="0"/>
      </w:pPr>
      <w:r>
        <w:rPr>
          <w:rFonts w:ascii="Consolas" w:cs="Consolas" w:eastAsia="Consolas" w:hAnsi="Consolas"/>
          <w:color w:val="1F3B4D"/>
          <w:sz w:val="18"/>
          <w:szCs w:val="18"/>
        </w:rPr>
        <w:t xml:space="preserve">  /vad          (Silero VAD, windowing)</w:t>
      </w:r>
    </w:p>
    <w:p>
      <w:pPr>
        <w:shd w:fill="F2F6F5" w:color="auto" w:val="clear"/>
        <w:spacing w:after="0"/>
      </w:pPr>
      <w:r>
        <w:rPr>
          <w:rFonts w:ascii="Consolas" w:cs="Consolas" w:eastAsia="Consolas" w:hAnsi="Consolas"/>
          <w:color w:val="1F3B4D"/>
          <w:sz w:val="18"/>
          <w:szCs w:val="18"/>
        </w:rPr>
        <w:t xml:space="preserve">  /detectors</w:t>
      </w:r>
    </w:p>
    <w:p>
      <w:pPr>
        <w:shd w:fill="F2F6F5" w:color="auto" w:val="clear"/>
        <w:spacing w:after="0"/>
      </w:pPr>
      <w:r>
        <w:rPr>
          <w:rFonts w:ascii="Consolas" w:cs="Consolas" w:eastAsia="Consolas" w:hAnsi="Consolas"/>
          <w:color w:val="1F3B4D"/>
          <w:sz w:val="18"/>
          <w:szCs w:val="18"/>
        </w:rPr>
        <w:t xml:space="preserve">    aasist.py</w:t>
      </w:r>
    </w:p>
    <w:p>
      <w:pPr>
        <w:shd w:fill="F2F6F5" w:color="auto" w:val="clear"/>
        <w:spacing w:after="0"/>
      </w:pPr>
      <w:r>
        <w:rPr>
          <w:rFonts w:ascii="Consolas" w:cs="Consolas" w:eastAsia="Consolas" w:hAnsi="Consolas"/>
          <w:color w:val="1F3B4D"/>
          <w:sz w:val="18"/>
          <w:szCs w:val="18"/>
        </w:rPr>
        <w:t xml:space="preserve">    ssl_aasist.py</w:t>
      </w:r>
    </w:p>
    <w:p>
      <w:pPr>
        <w:shd w:fill="F2F6F5" w:color="auto" w:val="clear"/>
        <w:spacing w:after="0"/>
      </w:pPr>
      <w:r>
        <w:rPr>
          <w:rFonts w:ascii="Consolas" w:cs="Consolas" w:eastAsia="Consolas" w:hAnsi="Consolas"/>
          <w:color w:val="1F3B4D"/>
          <w:sz w:val="18"/>
          <w:szCs w:val="18"/>
        </w:rPr>
        <w:t xml:space="preserve">    prosody.py</w:t>
      </w:r>
    </w:p>
    <w:p>
      <w:pPr>
        <w:shd w:fill="F2F6F5" w:color="auto" w:val="clear"/>
        <w:spacing w:after="0"/>
      </w:pPr>
      <w:r>
        <w:rPr>
          <w:rFonts w:ascii="Consolas" w:cs="Consolas" w:eastAsia="Consolas" w:hAnsi="Consolas"/>
          <w:color w:val="1F3B4D"/>
          <w:sz w:val="18"/>
          <w:szCs w:val="18"/>
        </w:rPr>
        <w:t xml:space="preserve">  /fusion       (logistic regression / small MLP)</w:t>
      </w:r>
    </w:p>
    <w:p>
      <w:pPr>
        <w:shd w:fill="F2F6F5" w:color="auto" w:val="clear"/>
        <w:spacing w:after="0"/>
      </w:pPr>
      <w:r>
        <w:rPr>
          <w:rFonts w:ascii="Consolas" w:cs="Consolas" w:eastAsia="Consolas" w:hAnsi="Consolas"/>
          <w:color w:val="1F3B4D"/>
          <w:sz w:val="18"/>
          <w:szCs w:val="18"/>
        </w:rPr>
        <w:t xml:space="preserve">  /explainability            [NEW]</w:t>
      </w:r>
    </w:p>
    <w:p>
      <w:pPr>
        <w:shd w:fill="F2F6F5" w:color="auto" w:val="clear"/>
        <w:spacing w:after="0"/>
      </w:pPr>
      <w:r>
        <w:rPr>
          <w:rFonts w:ascii="Consolas" w:cs="Consolas" w:eastAsia="Consolas" w:hAnsi="Consolas"/>
          <w:color w:val="1F3B4D"/>
          <w:sz w:val="18"/>
          <w:szCs w:val="18"/>
        </w:rPr>
        <w:t xml:space="preserve">    tag_vocabulary.py</w:t>
      </w:r>
    </w:p>
    <w:p>
      <w:pPr>
        <w:shd w:fill="F2F6F5" w:color="auto" w:val="clear"/>
        <w:spacing w:after="0"/>
      </w:pPr>
      <w:r>
        <w:rPr>
          <w:rFonts w:ascii="Consolas" w:cs="Consolas" w:eastAsia="Consolas" w:hAnsi="Consolas"/>
          <w:color w:val="1F3B4D"/>
          <w:sz w:val="18"/>
          <w:szCs w:val="18"/>
        </w:rPr>
        <w:t xml:space="preserve">    weight_normalizer.py</w:t>
      </w:r>
    </w:p>
    <w:p>
      <w:pPr>
        <w:shd w:fill="F2F6F5" w:color="auto" w:val="clear"/>
        <w:spacing w:after="0"/>
      </w:pPr>
      <w:r>
        <w:rPr>
          <w:rFonts w:ascii="Consolas" w:cs="Consolas" w:eastAsia="Consolas" w:hAnsi="Consolas"/>
          <w:color w:val="1F3B4D"/>
          <w:sz w:val="18"/>
          <w:szCs w:val="18"/>
        </w:rPr>
        <w:t xml:space="preserve">  /websocket    (session mgmt, contract)</w:t>
      </w:r>
    </w:p>
    <w:p>
      <w:pPr>
        <w:shd w:fill="F2F6F5" w:color="auto" w:val="clear"/>
        <w:spacing w:after="0"/>
      </w:pPr>
      <w:r>
        <w:rPr>
          <w:rFonts w:ascii="Consolas" w:cs="Consolas" w:eastAsia="Consolas" w:hAnsi="Consolas"/>
          <w:color w:val="1F3B4D"/>
          <w:sz w:val="18"/>
          <w:szCs w:val="18"/>
        </w:rPr>
        <w:t xml:space="preserve">  /sandbox      (mock mode, test fixtures)</w:t>
      </w:r>
    </w:p>
    <w:p>
      <w:pPr>
        <w:shd w:fill="F2F6F5" w:color="auto" w:val="clear"/>
        <w:spacing w:after="0"/>
      </w:pPr>
      <w:r>
        <w:rPr>
          <w:rFonts w:ascii="Consolas" w:cs="Consolas" w:eastAsia="Consolas" w:hAnsi="Consolas"/>
          <w:color w:val="1F3B4D"/>
          <w:sz w:val="18"/>
          <w:szCs w:val="18"/>
        </w:rPr>
        <w:t xml:space="preserve"> </w:t>
      </w:r>
    </w:p>
    <w:p>
      <w:pPr>
        <w:shd w:fill="F2F6F5" w:color="auto" w:val="clear"/>
        <w:spacing w:after="200"/>
      </w:pPr>
      <w:r>
        <w:rPr>
          <w:rFonts w:ascii="Consolas" w:cs="Consolas" w:eastAsia="Consolas" w:hAnsi="Consolas"/>
          <w:color w:val="1F3B4D"/>
          <w:sz w:val="18"/>
          <w:szCs w:val="18"/>
        </w:rPr>
        <w:t xml:space="preserve">/test-audio     (provenance + permission status per sample)</w:t>
      </w:r>
    </w:p>
    <w:p>
      <w:pPr>
        <w:pStyle w:val="Heading1"/>
        <w:pBdr>
          <w:bottom w:val="single" w:color="2E7D6E" w:sz="6" w:space="4"/>
        </w:pBdr>
        <w:spacing w:after="160" w:before="420"/>
      </w:pPr>
      <w:r>
        <w:rPr>
          <w:b/>
          <w:bCs/>
          <w:color w:val="1F3B4D"/>
          <w:sz w:val="30"/>
          <w:szCs w:val="30"/>
        </w:rPr>
        <w:t xml:space="preserve">17. Model Rollout Strategy</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1500"/>
        <w:gridCol w:w="3700"/>
        <w:gridCol w:w="4160"/>
      </w:tblGrid>
      <w:tr>
        <w:trPr>
          <w:tblHeader/>
        </w:trPr>
        <w:tc>
          <w:tcPr>
            <w:tcW w:type="dxa" w:w="1500"/>
            <w:shd w:fill="1F3B4D" w:color="auto" w:val="clear"/>
            <w:tcMar>
              <w:top w:type="dxa" w:w="80"/>
              <w:left w:type="dxa" w:w="110"/>
              <w:bottom w:type="dxa" w:w="80"/>
              <w:right w:type="dxa" w:w="110"/>
            </w:tcMar>
            <w:vAlign w:val="center"/>
          </w:tcPr>
          <w:p>
            <w:pPr>
              <w:spacing w:after="40"/>
            </w:pPr>
            <w:r>
              <w:rPr>
                <w:b/>
                <w:bCs/>
                <w:color w:val="FFFFFF"/>
                <w:sz w:val="19"/>
                <w:szCs w:val="19"/>
              </w:rPr>
              <w:t xml:space="preserve">Milestone</w:t>
            </w:r>
          </w:p>
        </w:tc>
        <w:tc>
          <w:tcPr>
            <w:tcW w:type="dxa" w:w="3700"/>
            <w:shd w:fill="1F3B4D" w:color="auto" w:val="clear"/>
            <w:tcMar>
              <w:top w:type="dxa" w:w="80"/>
              <w:left w:type="dxa" w:w="110"/>
              <w:bottom w:type="dxa" w:w="80"/>
              <w:right w:type="dxa" w:w="110"/>
            </w:tcMar>
            <w:vAlign w:val="center"/>
          </w:tcPr>
          <w:p>
            <w:pPr>
              <w:spacing w:after="40"/>
            </w:pPr>
            <w:r>
              <w:rPr>
                <w:b/>
                <w:bCs/>
                <w:color w:val="FFFFFF"/>
                <w:sz w:val="19"/>
                <w:szCs w:val="19"/>
              </w:rPr>
              <w:t xml:space="preserve">Capability</w:t>
            </w:r>
          </w:p>
        </w:tc>
        <w:tc>
          <w:tcPr>
            <w:tcW w:type="dxa" w:w="4160"/>
            <w:shd w:fill="1F3B4D" w:color="auto" w:val="clear"/>
            <w:tcMar>
              <w:top w:type="dxa" w:w="80"/>
              <w:left w:type="dxa" w:w="110"/>
              <w:bottom w:type="dxa" w:w="80"/>
              <w:right w:type="dxa" w:w="110"/>
            </w:tcMar>
            <w:vAlign w:val="center"/>
          </w:tcPr>
          <w:p>
            <w:pPr>
              <w:spacing w:after="40"/>
            </w:pPr>
            <w:r>
              <w:rPr>
                <w:b/>
                <w:bCs/>
                <w:color w:val="FFFFFF"/>
                <w:sz w:val="19"/>
                <w:szCs w:val="19"/>
              </w:rPr>
              <w:t xml:space="preserve">Exit Condition</w:t>
            </w:r>
          </w:p>
        </w:tc>
      </w:tr>
      <w:tr>
        <w:tc>
          <w:tcPr>
            <w:tcW w:type="dxa" w:w="1500"/>
            <w:tcMar>
              <w:top w:type="dxa" w:w="80"/>
              <w:left w:type="dxa" w:w="110"/>
              <w:bottom w:type="dxa" w:w="80"/>
              <w:right w:type="dxa" w:w="110"/>
            </w:tcMar>
            <w:vAlign w:val="center"/>
          </w:tcPr>
          <w:p>
            <w:pPr>
              <w:spacing w:after="40"/>
            </w:pPr>
            <w:r>
              <w:rPr>
                <w:b w:val="false"/>
                <w:bCs w:val="false"/>
                <w:color w:val="262B2B"/>
                <w:sz w:val="19"/>
                <w:szCs w:val="19"/>
              </w:rPr>
              <w:t xml:space="preserve">M0</w:t>
            </w:r>
          </w:p>
        </w:tc>
        <w:tc>
          <w:tcPr>
            <w:tcW w:type="dxa" w:w="3700"/>
            <w:tcMar>
              <w:top w:type="dxa" w:w="80"/>
              <w:left w:type="dxa" w:w="110"/>
              <w:bottom w:type="dxa" w:w="80"/>
              <w:right w:type="dxa" w:w="110"/>
            </w:tcMar>
            <w:vAlign w:val="center"/>
          </w:tcPr>
          <w:p>
            <w:pPr>
              <w:spacing w:after="40"/>
            </w:pPr>
            <w:r>
              <w:rPr>
                <w:b w:val="false"/>
                <w:bCs w:val="false"/>
                <w:color w:val="262B2B"/>
                <w:sz w:val="19"/>
                <w:szCs w:val="19"/>
              </w:rPr>
              <w:t xml:space="preserve">Mock WebSocket responses</w:t>
            </w:r>
          </w:p>
        </w:tc>
        <w:tc>
          <w:tcPr>
            <w:tcW w:type="dxa" w:w="4160"/>
            <w:tcMar>
              <w:top w:type="dxa" w:w="80"/>
              <w:left w:type="dxa" w:w="110"/>
              <w:bottom w:type="dxa" w:w="80"/>
              <w:right w:type="dxa" w:w="110"/>
            </w:tcMar>
            <w:vAlign w:val="center"/>
          </w:tcPr>
          <w:p>
            <w:pPr>
              <w:spacing w:after="40"/>
            </w:pPr>
            <w:r>
              <w:rPr>
                <w:b w:val="false"/>
                <w:bCs w:val="false"/>
                <w:color w:val="262B2B"/>
                <w:sz w:val="19"/>
                <w:szCs w:val="19"/>
              </w:rPr>
              <w:t xml:space="preserve">Frontend renders all result/error states.</w:t>
            </w:r>
          </w:p>
        </w:tc>
      </w:tr>
      <w:tr>
        <w:tc>
          <w:tcPr>
            <w:tcW w:type="dxa" w:w="15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M1</w:t>
            </w:r>
          </w:p>
        </w:tc>
        <w:tc>
          <w:tcPr>
            <w:tcW w:type="dxa" w:w="3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AASIST baseline</w:t>
            </w:r>
          </w:p>
        </w:tc>
        <w:tc>
          <w:tcPr>
            <w:tcW w:type="dxa" w:w="41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Real vs synthetic sample works end-to-end on GPU.</w:t>
            </w:r>
          </w:p>
        </w:tc>
      </w:tr>
      <w:tr>
        <w:tc>
          <w:tcPr>
            <w:tcW w:type="dxa" w:w="1500"/>
            <w:tcMar>
              <w:top w:type="dxa" w:w="80"/>
              <w:left w:type="dxa" w:w="110"/>
              <w:bottom w:type="dxa" w:w="80"/>
              <w:right w:type="dxa" w:w="110"/>
            </w:tcMar>
            <w:vAlign w:val="center"/>
          </w:tcPr>
          <w:p>
            <w:pPr>
              <w:spacing w:after="40"/>
            </w:pPr>
            <w:r>
              <w:rPr>
                <w:b w:val="false"/>
                <w:bCs w:val="false"/>
                <w:color w:val="262B2B"/>
                <w:sz w:val="19"/>
                <w:szCs w:val="19"/>
              </w:rPr>
              <w:t xml:space="preserve">M2</w:t>
            </w:r>
          </w:p>
        </w:tc>
        <w:tc>
          <w:tcPr>
            <w:tcW w:type="dxa" w:w="3700"/>
            <w:tcMar>
              <w:top w:type="dxa" w:w="80"/>
              <w:left w:type="dxa" w:w="110"/>
              <w:bottom w:type="dxa" w:w="80"/>
              <w:right w:type="dxa" w:w="110"/>
            </w:tcMar>
            <w:vAlign w:val="center"/>
          </w:tcPr>
          <w:p>
            <w:pPr>
              <w:spacing w:after="40"/>
            </w:pPr>
            <w:r>
              <w:rPr>
                <w:b w:val="false"/>
                <w:bCs w:val="false"/>
                <w:color w:val="262B2B"/>
                <w:sz w:val="19"/>
                <w:szCs w:val="19"/>
              </w:rPr>
              <w:t xml:space="preserve">Silero VAD + streaming windows</w:t>
            </w:r>
          </w:p>
        </w:tc>
        <w:tc>
          <w:tcPr>
            <w:tcW w:type="dxa" w:w="4160"/>
            <w:tcMar>
              <w:top w:type="dxa" w:w="80"/>
              <w:left w:type="dxa" w:w="110"/>
              <w:bottom w:type="dxa" w:w="80"/>
              <w:right w:type="dxa" w:w="110"/>
            </w:tcMar>
            <w:vAlign w:val="center"/>
          </w:tcPr>
          <w:p>
            <w:pPr>
              <w:spacing w:after="40"/>
            </w:pPr>
            <w:r>
              <w:rPr>
                <w:b w:val="false"/>
                <w:bCs w:val="false"/>
                <w:color w:val="262B2B"/>
                <w:sz w:val="19"/>
                <w:szCs w:val="19"/>
              </w:rPr>
              <w:t xml:space="preserve">Continuous mic stream works without full-file upload.</w:t>
            </w:r>
          </w:p>
        </w:tc>
      </w:tr>
      <w:tr>
        <w:tc>
          <w:tcPr>
            <w:tcW w:type="dxa" w:w="15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M3</w:t>
            </w:r>
          </w:p>
        </w:tc>
        <w:tc>
          <w:tcPr>
            <w:tcW w:type="dxa" w:w="3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SSL-AASIST + prosody/XGBoost</w:t>
            </w:r>
          </w:p>
        </w:tc>
        <w:tc>
          <w:tcPr>
            <w:tcW w:type="dxa" w:w="41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Multiple independent scores are available.</w:t>
            </w:r>
          </w:p>
        </w:tc>
      </w:tr>
      <w:tr>
        <w:tc>
          <w:tcPr>
            <w:tcW w:type="dxa" w:w="1500"/>
            <w:tcMar>
              <w:top w:type="dxa" w:w="80"/>
              <w:left w:type="dxa" w:w="110"/>
              <w:bottom w:type="dxa" w:w="80"/>
              <w:right w:type="dxa" w:w="110"/>
            </w:tcMar>
            <w:vAlign w:val="center"/>
          </w:tcPr>
          <w:p>
            <w:pPr>
              <w:spacing w:after="40"/>
            </w:pPr>
            <w:r>
              <w:rPr>
                <w:b w:val="false"/>
                <w:bCs w:val="false"/>
                <w:color w:val="262B2B"/>
                <w:sz w:val="19"/>
                <w:szCs w:val="19"/>
              </w:rPr>
              <w:t xml:space="preserve">M4</w:t>
            </w:r>
          </w:p>
        </w:tc>
        <w:tc>
          <w:tcPr>
            <w:tcW w:type="dxa" w:w="3700"/>
            <w:tcMar>
              <w:top w:type="dxa" w:w="80"/>
              <w:left w:type="dxa" w:w="110"/>
              <w:bottom w:type="dxa" w:w="80"/>
              <w:right w:type="dxa" w:w="110"/>
            </w:tcMar>
            <w:vAlign w:val="center"/>
          </w:tcPr>
          <w:p>
            <w:pPr>
              <w:spacing w:after="40"/>
            </w:pPr>
            <w:r>
              <w:rPr>
                <w:b w:val="false"/>
                <w:bCs w:val="false"/>
                <w:color w:val="262B2B"/>
                <w:sz w:val="19"/>
                <w:szCs w:val="19"/>
              </w:rPr>
              <w:t xml:space="preserve">Calibrated fusion</w:t>
            </w:r>
          </w:p>
        </w:tc>
        <w:tc>
          <w:tcPr>
            <w:tcW w:type="dxa" w:w="4160"/>
            <w:tcMar>
              <w:top w:type="dxa" w:w="80"/>
              <w:left w:type="dxa" w:w="110"/>
              <w:bottom w:type="dxa" w:w="80"/>
              <w:right w:type="dxa" w:w="110"/>
            </w:tcMar>
            <w:vAlign w:val="center"/>
          </w:tcPr>
          <w:p>
            <w:pPr>
              <w:spacing w:after="40"/>
            </w:pPr>
            <w:r>
              <w:rPr>
                <w:b w:val="false"/>
                <w:bCs w:val="false"/>
                <w:color w:val="262B2B"/>
                <w:sz w:val="19"/>
                <w:szCs w:val="19"/>
              </w:rPr>
              <w:t xml:space="preserve">Risk score is calibrated on a labelled validation set.</w:t>
            </w:r>
          </w:p>
        </w:tc>
      </w:tr>
      <w:tr>
        <w:tc>
          <w:tcPr>
            <w:tcW w:type="dxa" w:w="15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M4.5 [NEW]</w:t>
            </w:r>
          </w:p>
        </w:tc>
        <w:tc>
          <w:tcPr>
            <w:tcW w:type="dxa" w:w="37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Explainability payload</w:t>
            </w:r>
          </w:p>
        </w:tc>
        <w:tc>
          <w:tcPr>
            <w:tcW w:type="dxa" w:w="41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Signal breakdown + rationale tags render correctly in the UI for both REAL- and FAKE-labeled test samples.</w:t>
            </w:r>
          </w:p>
        </w:tc>
      </w:tr>
      <w:tr>
        <w:tc>
          <w:tcPr>
            <w:tcW w:type="dxa" w:w="1500"/>
            <w:tcMar>
              <w:top w:type="dxa" w:w="80"/>
              <w:left w:type="dxa" w:w="110"/>
              <w:bottom w:type="dxa" w:w="80"/>
              <w:right w:type="dxa" w:w="110"/>
            </w:tcMar>
            <w:vAlign w:val="center"/>
          </w:tcPr>
          <w:p>
            <w:pPr>
              <w:spacing w:after="40"/>
            </w:pPr>
            <w:r>
              <w:rPr>
                <w:b w:val="false"/>
                <w:bCs w:val="false"/>
                <w:color w:val="262B2B"/>
                <w:sz w:val="19"/>
                <w:szCs w:val="19"/>
              </w:rPr>
              <w:t xml:space="preserve">M5</w:t>
            </w:r>
          </w:p>
        </w:tc>
        <w:tc>
          <w:tcPr>
            <w:tcW w:type="dxa" w:w="3700"/>
            <w:tcMar>
              <w:top w:type="dxa" w:w="80"/>
              <w:left w:type="dxa" w:w="110"/>
              <w:bottom w:type="dxa" w:w="80"/>
              <w:right w:type="dxa" w:w="110"/>
            </w:tcMar>
            <w:vAlign w:val="center"/>
          </w:tcPr>
          <w:p>
            <w:pPr>
              <w:spacing w:after="40"/>
            </w:pPr>
            <w:r>
              <w:rPr>
                <w:b w:val="false"/>
                <w:bCs w:val="false"/>
                <w:color w:val="262B2B"/>
                <w:sz w:val="19"/>
                <w:szCs w:val="19"/>
              </w:rPr>
              <w:t xml:space="preserve">Optional ECAPA/Whisper</w:t>
            </w:r>
          </w:p>
        </w:tc>
        <w:tc>
          <w:tcPr>
            <w:tcW w:type="dxa" w:w="4160"/>
            <w:tcMar>
              <w:top w:type="dxa" w:w="80"/>
              <w:left w:type="dxa" w:w="110"/>
              <w:bottom w:type="dxa" w:w="80"/>
              <w:right w:type="dxa" w:w="110"/>
            </w:tcMar>
            <w:vAlign w:val="center"/>
          </w:tcPr>
          <w:p>
            <w:pPr>
              <w:spacing w:after="40"/>
            </w:pPr>
            <w:r>
              <w:rPr>
                <w:b w:val="false"/>
                <w:bCs w:val="false"/>
                <w:color w:val="262B2B"/>
                <w:sz w:val="19"/>
                <w:szCs w:val="19"/>
              </w:rPr>
              <w:t xml:space="preserve">Added only if value and privacy/compute impact are demonstrated.</w:t>
            </w:r>
          </w:p>
        </w:tc>
      </w:tr>
    </w:tbl>
    <w:p>
      <w:pPr>
        <w:pStyle w:val="Heading1"/>
        <w:pBdr>
          <w:bottom w:val="single" w:color="2E7D6E" w:sz="6" w:space="4"/>
        </w:pBdr>
        <w:spacing w:after="160" w:before="420"/>
      </w:pPr>
      <w:r>
        <w:rPr>
          <w:b/>
          <w:bCs/>
          <w:color w:val="1F3B4D"/>
          <w:sz w:val="30"/>
          <w:szCs w:val="30"/>
        </w:rPr>
        <w:t xml:space="preserve">18. Evaluation Plan</w:t>
      </w:r>
    </w:p>
    <w:p>
      <w:pPr>
        <w:pStyle w:val="ListParagraph"/>
        <w:numPr>
          <w:ilvl w:val="0"/>
          <w:numId w:val="2"/>
        </w:numPr>
        <w:spacing w:after="80"/>
      </w:pPr>
      <w:r>
        <w:rPr>
          <w:sz w:val="21"/>
          <w:szCs w:val="21"/>
        </w:rPr>
        <w:t xml:space="preserve">Measure end-to-end latency from window completion to result rendering.</w:t>
      </w:r>
    </w:p>
    <w:p>
      <w:pPr>
        <w:pStyle w:val="ListParagraph"/>
        <w:numPr>
          <w:ilvl w:val="0"/>
          <w:numId w:val="2"/>
        </w:numPr>
        <w:spacing w:after="80"/>
      </w:pPr>
      <w:r>
        <w:rPr>
          <w:sz w:val="21"/>
          <w:szCs w:val="21"/>
        </w:rPr>
        <w:t xml:space="preserve">Measure detector performance separately from UI/network performance.</w:t>
      </w:r>
    </w:p>
    <w:p>
      <w:pPr>
        <w:pStyle w:val="ListParagraph"/>
        <w:numPr>
          <w:ilvl w:val="0"/>
          <w:numId w:val="2"/>
        </w:numPr>
        <w:spacing w:after="80"/>
      </w:pPr>
      <w:r>
        <w:rPr>
          <w:sz w:val="21"/>
          <w:szCs w:val="21"/>
        </w:rPr>
        <w:t xml:space="preserve">Measure false positives and false negatives; do not rely on accuracy alone.</w:t>
      </w:r>
    </w:p>
    <w:p>
      <w:pPr>
        <w:pStyle w:val="ListParagraph"/>
        <w:numPr>
          <w:ilvl w:val="0"/>
          <w:numId w:val="2"/>
        </w:numPr>
        <w:spacing w:after="80"/>
      </w:pPr>
      <w:r>
        <w:rPr>
          <w:sz w:val="21"/>
          <w:szCs w:val="21"/>
        </w:rPr>
        <w:t xml:space="preserve">Use an appropriately held-out validation set for performance claims.</w:t>
      </w:r>
    </w:p>
    <w:p>
      <w:pPr>
        <w:pStyle w:val="ListParagraph"/>
        <w:numPr>
          <w:ilvl w:val="0"/>
          <w:numId w:val="2"/>
        </w:numPr>
        <w:spacing w:after="80"/>
      </w:pPr>
      <w:r>
        <w:rPr>
          <w:sz w:val="21"/>
          <w:szCs w:val="21"/>
        </w:rPr>
        <w:t xml:space="preserve">Evaluate genuine and synthetic/clone samples across the languages/accents represented in the dataset.</w:t>
      </w:r>
    </w:p>
    <w:p>
      <w:pPr>
        <w:pStyle w:val="ListParagraph"/>
        <w:numPr>
          <w:ilvl w:val="0"/>
          <w:numId w:val="2"/>
        </w:numPr>
        <w:spacing w:after="80"/>
      </w:pPr>
      <w:r>
        <w:rPr>
          <w:sz w:val="21"/>
          <w:szCs w:val="21"/>
        </w:rPr>
        <w:t xml:space="preserve">Stress-test bounded concurrent sessions and repeated connect/disconnect cycles.</w:t>
      </w:r>
    </w:p>
    <w:p>
      <w:pPr>
        <w:pStyle w:val="ListParagraph"/>
        <w:numPr>
          <w:ilvl w:val="0"/>
          <w:numId w:val="2"/>
        </w:numPr>
        <w:spacing w:after="80"/>
      </w:pPr>
      <w:r>
        <w:rPr>
          <w:sz w:val="21"/>
          <w:szCs w:val="21"/>
        </w:rPr>
        <w:t xml:space="preserve">Record model/checkpoint versions and validation-set provenance for every demo build.</w:t>
      </w:r>
    </w:p>
    <w:p>
      <w:pPr>
        <w:pStyle w:val="ListParagraph"/>
        <w:numPr>
          <w:ilvl w:val="0"/>
          <w:numId w:val="2"/>
        </w:numPr>
        <w:spacing w:after="80"/>
      </w:pPr>
      <w:r>
        <w:rPr>
          <w:sz w:val="21"/>
          <w:szCs w:val="21"/>
        </w:rPr>
        <w:t xml:space="preserve">Evaluate explanation quality: check whether rationale tags correlate with known ground-truth manipulation artifacts in labeled synthetic samples (a sanity check, not a full interpretability study).</w:t>
      </w:r>
      <w:r>
        <w:rPr>
          <w:b/>
          <w:bCs/>
          <w:color w:val="2E7D6E"/>
          <w:sz w:val="17"/>
          <w:szCs w:val="17"/>
        </w:rPr>
        <w:t xml:space="preserve">  [NEW]</w:t>
      </w:r>
    </w:p>
    <w:p>
      <w:pPr>
        <w:pStyle w:val="ListParagraph"/>
        <w:numPr>
          <w:ilvl w:val="0"/>
          <w:numId w:val="2"/>
        </w:numPr>
        <w:spacing w:after="80"/>
      </w:pPr>
      <w:r>
        <w:rPr>
          <w:sz w:val="21"/>
          <w:szCs w:val="21"/>
        </w:rPr>
        <w:t xml:space="preserve">Track explanation-verdict consistency: flag cases where the dominant signal contradicts the final verdict for manual review.</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19. Open Questions / Definitions Needed Before Implementation</w:t>
      </w:r>
    </w:p>
    <w:p>
      <w:pPr>
        <w:spacing w:after="160" w:line="276"/>
      </w:pPr>
      <w:r>
        <w:rPr>
          <w:b w:val="false"/>
          <w:bCs w:val="false"/>
          <w:i w:val="false"/>
          <w:iCs w:val="false"/>
          <w:color w:val="262B2B"/>
          <w:sz w:val="21"/>
          <w:szCs w:val="21"/>
        </w:rPr>
        <w:t xml:space="preserve">These questions should be answered before the implementation contract is frozen. If something is not relevant to the first demo, mark it deferred rather than silently assuming a value.</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1150"/>
        <w:gridCol w:w="1750"/>
        <w:gridCol w:w="6460"/>
      </w:tblGrid>
      <w:tr>
        <w:trPr>
          <w:tblHeader/>
        </w:trPr>
        <w:tc>
          <w:tcPr>
            <w:tcW w:type="dxa" w:w="1150"/>
            <w:shd w:fill="1F3B4D" w:color="auto"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1750"/>
            <w:shd w:fill="1F3B4D" w:color="auto" w:val="clear"/>
            <w:tcMar>
              <w:top w:type="dxa" w:w="80"/>
              <w:left w:type="dxa" w:w="110"/>
              <w:bottom w:type="dxa" w:w="80"/>
              <w:right w:type="dxa" w:w="110"/>
            </w:tcMar>
            <w:vAlign w:val="center"/>
          </w:tcPr>
          <w:p>
            <w:pPr>
              <w:spacing w:after="40"/>
            </w:pPr>
            <w:r>
              <w:rPr>
                <w:b/>
                <w:bCs/>
                <w:color w:val="FFFFFF"/>
                <w:sz w:val="19"/>
                <w:szCs w:val="19"/>
              </w:rPr>
              <w:t xml:space="preserve">Topic</w:t>
            </w:r>
          </w:p>
        </w:tc>
        <w:tc>
          <w:tcPr>
            <w:tcW w:type="dxa" w:w="6460"/>
            <w:shd w:fill="1F3B4D" w:color="auto" w:val="clear"/>
            <w:tcMar>
              <w:top w:type="dxa" w:w="80"/>
              <w:left w:type="dxa" w:w="110"/>
              <w:bottom w:type="dxa" w:w="80"/>
              <w:right w:type="dxa" w:w="110"/>
            </w:tcMar>
            <w:vAlign w:val="center"/>
          </w:tcPr>
          <w:p>
            <w:pPr>
              <w:spacing w:after="40"/>
            </w:pPr>
            <w:r>
              <w:rPr>
                <w:b/>
                <w:bCs/>
                <w:color w:val="FFFFFF"/>
                <w:sz w:val="19"/>
                <w:szCs w:val="19"/>
              </w:rPr>
              <w:t xml:space="preserve">Question</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Q1</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GPU</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What GPU model, VRAM size, OS, and CUDA/PyTorch environment will run the demo?</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Q2</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Frontend</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Is Next.js/React acceptable, or is another web framework required?</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Q3</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Network</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Will the demo machine have reliable outbound internet access for the secure tunnel?</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Q4</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Domain</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Use a Vercel-provided hostname or a custom domain?</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Q5</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Access</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Should the public demo require a simple demo token/login, or be restricted to a controlled audience?</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Q6</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Dataset</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Which datasets and self-generated samples are approved for validation?</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Q7</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Checkpoints</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Which exact AASIST/SSL-AASIST checkpoints and preprocessing settings are being used?</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Q8</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Languages</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Which languages must be demonstrated first? The source states strong English/Hindi support; other Indian languages/accents remain unvalidated.</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Q9</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Logging</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Which derived telemetry is actually necessary to retain for the demo?</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Q10</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Concurrency</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How many simultaneous demo users must the GPU server support?</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Q11</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Demo input</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Live microphone, permitted pre-recorded samples, or both?</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Q12</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Scope</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Is this PRD only for the SIH demo, or should production/institutional deployment be included now?</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Q13 [NEW]</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Explainability vocabulary</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Who defines and approves the fixed rationale-tag vocabulary, and how is it validated against real feature thresholds before the demo?</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Q14 [NEW]</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Fusion scope</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Do speaker-match and transcript-risk signals ever become fusion inputs in a later model version, or do they remain permanently separate informational flags? Is there override logic (e.g., a risk phrase bumping the verdict tier even at a low ensemble score), and if so, what governs it?</w:t>
            </w:r>
          </w:p>
        </w:tc>
      </w:tr>
      <w:tr>
        <w:tc>
          <w:tcPr>
            <w:tcW w:type="dxa" w:w="1150"/>
            <w:tcMar>
              <w:top w:type="dxa" w:w="80"/>
              <w:left w:type="dxa" w:w="110"/>
              <w:bottom w:type="dxa" w:w="80"/>
              <w:right w:type="dxa" w:w="110"/>
            </w:tcMar>
            <w:vAlign w:val="center"/>
          </w:tcPr>
          <w:p>
            <w:pPr>
              <w:spacing w:after="40"/>
            </w:pPr>
            <w:r>
              <w:rPr>
                <w:b w:val="false"/>
                <w:bCs w:val="false"/>
                <w:color w:val="262B2B"/>
                <w:sz w:val="19"/>
                <w:szCs w:val="19"/>
              </w:rPr>
              <w:t xml:space="preserve">Q15 [NEW]</w:t>
            </w:r>
          </w:p>
        </w:tc>
        <w:tc>
          <w:tcPr>
            <w:tcW w:type="dxa" w:w="1750"/>
            <w:tcMar>
              <w:top w:type="dxa" w:w="80"/>
              <w:left w:type="dxa" w:w="110"/>
              <w:bottom w:type="dxa" w:w="80"/>
              <w:right w:type="dxa" w:w="110"/>
            </w:tcMar>
            <w:vAlign w:val="center"/>
          </w:tcPr>
          <w:p>
            <w:pPr>
              <w:spacing w:after="40"/>
            </w:pPr>
            <w:r>
              <w:rPr>
                <w:b w:val="false"/>
                <w:bCs w:val="false"/>
                <w:color w:val="262B2B"/>
                <w:sz w:val="19"/>
                <w:szCs w:val="19"/>
              </w:rPr>
              <w:t xml:space="preserve">Live-call audio access</w:t>
            </w:r>
          </w:p>
        </w:tc>
        <w:tc>
          <w:tcPr>
            <w:tcW w:type="dxa" w:w="6460"/>
            <w:tcMar>
              <w:top w:type="dxa" w:w="80"/>
              <w:left w:type="dxa" w:w="110"/>
              <w:bottom w:type="dxa" w:w="80"/>
              <w:right w:type="dxa" w:w="110"/>
            </w:tcMar>
            <w:vAlign w:val="center"/>
          </w:tcPr>
          <w:p>
            <w:pPr>
              <w:spacing w:after="40"/>
            </w:pPr>
            <w:r>
              <w:rPr>
                <w:b w:val="false"/>
                <w:bCs w:val="false"/>
                <w:color w:val="262B2B"/>
                <w:sz w:val="19"/>
                <w:szCs w:val="19"/>
              </w:rPr>
              <w:t xml:space="preserve">For the eventual, post-MVP real-time call-protection vision: what capture path is legally and technically viable on Android (e.g., in-app VoIP calls the product controls vs. general carrier calls, which Android restricts), and what consent/disclosure flow does it require?</w:t>
            </w:r>
          </w:p>
        </w:tc>
      </w:tr>
      <w:tr>
        <w:tc>
          <w:tcPr>
            <w:tcW w:type="dxa" w:w="11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Q16 [NEW]</w:t>
            </w:r>
          </w:p>
        </w:tc>
        <w:tc>
          <w:tcPr>
            <w:tcW w:type="dxa" w:w="175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Voiceprint enrollment</w:t>
            </w:r>
          </w:p>
        </w:tc>
        <w:tc>
          <w:tcPr>
            <w:tcW w:type="dxa" w:w="64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What is the enrollment UX and consent flow for ECAPA-TDNN speaker matching, and how is a stored voiceprint protected and revoked on request?</w:t>
            </w:r>
          </w:p>
        </w:tc>
      </w:tr>
    </w:tbl>
    <w:p>
      <w:pPr>
        <w:pStyle w:val="Heading1"/>
        <w:pBdr>
          <w:bottom w:val="single" w:color="2E7D6E" w:sz="6" w:space="4"/>
        </w:pBdr>
        <w:spacing w:after="160" w:before="420"/>
      </w:pPr>
      <w:r>
        <w:rPr>
          <w:b/>
          <w:bCs/>
          <w:color w:val="1F3B4D"/>
          <w:sz w:val="30"/>
          <w:szCs w:val="30"/>
        </w:rPr>
        <w:t xml:space="preserve">20. Initial Decisions</w:t>
      </w:r>
    </w:p>
    <w:p>
      <w:pPr>
        <w:pStyle w:val="ListParagraph"/>
        <w:numPr>
          <w:ilvl w:val="0"/>
          <w:numId w:val="2"/>
        </w:numPr>
        <w:spacing w:after="80"/>
      </w:pPr>
      <w:r>
        <w:rPr>
          <w:sz w:val="21"/>
          <w:szCs w:val="21"/>
        </w:rPr>
        <w:t xml:space="preserve">First client: web page.</w:t>
      </w:r>
    </w:p>
    <w:p>
      <w:pPr>
        <w:pStyle w:val="ListParagraph"/>
        <w:numPr>
          <w:ilvl w:val="0"/>
          <w:numId w:val="2"/>
        </w:numPr>
        <w:spacing w:after="80"/>
      </w:pPr>
      <w:r>
        <w:rPr>
          <w:sz w:val="21"/>
          <w:szCs w:val="21"/>
        </w:rPr>
        <w:t xml:space="preserve">Frontend deployment: Vercel.</w:t>
      </w:r>
    </w:p>
    <w:p>
      <w:pPr>
        <w:pStyle w:val="ListParagraph"/>
        <w:numPr>
          <w:ilvl w:val="0"/>
          <w:numId w:val="2"/>
        </w:numPr>
        <w:spacing w:after="80"/>
      </w:pPr>
      <w:r>
        <w:rPr>
          <w:sz w:val="21"/>
          <w:szCs w:val="21"/>
        </w:rPr>
        <w:t xml:space="preserve">AI inference: team's GPU machine for the demo.</w:t>
      </w:r>
    </w:p>
    <w:p>
      <w:pPr>
        <w:pStyle w:val="ListParagraph"/>
        <w:numPr>
          <w:ilvl w:val="0"/>
          <w:numId w:val="2"/>
        </w:numPr>
        <w:spacing w:after="80"/>
      </w:pPr>
      <w:r>
        <w:rPr>
          <w:sz w:val="21"/>
          <w:szCs w:val="21"/>
        </w:rPr>
        <w:t xml:space="preserve">Backend gateway: FastAPI.</w:t>
      </w:r>
    </w:p>
    <w:p>
      <w:pPr>
        <w:pStyle w:val="ListParagraph"/>
        <w:numPr>
          <w:ilvl w:val="0"/>
          <w:numId w:val="2"/>
        </w:numPr>
        <w:spacing w:after="80"/>
      </w:pPr>
      <w:r>
        <w:rPr>
          <w:sz w:val="21"/>
          <w:szCs w:val="21"/>
        </w:rPr>
        <w:t xml:space="preserve">Streaming protocol: WebSocket.</w:t>
      </w:r>
    </w:p>
    <w:p>
      <w:pPr>
        <w:pStyle w:val="ListParagraph"/>
        <w:numPr>
          <w:ilvl w:val="0"/>
          <w:numId w:val="2"/>
        </w:numPr>
        <w:spacing w:after="80"/>
      </w:pPr>
      <w:r>
        <w:rPr>
          <w:sz w:val="21"/>
          <w:szCs w:val="21"/>
        </w:rPr>
        <w:t xml:space="preserve">Public-to-private connectivity: secure tunnel.</w:t>
      </w:r>
    </w:p>
    <w:p>
      <w:pPr>
        <w:pStyle w:val="ListParagraph"/>
        <w:numPr>
          <w:ilvl w:val="0"/>
          <w:numId w:val="2"/>
        </w:numPr>
        <w:spacing w:after="80"/>
      </w:pPr>
      <w:r>
        <w:rPr>
          <w:sz w:val="21"/>
          <w:szCs w:val="21"/>
        </w:rPr>
        <w:t xml:space="preserve">Architecture: API-first and modular.</w:t>
      </w:r>
    </w:p>
    <w:p>
      <w:pPr>
        <w:pStyle w:val="ListParagraph"/>
        <w:numPr>
          <w:ilvl w:val="0"/>
          <w:numId w:val="2"/>
        </w:numPr>
        <w:spacing w:after="80"/>
      </w:pPr>
      <w:r>
        <w:rPr>
          <w:sz w:val="21"/>
          <w:szCs w:val="21"/>
        </w:rPr>
        <w:t xml:space="preserve">Privacy baseline: no raw-audio persistence.</w:t>
      </w:r>
    </w:p>
    <w:p>
      <w:pPr>
        <w:pStyle w:val="ListParagraph"/>
        <w:numPr>
          <w:ilvl w:val="0"/>
          <w:numId w:val="2"/>
        </w:numPr>
        <w:spacing w:after="80"/>
      </w:pPr>
      <w:r>
        <w:rPr>
          <w:sz w:val="21"/>
          <w:szCs w:val="21"/>
        </w:rPr>
        <w:t xml:space="preserve">Explainability approach: signal-level attribution + a fixed rationale-tag vocabulary, not generative free-text explanation.</w:t>
      </w:r>
      <w:r>
        <w:rPr>
          <w:b/>
          <w:bCs/>
          <w:color w:val="2E7D6E"/>
          <w:sz w:val="17"/>
          <w:szCs w:val="17"/>
        </w:rPr>
        <w:t xml:space="preserve">  [NEW]</w:t>
      </w:r>
    </w:p>
    <w:p>
      <w:pPr>
        <w:pStyle w:val="ListParagraph"/>
        <w:numPr>
          <w:ilvl w:val="0"/>
          <w:numId w:val="2"/>
        </w:numPr>
        <w:spacing w:after="80"/>
      </w:pPr>
      <w:r>
        <w:rPr>
          <w:sz w:val="21"/>
          <w:szCs w:val="21"/>
        </w:rPr>
        <w:t xml:space="preserve">Result schema: one canonical payload shared by web, Android, and future enterprise clients; each client renders a subset per its audience (§9.5).</w:t>
      </w:r>
      <w:r>
        <w:rPr>
          <w:b/>
          <w:bCs/>
          <w:color w:val="2E7D6E"/>
          <w:sz w:val="17"/>
          <w:szCs w:val="17"/>
        </w:rPr>
        <w:t xml:space="preserve">  [NEW]</w:t>
      </w:r>
    </w:p>
    <w:p>
      <w:pPr>
        <w:pStyle w:val="ListParagraph"/>
        <w:numPr>
          <w:ilvl w:val="0"/>
          <w:numId w:val="2"/>
        </w:numPr>
        <w:spacing w:after="80"/>
      </w:pPr>
      <w:r>
        <w:rPr>
          <w:sz w:val="21"/>
          <w:szCs w:val="21"/>
        </w:rPr>
        <w:t xml:space="preserve">Fusion inputs: only the three core detectors (SSL-AASIST, AASIST, prosody) feed the calibrated score for the MVP; speaker-match and transcript-risk are informational only until Q14 is resolved.</w:t>
      </w:r>
      <w:r>
        <w:rPr>
          <w:b/>
          <w:bCs/>
          <w:color w:val="2E7D6E"/>
          <w:sz w:val="17"/>
          <w:szCs w:val="17"/>
        </w:rPr>
        <w:t xml:space="preserve">  [NEW]</w:t>
      </w:r>
    </w:p>
    <w:p>
      <w:pPr>
        <w:pStyle w:val="Heading1"/>
        <w:pBdr>
          <w:bottom w:val="single" w:color="2E7D6E" w:sz="6" w:space="4"/>
        </w:pBdr>
        <w:spacing w:after="160" w:before="420"/>
      </w:pPr>
      <w:r>
        <w:rPr>
          <w:b/>
          <w:bCs/>
          <w:color w:val="1F3B4D"/>
          <w:sz w:val="30"/>
          <w:szCs w:val="30"/>
        </w:rPr>
        <w:t xml:space="preserve">21. Risks and Mitigations</w:t>
      </w:r>
    </w:p>
    <w:tbl>
      <w:tblPr>
        <w:tblW w:type="dxa" w:w="9360"/>
        <w:tblBorders>
          <w:top w:val="single" w:color="C9D6D6" w:sz="4"/>
          <w:left w:val="single" w:color="C9D6D6" w:sz="4"/>
          <w:bottom w:val="single" w:color="C9D6D6" w:sz="4"/>
          <w:right w:val="single" w:color="C9D6D6" w:sz="4"/>
          <w:insideH w:val="single" w:color="C9D6D6" w:sz="4"/>
          <w:insideV w:val="single" w:color="C9D6D6" w:sz="4"/>
        </w:tblBorders>
      </w:tblPr>
      <w:tblGrid>
        <w:gridCol w:w="2200"/>
        <w:gridCol w:w="2900"/>
        <w:gridCol w:w="4260"/>
      </w:tblGrid>
      <w:tr>
        <w:trPr>
          <w:tblHeader/>
        </w:trPr>
        <w:tc>
          <w:tcPr>
            <w:tcW w:type="dxa" w:w="2200"/>
            <w:shd w:fill="1F3B4D" w:color="auto" w:val="clear"/>
            <w:tcMar>
              <w:top w:type="dxa" w:w="80"/>
              <w:left w:type="dxa" w:w="110"/>
              <w:bottom w:type="dxa" w:w="80"/>
              <w:right w:type="dxa" w:w="110"/>
            </w:tcMar>
            <w:vAlign w:val="center"/>
          </w:tcPr>
          <w:p>
            <w:pPr>
              <w:spacing w:after="40"/>
            </w:pPr>
            <w:r>
              <w:rPr>
                <w:b/>
                <w:bCs/>
                <w:color w:val="FFFFFF"/>
                <w:sz w:val="19"/>
                <w:szCs w:val="19"/>
              </w:rPr>
              <w:t xml:space="preserve">Risk</w:t>
            </w:r>
          </w:p>
        </w:tc>
        <w:tc>
          <w:tcPr>
            <w:tcW w:type="dxa" w:w="2900"/>
            <w:shd w:fill="1F3B4D" w:color="auto" w:val="clear"/>
            <w:tcMar>
              <w:top w:type="dxa" w:w="80"/>
              <w:left w:type="dxa" w:w="110"/>
              <w:bottom w:type="dxa" w:w="80"/>
              <w:right w:type="dxa" w:w="110"/>
            </w:tcMar>
            <w:vAlign w:val="center"/>
          </w:tcPr>
          <w:p>
            <w:pPr>
              <w:spacing w:after="40"/>
            </w:pPr>
            <w:r>
              <w:rPr>
                <w:b/>
                <w:bCs/>
                <w:color w:val="FFFFFF"/>
                <w:sz w:val="19"/>
                <w:szCs w:val="19"/>
              </w:rPr>
              <w:t xml:space="preserve">Impact</w:t>
            </w:r>
          </w:p>
        </w:tc>
        <w:tc>
          <w:tcPr>
            <w:tcW w:type="dxa" w:w="4260"/>
            <w:shd w:fill="1F3B4D" w:color="auto" w:val="clear"/>
            <w:tcMar>
              <w:top w:type="dxa" w:w="80"/>
              <w:left w:type="dxa" w:w="110"/>
              <w:bottom w:type="dxa" w:w="80"/>
              <w:right w:type="dxa" w:w="110"/>
            </w:tcMar>
            <w:vAlign w:val="center"/>
          </w:tcPr>
          <w:p>
            <w:pPr>
              <w:spacing w:after="40"/>
            </w:pPr>
            <w:r>
              <w:rPr>
                <w:b/>
                <w:bCs/>
                <w:color w:val="FFFFFF"/>
                <w:sz w:val="19"/>
                <w:szCs w:val="19"/>
              </w:rPr>
              <w:t xml:space="preserve">Mitigation</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GPU unavailable/crash</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Demo stops.</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Warm-up/health check, restart procedure, mock mode for UI rehearsal.</w:t>
            </w:r>
          </w:p>
        </w:tc>
      </w:tr>
      <w:tr>
        <w:tc>
          <w:tcPr>
            <w:tcW w:type="dxa" w:w="2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Network instability</w:t>
            </w:r>
          </w:p>
        </w:tc>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Stream stalls.</w:t>
            </w:r>
          </w:p>
        </w:tc>
        <w:tc>
          <w:tcPr>
            <w:tcW w:type="dxa" w:w="4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Connection status, reconnect, bounded buffers.</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High latency</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Demo feels non-real-time.</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Keep models warm on GPU, bounded windows, measure latency.</w:t>
            </w:r>
          </w:p>
        </w:tc>
      </w:tr>
      <w:tr>
        <w:tc>
          <w:tcPr>
            <w:tcW w:type="dxa" w:w="2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False positives</w:t>
            </w:r>
          </w:p>
        </w:tc>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Reduced trust.</w:t>
            </w:r>
          </w:p>
        </w:tc>
        <w:tc>
          <w:tcPr>
            <w:tcW w:type="dxa" w:w="4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Calibrated thresholds/confidence tiers; transparent limitations.</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Unseen cloning</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Missed attacks.</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Ensemble + continual retraining; no claim of a solved problem.</w:t>
            </w:r>
          </w:p>
        </w:tc>
      </w:tr>
      <w:tr>
        <w:tc>
          <w:tcPr>
            <w:tcW w:type="dxa" w:w="2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Privacy leakage</w:t>
            </w:r>
          </w:p>
        </w:tc>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Sensitive voice exposure.</w:t>
            </w:r>
          </w:p>
        </w:tc>
        <w:tc>
          <w:tcPr>
            <w:tcW w:type="dxa" w:w="4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No raw-audio persistence, minimal logs, encrypted transport.</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Public abuse</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GPU exhaustion.</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Authentication/rate limiting, session/message limits.</w:t>
            </w:r>
          </w:p>
        </w:tc>
      </w:tr>
      <w:tr>
        <w:tc>
          <w:tcPr>
            <w:tcW w:type="dxa" w:w="2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Browser incompatibility</w:t>
            </w:r>
          </w:p>
        </w:tc>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Mic/stream failure.</w:t>
            </w:r>
          </w:p>
        </w:tc>
        <w:tc>
          <w:tcPr>
            <w:tcW w:type="dxa" w:w="4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Define supported browsers and test on the actual demo device.</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Misleading explanation [NEW]</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Rationale tag doesn't match the true cause; erodes trust or misleads a judge/operator.</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Ground tags only in validated feature thresholds; version and audit explanations; label as decision support, not proof.</w:t>
            </w:r>
          </w:p>
        </w:tc>
      </w:tr>
      <w:tr>
        <w:tc>
          <w:tcPr>
            <w:tcW w:type="dxa" w:w="22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Regulatory/legal exposure from live-call capture [NEW]</w:t>
            </w:r>
          </w:p>
        </w:tc>
        <w:tc>
          <w:tcPr>
            <w:tcW w:type="dxa" w:w="290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Non-consensual call recording violates law in many jurisdictions; Android also restricts raw call-audio capture for third-party apps.</w:t>
            </w:r>
          </w:p>
        </w:tc>
        <w:tc>
          <w:tcPr>
            <w:tcW w:type="dxa" w:w="4260"/>
            <w:shd w:fill="F2F6F5" w:color="auto" w:val="clear"/>
            <w:tcMar>
              <w:top w:type="dxa" w:w="80"/>
              <w:left w:type="dxa" w:w="110"/>
              <w:bottom w:type="dxa" w:w="80"/>
              <w:right w:type="dxa" w:w="110"/>
            </w:tcMar>
            <w:vAlign w:val="center"/>
          </w:tcPr>
          <w:p>
            <w:pPr>
              <w:spacing w:after="40"/>
            </w:pPr>
            <w:r>
              <w:rPr>
                <w:b w:val="false"/>
                <w:bCs w:val="false"/>
                <w:color w:val="262B2B"/>
                <w:sz w:val="19"/>
                <w:szCs w:val="19"/>
              </w:rPr>
              <w:t xml:space="preserve">Treat live-call interception as out of scope until a compliant capture path and consent flow are defined (S-15, Q15); MVP stays browser-mic-only.</w:t>
            </w:r>
          </w:p>
        </w:tc>
      </w:tr>
      <w:tr>
        <w:tc>
          <w:tcPr>
            <w:tcW w:type="dxa" w:w="2200"/>
            <w:tcMar>
              <w:top w:type="dxa" w:w="80"/>
              <w:left w:type="dxa" w:w="110"/>
              <w:bottom w:type="dxa" w:w="80"/>
              <w:right w:type="dxa" w:w="110"/>
            </w:tcMar>
            <w:vAlign w:val="center"/>
          </w:tcPr>
          <w:p>
            <w:pPr>
              <w:spacing w:after="40"/>
            </w:pPr>
            <w:r>
              <w:rPr>
                <w:b w:val="false"/>
                <w:bCs w:val="false"/>
                <w:color w:val="262B2B"/>
                <w:sz w:val="19"/>
                <w:szCs w:val="19"/>
              </w:rPr>
              <w:t xml:space="preserve">Unfused optional signals mislead [NEW]</w:t>
            </w:r>
          </w:p>
        </w:tc>
        <w:tc>
          <w:tcPr>
            <w:tcW w:type="dxa" w:w="2900"/>
            <w:tcMar>
              <w:top w:type="dxa" w:w="80"/>
              <w:left w:type="dxa" w:w="110"/>
              <w:bottom w:type="dxa" w:w="80"/>
              <w:right w:type="dxa" w:w="110"/>
            </w:tcMar>
            <w:vAlign w:val="center"/>
          </w:tcPr>
          <w:p>
            <w:pPr>
              <w:spacing w:after="40"/>
            </w:pPr>
            <w:r>
              <w:rPr>
                <w:b w:val="false"/>
                <w:bCs w:val="false"/>
                <w:color w:val="262B2B"/>
                <w:sz w:val="19"/>
                <w:szCs w:val="19"/>
              </w:rPr>
              <w:t xml:space="preserve">A viewer conflates a speaker-mismatch or risk-phrase flag with the core spoof-detection score, treating a merely correlated signal as if it were fused evidence.</w:t>
            </w:r>
          </w:p>
        </w:tc>
        <w:tc>
          <w:tcPr>
            <w:tcW w:type="dxa" w:w="4260"/>
            <w:tcMar>
              <w:top w:type="dxa" w:w="80"/>
              <w:left w:type="dxa" w:w="110"/>
              <w:bottom w:type="dxa" w:w="80"/>
              <w:right w:type="dxa" w:w="110"/>
            </w:tcMar>
            <w:vAlign w:val="center"/>
          </w:tcPr>
          <w:p>
            <w:pPr>
              <w:spacing w:after="40"/>
            </w:pPr>
            <w:r>
              <w:rPr>
                <w:b w:val="false"/>
                <w:bCs w:val="false"/>
                <w:color w:val="262B2B"/>
                <w:sz w:val="19"/>
                <w:szCs w:val="19"/>
              </w:rPr>
              <w:t xml:space="preserve">Keep optional_signals visually and structurally separate from signals/risk_score in both the payload and the UI (§8, §9.3).</w:t>
            </w:r>
          </w:p>
        </w:tc>
      </w:tr>
    </w:tbl>
    <w:p>
      <w:pPr>
        <w:pStyle w:val="Heading1"/>
        <w:pBdr>
          <w:bottom w:val="single" w:color="2E7D6E" w:sz="6" w:space="4"/>
        </w:pBdr>
        <w:spacing w:after="160" w:before="420"/>
      </w:pPr>
      <w:r>
        <w:rPr>
          <w:b/>
          <w:bCs/>
          <w:color w:val="1F3B4D"/>
          <w:sz w:val="30"/>
          <w:szCs w:val="30"/>
        </w:rPr>
        <w:t xml:space="preserve">22. Source Boundary</w:t>
      </w:r>
    </w:p>
    <w:p>
      <w:pPr>
        <w:spacing w:after="160" w:line="276"/>
      </w:pPr>
      <w:r>
        <w:rPr>
          <w:b w:val="false"/>
          <w:bCs w:val="false"/>
          <w:i w:val="false"/>
          <w:iCs w:val="false"/>
          <w:color w:val="262B2B"/>
          <w:sz w:val="21"/>
          <w:szCs w:val="21"/>
        </w:rPr>
        <w:t xml:space="preserve">Source-derived requirements in this PRD come from the uploaded SIH26104 Master Project Document, including its problem statement, architecture, model stack, WebSocket contract, limitations, privacy requirements, future-proofing, risks, and demo strategy. The Vercel + GPU + secure-tunnel arrangement is a proposed web-first implementation architecture based on the current project direction; it is not presented as a requirement explicitly stated in the source.</w:t>
      </w:r>
    </w:p>
    <w:p>
      <w:pPr>
        <w:spacing w:after="160" w:line="276"/>
      </w:pPr>
      <w:r>
        <w:rPr>
          <w:b/>
          <w:bCs/>
          <w:color w:val="2E7D6E"/>
          <w:sz w:val="21"/>
          <w:szCs w:val="21"/>
        </w:rPr>
        <w:t xml:space="preserve">[v0.2] </w:t>
      </w:r>
      <w:r>
        <w:rPr>
          <w:sz w:val="21"/>
          <w:szCs w:val="21"/>
        </w:rPr>
        <w:t xml:space="preserve">Section 9 (Explainability Requirements) and the related additions from that revision are proposed, based on standard practice for auditable ML decision-support systems. They are not stated as explicit requirements in the original master document and should be validated against it — and against Q13 — before the implementation contract is frozen.</w:t>
      </w:r>
    </w:p>
    <w:p>
      <w:pPr>
        <w:spacing w:after="160" w:line="276"/>
      </w:pPr>
      <w:r>
        <w:rPr>
          <w:b/>
          <w:bCs/>
          <w:color w:val="2E7D6E"/>
          <w:sz w:val="21"/>
          <w:szCs w:val="21"/>
        </w:rPr>
        <w:t xml:space="preserve">[v0.3] </w:t>
      </w:r>
      <w:r>
        <w:rPr>
          <w:sz w:val="21"/>
          <w:szCs w:val="21"/>
        </w:rPr>
        <w:t xml:space="preserve">A separate pipeline walkthrough and architecture diagram, framed around a future Android live-call scenario, were provided from the same original master-project vision — distinct from the browser-based web MVP this PRD scopes. Model architecture and data-shape detail from that walkthrough (§6, §9.3) were incorporated because they describe shared backend behavior (the detectors and fusion model are the same regardless of client). The live-call capture framing itself was not incorporated as a build target — it conflicts with the existing non-goal on cellular call access and raises the feasibility issue in S-15/Q15, so it is carried forward as an open question rather than a requirement.</w:t>
      </w:r>
    </w:p>
    <w:p>
      <w:pPr>
        <w:pStyle w:val="Heading1"/>
        <w:pBdr>
          <w:bottom w:val="single" w:color="2E7D6E" w:sz="6" w:space="4"/>
        </w:pBdr>
        <w:spacing w:after="160" w:before="420"/>
      </w:pPr>
      <w:r>
        <w:rPr>
          <w:b/>
          <w:bCs/>
          <w:color w:val="1F3B4D"/>
          <w:sz w:val="30"/>
          <w:szCs w:val="30"/>
        </w:rPr>
        <w:t xml:space="preserve">23. Immediate Next Action</w:t>
      </w:r>
    </w:p>
    <w:p>
      <w:pPr>
        <w:spacing w:after="160" w:line="276"/>
      </w:pPr>
      <w:r>
        <w:rPr>
          <w:b w:val="false"/>
          <w:bCs w:val="false"/>
          <w:i w:val="false"/>
          <w:iCs w:val="false"/>
          <w:color w:val="262B2B"/>
          <w:sz w:val="21"/>
          <w:szCs w:val="21"/>
        </w:rPr>
        <w:t xml:space="preserve">Start in this order: Next.js UI → FastAPI WebSocket contract + mock mode (incl. explanation payload) → local browser-to-backend streaming → AASIST baseline on GPU → Silero VAD/streaming → ensemble + calibrated fusion → explainability payload (signal weights + rationale tags) wired to UI → Vercel deployment → secure tunnel → public end-to-end rehearsal.</w:t>
      </w:r>
    </w:p>
    <w:p>
      <w:r>
        <w:br w:type="page"/>
      </w:r>
    </w:p>
    <w:p>
      <w:pPr>
        <w:pStyle w:val="Heading1"/>
        <w:pBdr>
          <w:bottom w:val="single" w:color="2E7D6E" w:sz="6" w:space="4"/>
        </w:pBdr>
        <w:spacing w:after="160" w:before="420"/>
      </w:pPr>
      <w:r>
        <w:rPr>
          <w:b/>
          <w:bCs/>
          <w:color w:val="1F3B4D"/>
          <w:sz w:val="30"/>
          <w:szCs w:val="30"/>
        </w:rPr>
        <w:t xml:space="preserve">24. Appendix A — Consistency Review (v0.2 → v0.3)  [NEW]</w:t>
      </w:r>
    </w:p>
    <w:p>
      <w:pPr>
        <w:spacing w:after="160" w:line="276"/>
      </w:pPr>
      <w:r>
        <w:rPr>
          <w:b w:val="false"/>
          <w:bCs w:val="false"/>
          <w:i w:val="false"/>
          <w:iCs w:val="false"/>
          <w:color w:val="262B2B"/>
          <w:sz w:val="21"/>
          <w:szCs w:val="21"/>
        </w:rPr>
        <w:t xml:space="preserve">This appendix records what was cross-checked when a separate pipeline walkthrough and architecture diagram were compared against v0.2 of this PRD, so an implementing agent can see the reasoning rather than just the resulting edits.</w:t>
      </w:r>
    </w:p>
    <w:p>
      <w:pPr>
        <w:pStyle w:val="Heading2"/>
        <w:spacing w:after="120" w:before="260"/>
      </w:pPr>
      <w:r>
        <w:rPr>
          <w:b/>
          <w:bCs/>
          <w:color w:val="1F3B4D"/>
          <w:sz w:val="24"/>
          <w:szCs w:val="24"/>
        </w:rPr>
        <w:t xml:space="preserve">Confirmed consistent (no change needed)</w:t>
      </w:r>
    </w:p>
    <w:p>
      <w:pPr>
        <w:pStyle w:val="ListParagraph"/>
        <w:numPr>
          <w:ilvl w:val="0"/>
          <w:numId w:val="2"/>
        </w:numPr>
        <w:spacing w:after="80"/>
      </w:pPr>
      <w:r>
        <w:rPr>
          <w:sz w:val="21"/>
          <w:szCs w:val="21"/>
        </w:rPr>
        <w:t xml:space="preserve">2–4 second analysis windows; the walkthrough's 4-second example (64,000 samples at 16kHz) matches §5/§8 exactly.</w:t>
      </w:r>
    </w:p>
    <w:p>
      <w:pPr>
        <w:pStyle w:val="ListParagraph"/>
        <w:numPr>
          <w:ilvl w:val="0"/>
          <w:numId w:val="2"/>
        </w:numPr>
        <w:spacing w:after="80"/>
      </w:pPr>
      <w:r>
        <w:rPr>
          <w:sz w:val="21"/>
          <w:szCs w:val="21"/>
        </w:rPr>
        <w:t xml:space="preserve">Prosody detector's "top contributing feature" as its explainability hook — this is exactly what §9.3 already specified before this pass; the walkthrough confirmed the design intent.</w:t>
      </w:r>
    </w:p>
    <w:p>
      <w:pPr>
        <w:pStyle w:val="ListParagraph"/>
        <w:numPr>
          <w:ilvl w:val="0"/>
          <w:numId w:val="2"/>
        </w:numPr>
        <w:spacing w:after="80"/>
      </w:pPr>
      <w:r>
        <w:rPr>
          <w:sz w:val="21"/>
          <w:szCs w:val="21"/>
        </w:rPr>
        <w:t xml:space="preserve">No raw-audio persistence; only scores/features optionally logged — matches S-02/S-08 exactly, including "optional/configurable" logging.</w:t>
      </w:r>
    </w:p>
    <w:p>
      <w:pPr>
        <w:pStyle w:val="ListParagraph"/>
        <w:numPr>
          <w:ilvl w:val="0"/>
          <w:numId w:val="2"/>
        </w:numPr>
        <w:spacing w:after="80"/>
      </w:pPr>
      <w:r>
        <w:rPr>
          <w:sz w:val="21"/>
          <w:szCs w:val="21"/>
        </w:rPr>
        <w:t xml:space="preserve">ECAPA-TDNN and Whisper positioned as optional/P2 — matches §4's Product Scope.</w:t>
      </w:r>
    </w:p>
    <w:p>
      <w:pPr>
        <w:pStyle w:val="Heading2"/>
        <w:spacing w:after="120" w:before="260"/>
      </w:pPr>
      <w:r>
        <w:rPr>
          <w:b/>
          <w:bCs/>
          <w:color w:val="1F3B4D"/>
          <w:sz w:val="24"/>
          <w:szCs w:val="24"/>
        </w:rPr>
        <w:t xml:space="preserve">Inconsistencies found and resolved</w:t>
      </w:r>
    </w:p>
    <w:p>
      <w:pPr>
        <w:pStyle w:val="ListParagraph"/>
        <w:numPr>
          <w:ilvl w:val="0"/>
          <w:numId w:val="2"/>
        </w:numPr>
        <w:spacing w:after="80"/>
      </w:pPr>
      <w:r>
        <w:rPr>
          <w:sz w:val="21"/>
          <w:szCs w:val="21"/>
        </w:rPr>
        <w:t xml:space="preserve">Audio format mismatch: v0.2's Product Scope implied the client always sends fixed 16-kHz audio; the walkthrough described native-rate capture (commonly 44.1/48kHz, sometimes 8kHz) with server-side resampling. Resolved by correcting §4 and §5 — FR-04's sample_rate field already supported this, so no contract change was needed, only wording.</w:t>
      </w:r>
    </w:p>
    <w:p>
      <w:pPr>
        <w:pStyle w:val="ListParagraph"/>
        <w:numPr>
          <w:ilvl w:val="0"/>
          <w:numId w:val="2"/>
        </w:numPr>
        <w:spacing w:after="80"/>
      </w:pPr>
      <w:r>
        <w:rPr>
          <w:sz w:val="21"/>
          <w:szCs w:val="21"/>
        </w:rPr>
        <w:t xml:space="preserve">Payload field-naming mismatch: the walkthrough's example JSON used "top_signal" where this PRD used "dominant_signal" inside a differently-shaped object. Resolved by treating the walkthrough's payload as a minimal view of this PRD's canonical schema and adding a "category"/"dominant_category" layer that both names map onto (§8, §9.4).</w:t>
      </w:r>
    </w:p>
    <w:p>
      <w:pPr>
        <w:pStyle w:val="ListParagraph"/>
        <w:numPr>
          <w:ilvl w:val="0"/>
          <w:numId w:val="2"/>
        </w:numPr>
        <w:spacing w:after="80"/>
      </w:pPr>
      <w:r>
        <w:rPr>
          <w:sz w:val="21"/>
          <w:szCs w:val="21"/>
        </w:rPr>
        <w:t xml:space="preserve">Fusion input scope was undefined: v0.2 didn't say whether ECAPA-TDNN/Whisper signals feed the calibrated score. The walkthrough's worked example fuses only the three core probabilities. Resolved by adding FR-18 and the optional_signals field, and opening Q14 for the case where this should change later.</w:t>
      </w:r>
    </w:p>
    <w:p>
      <w:pPr>
        <w:pStyle w:val="Heading2"/>
        <w:spacing w:after="120" w:before="260"/>
      </w:pPr>
      <w:r>
        <w:rPr>
          <w:b/>
          <w:bCs/>
          <w:color w:val="1F3B4D"/>
          <w:sz w:val="24"/>
          <w:szCs w:val="24"/>
        </w:rPr>
        <w:t xml:space="preserve">Gaps the walkthrough filled (added, not corrected)</w:t>
      </w:r>
    </w:p>
    <w:p>
      <w:pPr>
        <w:pStyle w:val="ListParagraph"/>
        <w:numPr>
          <w:ilvl w:val="0"/>
          <w:numId w:val="2"/>
        </w:numPr>
        <w:spacing w:after="80"/>
      </w:pPr>
      <w:r>
        <w:rPr>
          <w:sz w:val="21"/>
          <w:szCs w:val="21"/>
        </w:rPr>
        <w:t xml:space="preserve">Concrete architecture for SSL-AASIST (XLS-R → AASIST graph-attention), AASIST raw (independent conv+graph-attention path), and Prosody/XGBoost (~30-dim feature vector) — added to §6 and §9.3.</w:t>
      </w:r>
    </w:p>
    <w:p>
      <w:pPr>
        <w:pStyle w:val="ListParagraph"/>
        <w:numPr>
          <w:ilvl w:val="0"/>
          <w:numId w:val="2"/>
        </w:numPr>
        <w:spacing w:after="80"/>
      </w:pPr>
      <w:r>
        <w:rPr>
          <w:sz w:val="21"/>
          <w:szCs w:val="21"/>
        </w:rPr>
        <w:t xml:space="preserve">ECAPA-TDNN and Whisper were previously named but not given component-table rows or explainability treatment — both added to §6 and §9.3.</w:t>
      </w:r>
    </w:p>
    <w:p>
      <w:pPr>
        <w:pStyle w:val="Heading2"/>
        <w:spacing w:after="120" w:before="260"/>
      </w:pPr>
      <w:r>
        <w:rPr>
          <w:b/>
          <w:bCs/>
          <w:color w:val="1F3B4D"/>
          <w:sz w:val="24"/>
          <w:szCs w:val="24"/>
        </w:rPr>
        <w:t xml:space="preserve">New feasibility flag (not present in v0.2)</w:t>
      </w:r>
    </w:p>
    <w:p>
      <w:pPr>
        <w:pStyle w:val="ListParagraph"/>
        <w:numPr>
          <w:ilvl w:val="0"/>
          <w:numId w:val="2"/>
        </w:numPr>
        <w:spacing w:after="80"/>
      </w:pPr>
      <w:r>
        <w:rPr>
          <w:sz w:val="21"/>
          <w:szCs w:val="21"/>
        </w:rPr>
        <w:t xml:space="preserve">The walkthrough's illustrative scenario is a live phone call intercepted by an Android app. Taken literally as a build target, this conflicts with the PRD's own non-goal on cellular call access, with Android's OS-level restrictions on third-party call-audio capture, and with call-recording consent law in many jurisdictions. It was not adopted as a requirement; it was captured as S-15 and Q15 so the decision is explicit rather than silently assumed.</w:t>
      </w:r>
    </w:p>
    <w:p>
      <w:pPr>
        <w:pStyle w:val="ListParagraph"/>
        <w:numPr>
          <w:ilvl w:val="0"/>
          <w:numId w:val="2"/>
        </w:numPr>
        <w:spacing w:after="80"/>
      </w:pPr>
      <w:r>
        <w:rPr>
          <w:sz w:val="21"/>
          <w:szCs w:val="21"/>
        </w:rPr>
        <w:t xml:space="preserve">Speaker enrollment (needed for ECAPA-TDNN) had no defined consent/enrollment flow in v0.2, despite S-03 already requiring one to exist before the feature is used. Added S-14 and Q16 to make that gap explicit and blocking.</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B"/>
        <w:sz w:val="16"/>
        <w:szCs w:val="16"/>
      </w:rPr>
      <w:t xml:space="preserve">Page </w:t>
    </w:r>
    <w:r>
      <w:rPr>
        <w:color w:val="5B6B6B"/>
        <w:sz w:val="16"/>
        <w:szCs w:val="16"/>
      </w:rPr>
      <w:fldChar w:fldCharType="begin"/>
      <w:instrText xml:space="preserve">PAGE</w:instrText>
      <w:fldChar w:fldCharType="separate"/>
      <w:fldChar w:fldCharType="end"/>
    </w:r>
    <w:r>
      <w:rPr>
        <w:color w:val="5B6B6B"/>
        <w:sz w:val="16"/>
        <w:szCs w:val="16"/>
      </w:rPr>
      <w:t xml:space="preserve"> of </w:t>
    </w:r>
    <w:r>
      <w:rPr>
        <w:color w:val="5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jc w:val="right"/>
    </w:pPr>
    <w:r>
      <w:rPr>
        <w:i/>
        <w:iCs/>
        <w:color w:val="5B6B6B"/>
        <w:sz w:val="16"/>
        <w:szCs w:val="16"/>
      </w:rPr>
      <w:t xml:space="preserve">Voice Cloning Detection System — PRD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2026-09-06T11:17:02.750Z</dcterms:created>
  <dcterms:modified xsi:type="dcterms:W3CDTF">2026-09-06T11:17:02.750Z</dcterms:modified>
</cp:coreProperties>
</file>

<file path=docProps/custom.xml><?xml version="1.0" encoding="utf-8"?>
<Properties xmlns="http://schemas.openxmlformats.org/officeDocument/2006/custom-properties" xmlns:vt="http://schemas.openxmlformats.org/officeDocument/2006/docPropsVTypes"/>
</file>