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80" w:before="480"/>
        <w:jc w:val="center"/>
      </w:pPr>
      <w:r>
        <w:rPr>
          <w:rFonts w:ascii="Arial" w:cs="Arial" w:eastAsia="Arial" w:hAnsi="Arial"/>
          <w:b/>
          <w:bCs/>
          <w:color w:val="1F4E79"/>
          <w:sz w:val="56"/>
          <w:szCs w:val="56"/>
        </w:rPr>
        <w:t xml:space="preserve">RETAIL SALES PERFORMANCE ANALYSIS</w:t>
      </w:r>
    </w:p>
    <w:p>
      <w:pPr>
        <w:spacing w:after="80" w:before="0"/>
        <w:jc w:val="center"/>
      </w:pPr>
      <w:r>
        <w:rPr>
          <w:rFonts w:ascii="Arial" w:cs="Arial" w:eastAsia="Arial" w:hAnsi="Arial"/>
          <w:color w:val="2E86AB"/>
          <w:sz w:val="32"/>
          <w:szCs w:val="32"/>
        </w:rPr>
        <w:t xml:space="preserve">Full-Year 2023 Insights Report</w:t>
      </w:r>
    </w:p>
    <w:p>
      <w:pPr>
        <w:spacing w:after="480" w:before="0"/>
        <w:jc w:val="center"/>
      </w:pPr>
      <w:r>
        <w:rPr>
          <w:rFonts w:ascii="Arial" w:cs="Arial" w:eastAsia="Arial" w:hAnsi="Arial"/>
          <w:color w:val="888888"/>
          <w:sz w:val="22"/>
          <w:szCs w:val="22"/>
        </w:rPr>
        <w:t xml:space="preserve">Data Analyst Portfolio Project  •  SQL + Excel + Power BI</w:t>
      </w:r>
    </w:p>
    <w:p>
      <w:pPr>
        <w:pBdr>
          <w:bottom w:val="single" w:color="1F4E79" w:sz="12"/>
        </w:pBdr>
        <w:spacing w:after="360" w:before="0"/>
      </w:pPr>
      <w:r>
        <w:t xml:space="preserve"/>
      </w:r>
    </w:p>
    <w:p>
      <w:pPr>
        <w:pStyle w:val="Heading1"/>
        <w:spacing w:after="120" w:before="360"/>
      </w:pPr>
      <w:r>
        <w:rPr>
          <w:rFonts w:ascii="Arial" w:cs="Arial" w:eastAsia="Arial" w:hAnsi="Arial"/>
          <w:b/>
          <w:bCs/>
          <w:color w:val="1F4E79"/>
          <w:sz w:val="32"/>
          <w:szCs w:val="32"/>
        </w:rPr>
        <w:t xml:space="preserve">1. Executive Summary</w:t>
      </w:r>
    </w:p>
    <w:p>
      <w:pPr>
        <w:spacing w:after="80" w:before="60"/>
      </w:pPr>
      <w:r>
        <w:rPr>
          <w:rFonts w:ascii="Arial" w:cs="Arial" w:eastAsia="Arial" w:hAnsi="Arial"/>
          <w:color w:val="404040"/>
          <w:sz w:val="22"/>
          <w:szCs w:val="22"/>
        </w:rPr>
        <w:t xml:space="preserve">This report presents a full-year analysis of retail sales data for FY 2023. Using SQL for data extraction and transformation, the analysis covers revenue performance, product profitability, regional trends, customer segmentation, and discount effectiveness. Key findings are summarised below, with detailed SQL queries and methodology available in the companion script sales_analytics.sql.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4E79"/>
                <w:sz w:val="40"/>
                <w:szCs w:val="40"/>
              </w:rPr>
              <w:t xml:space="preserve">₹8,47,350</w:t>
            </w:r>
          </w:p>
          <w:p>
            <w:pPr>
              <w:jc w:val="center"/>
            </w:pPr>
            <w:r>
              <w:rPr>
                <w:rFonts w:ascii="Arial" w:cs="Arial" w:eastAsia="Arial" w:hAnsi="Arial"/>
                <w:b/>
                <w:bCs/>
                <w:color w:val="2E86AB"/>
                <w:sz w:val="18"/>
                <w:szCs w:val="18"/>
              </w:rPr>
              <w:t xml:space="preserve">Total Revenue</w:t>
            </w:r>
          </w:p>
          <w:p>
            <w:pPr>
              <w:jc w:val="center"/>
            </w:pPr>
            <w:r>
              <w:rPr>
                <w:rFonts w:ascii="Arial" w:cs="Arial" w:eastAsia="Arial" w:hAnsi="Arial"/>
                <w:color w:val="888888"/>
                <w:sz w:val="16"/>
                <w:szCs w:val="16"/>
              </w:rPr>
              <w:t xml:space="preserve">FY 2023</w:t>
            </w:r>
          </w:p>
        </w:tc>
        <w:tc>
          <w:tcPr>
            <w:tcW w:type="dxa" w:w="312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4E79"/>
                <w:sz w:val="40"/>
                <w:szCs w:val="40"/>
              </w:rPr>
              <w:t xml:space="preserve">25</w:t>
            </w:r>
          </w:p>
          <w:p>
            <w:pPr>
              <w:jc w:val="center"/>
            </w:pPr>
            <w:r>
              <w:rPr>
                <w:rFonts w:ascii="Arial" w:cs="Arial" w:eastAsia="Arial" w:hAnsi="Arial"/>
                <w:b/>
                <w:bCs/>
                <w:color w:val="2E86AB"/>
                <w:sz w:val="18"/>
                <w:szCs w:val="18"/>
              </w:rPr>
              <w:t xml:space="preserve">Total Orders</w:t>
            </w:r>
          </w:p>
          <w:p>
            <w:pPr>
              <w:jc w:val="center"/>
            </w:pPr>
            <w:r>
              <w:rPr>
                <w:rFonts w:ascii="Arial" w:cs="Arial" w:eastAsia="Arial" w:hAnsi="Arial"/>
                <w:color w:val="888888"/>
                <w:sz w:val="16"/>
                <w:szCs w:val="16"/>
              </w:rPr>
              <w:t xml:space="preserve">Unique transactions</w:t>
            </w:r>
          </w:p>
        </w:tc>
        <w:tc>
          <w:tcPr>
            <w:tcW w:type="dxa" w:w="312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4E79"/>
                <w:sz w:val="40"/>
                <w:szCs w:val="40"/>
              </w:rPr>
              <w:t xml:space="preserve">31.4%</w:t>
            </w:r>
          </w:p>
          <w:p>
            <w:pPr>
              <w:jc w:val="center"/>
            </w:pPr>
            <w:r>
              <w:rPr>
                <w:rFonts w:ascii="Arial" w:cs="Arial" w:eastAsia="Arial" w:hAnsi="Arial"/>
                <w:b/>
                <w:bCs/>
                <w:color w:val="2E86AB"/>
                <w:sz w:val="18"/>
                <w:szCs w:val="18"/>
              </w:rPr>
              <w:t xml:space="preserve">Profit Margin</w:t>
            </w:r>
          </w:p>
          <w:p>
            <w:pPr>
              <w:jc w:val="center"/>
            </w:pPr>
            <w:r>
              <w:rPr>
                <w:rFonts w:ascii="Arial" w:cs="Arial" w:eastAsia="Arial" w:hAnsi="Arial"/>
                <w:color w:val="888888"/>
                <w:sz w:val="16"/>
                <w:szCs w:val="16"/>
              </w:rPr>
              <w:t xml:space="preserve">After discounts</w:t>
            </w:r>
          </w:p>
        </w:tc>
      </w:tr>
      <w:tr>
        <w:tc>
          <w:tcPr>
            <w:tcW w:type="dxa" w:w="312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4E79"/>
                <w:sz w:val="40"/>
                <w:szCs w:val="40"/>
              </w:rPr>
              <w:t xml:space="preserve">Technology</w:t>
            </w:r>
          </w:p>
          <w:p>
            <w:pPr>
              <w:jc w:val="center"/>
            </w:pPr>
            <w:r>
              <w:rPr>
                <w:rFonts w:ascii="Arial" w:cs="Arial" w:eastAsia="Arial" w:hAnsi="Arial"/>
                <w:b/>
                <w:bCs/>
                <w:color w:val="2E86AB"/>
                <w:sz w:val="18"/>
                <w:szCs w:val="18"/>
              </w:rPr>
              <w:t xml:space="preserve">Top Category</w:t>
            </w:r>
          </w:p>
          <w:p>
            <w:pPr>
              <w:jc w:val="center"/>
            </w:pPr>
            <w:r>
              <w:rPr>
                <w:rFonts w:ascii="Arial" w:cs="Arial" w:eastAsia="Arial" w:hAnsi="Arial"/>
                <w:color w:val="888888"/>
                <w:sz w:val="16"/>
                <w:szCs w:val="16"/>
              </w:rPr>
              <w:t xml:space="preserve">By revenue share</w:t>
            </w:r>
          </w:p>
        </w:tc>
        <w:tc>
          <w:tcPr>
            <w:tcW w:type="dxa" w:w="312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4E79"/>
                <w:sz w:val="40"/>
                <w:szCs w:val="40"/>
              </w:rPr>
              <w:t xml:space="preserve">West</w:t>
            </w:r>
          </w:p>
          <w:p>
            <w:pPr>
              <w:jc w:val="center"/>
            </w:pPr>
            <w:r>
              <w:rPr>
                <w:rFonts w:ascii="Arial" w:cs="Arial" w:eastAsia="Arial" w:hAnsi="Arial"/>
                <w:b/>
                <w:bCs/>
                <w:color w:val="2E86AB"/>
                <w:sz w:val="18"/>
                <w:szCs w:val="18"/>
              </w:rPr>
              <w:t xml:space="preserve">Best Region</w:t>
            </w:r>
          </w:p>
          <w:p>
            <w:pPr>
              <w:jc w:val="center"/>
            </w:pPr>
            <w:r>
              <w:rPr>
                <w:rFonts w:ascii="Arial" w:cs="Arial" w:eastAsia="Arial" w:hAnsi="Arial"/>
                <w:color w:val="888888"/>
                <w:sz w:val="16"/>
                <w:szCs w:val="16"/>
              </w:rPr>
              <w:t xml:space="preserve">Highest CLV</w:t>
            </w:r>
          </w:p>
        </w:tc>
        <w:tc>
          <w:tcPr>
            <w:tcW w:type="dxa" w:w="312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4E79"/>
                <w:sz w:val="40"/>
                <w:szCs w:val="40"/>
              </w:rPr>
              <w:t xml:space="preserve">3.1 days</w:t>
            </w:r>
          </w:p>
          <w:p>
            <w:pPr>
              <w:jc w:val="center"/>
            </w:pPr>
            <w:r>
              <w:rPr>
                <w:rFonts w:ascii="Arial" w:cs="Arial" w:eastAsia="Arial" w:hAnsi="Arial"/>
                <w:b/>
                <w:bCs/>
                <w:color w:val="2E86AB"/>
                <w:sz w:val="18"/>
                <w:szCs w:val="18"/>
              </w:rPr>
              <w:t xml:space="preserve">Avg Ship Time</w:t>
            </w:r>
          </w:p>
          <w:p>
            <w:pPr>
              <w:jc w:val="center"/>
            </w:pPr>
            <w:r>
              <w:rPr>
                <w:rFonts w:ascii="Arial" w:cs="Arial" w:eastAsia="Arial" w:hAnsi="Arial"/>
                <w:color w:val="888888"/>
                <w:sz w:val="16"/>
                <w:szCs w:val="16"/>
              </w:rPr>
              <w:t xml:space="preserve">Order → shipment</w:t>
            </w:r>
          </w:p>
        </w:tc>
      </w:tr>
    </w:tbl>
    <w:p>
      <w:pPr>
        <w:spacing w:after="240" w:before="0"/>
      </w:pPr>
      <w:r>
        <w:t xml:space="preserve"/>
      </w:r>
    </w:p>
    <w:p>
      <w:pPr>
        <w:pStyle w:val="Heading1"/>
        <w:spacing w:after="120" w:before="360"/>
      </w:pPr>
      <w:r>
        <w:rPr>
          <w:rFonts w:ascii="Arial" w:cs="Arial" w:eastAsia="Arial" w:hAnsi="Arial"/>
          <w:b/>
          <w:bCs/>
          <w:color w:val="1F4E79"/>
          <w:sz w:val="32"/>
          <w:szCs w:val="32"/>
        </w:rPr>
        <w:t xml:space="preserve">2. Dataset &amp; Methodology</w:t>
      </w:r>
    </w:p>
    <w:p>
      <w:pPr>
        <w:pStyle w:val="Heading2"/>
        <w:pBdr>
          <w:bottom w:val="single" w:color="2E86AB" w:sz="4" w:space="2"/>
        </w:pBdr>
        <w:spacing w:after="80" w:before="240"/>
      </w:pPr>
      <w:r>
        <w:rPr>
          <w:rFonts w:ascii="Arial" w:cs="Arial" w:eastAsia="Arial" w:hAnsi="Arial"/>
          <w:b/>
          <w:bCs/>
          <w:color w:val="2E86AB"/>
          <w:sz w:val="26"/>
          <w:szCs w:val="26"/>
        </w:rPr>
        <w:t xml:space="preserve">2.1  Data Source</w:t>
      </w:r>
    </w:p>
    <w:p>
      <w:pPr>
        <w:spacing w:after="80" w:before="60"/>
      </w:pPr>
      <w:r>
        <w:rPr>
          <w:rFonts w:ascii="Arial" w:cs="Arial" w:eastAsia="Arial" w:hAnsi="Arial"/>
          <w:color w:val="404040"/>
          <w:sz w:val="22"/>
          <w:szCs w:val="22"/>
        </w:rPr>
        <w:t xml:space="preserve">A simulated retail transactional database was built with three relational tables:</w:t>
      </w:r>
    </w:p>
    <w:p>
      <w:pPr>
        <w:pStyle w:val="ListParagraph"/>
        <w:numPr>
          <w:ilvl w:val="0"/>
          <w:numId w:val="2"/>
        </w:numPr>
        <w:spacing w:after="40" w:before="40"/>
      </w:pPr>
      <w:r>
        <w:rPr>
          <w:rFonts w:ascii="Arial" w:cs="Arial" w:eastAsia="Arial" w:hAnsi="Arial"/>
          <w:color w:val="404040"/>
          <w:sz w:val="22"/>
          <w:szCs w:val="22"/>
        </w:rPr>
        <w:t xml:space="preserve">customers — customer ID, name, region (West/East/Central/South), and segment (Consumer/Corporate/Home Office)</w:t>
      </w:r>
    </w:p>
    <w:p>
      <w:pPr>
        <w:pStyle w:val="ListParagraph"/>
        <w:numPr>
          <w:ilvl w:val="0"/>
          <w:numId w:val="2"/>
        </w:numPr>
        <w:spacing w:after="40" w:before="40"/>
      </w:pPr>
      <w:r>
        <w:rPr>
          <w:rFonts w:ascii="Arial" w:cs="Arial" w:eastAsia="Arial" w:hAnsi="Arial"/>
          <w:color w:val="404040"/>
          <w:sz w:val="22"/>
          <w:szCs w:val="22"/>
        </w:rPr>
        <w:t xml:space="preserve">products — product ID, name, category, sub-category, and unit cost</w:t>
      </w:r>
    </w:p>
    <w:p>
      <w:pPr>
        <w:pStyle w:val="ListParagraph"/>
        <w:numPr>
          <w:ilvl w:val="0"/>
          <w:numId w:val="2"/>
        </w:numPr>
        <w:spacing w:after="40" w:before="40"/>
      </w:pPr>
      <w:r>
        <w:rPr>
          <w:rFonts w:ascii="Arial" w:cs="Arial" w:eastAsia="Arial" w:hAnsi="Arial"/>
          <w:color w:val="404040"/>
          <w:sz w:val="22"/>
          <w:szCs w:val="22"/>
        </w:rPr>
        <w:t xml:space="preserve">orders — order/ship dates, customer &amp; product IDs, quantity, unit price, and discount</w:t>
      </w:r>
    </w:p>
    <w:p>
      <w:pPr>
        <w:spacing w:after="120" w:before="0"/>
      </w:pPr>
      <w:r>
        <w:t xml:space="preserve"/>
      </w:r>
    </w:p>
    <w:p>
      <w:pPr>
        <w:pStyle w:val="Heading2"/>
        <w:pBdr>
          <w:bottom w:val="single" w:color="2E86AB" w:sz="4" w:space="2"/>
        </w:pBdr>
        <w:spacing w:after="80" w:before="240"/>
      </w:pPr>
      <w:r>
        <w:rPr>
          <w:rFonts w:ascii="Arial" w:cs="Arial" w:eastAsia="Arial" w:hAnsi="Arial"/>
          <w:b/>
          <w:bCs/>
          <w:color w:val="2E86AB"/>
          <w:sz w:val="26"/>
          <w:szCs w:val="26"/>
        </w:rPr>
        <w:t xml:space="preserve">2.2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SQL (SQLite)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Data extraction, aggregation, CTEs, window functions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Query results / CSV exports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Excel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Data cleaning, pivot tables, preliminary charts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Formatted summary tables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Power BI / Tableau</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Interactive dashboard, KPI cards, trend visuals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Stakeholder dashboard</w:t>
            </w:r>
          </w:p>
        </w:tc>
      </w:tr>
    </w:tbl>
    <w:p>
      <w:pPr>
        <w:spacing w:after="240" w:before="0"/>
      </w:pPr>
      <w:r>
        <w:t xml:space="preserve"/>
      </w:r>
    </w:p>
    <w:p>
      <w:pPr>
        <w:pStyle w:val="Heading1"/>
        <w:spacing w:after="120" w:before="360"/>
      </w:pPr>
      <w:r>
        <w:rPr>
          <w:rFonts w:ascii="Arial" w:cs="Arial" w:eastAsia="Arial" w:hAnsi="Arial"/>
          <w:b/>
          <w:bCs/>
          <w:color w:val="1F4E79"/>
          <w:sz w:val="32"/>
          <w:szCs w:val="32"/>
        </w:rPr>
        <w:t xml:space="preserve">3. Revenue &amp; Profitability Analysis</w:t>
      </w:r>
    </w:p>
    <w:p>
      <w:pPr>
        <w:pStyle w:val="Heading2"/>
        <w:pBdr>
          <w:bottom w:val="single" w:color="2E86AB" w:sz="4" w:space="2"/>
        </w:pBdr>
        <w:spacing w:after="80" w:before="240"/>
      </w:pPr>
      <w:r>
        <w:rPr>
          <w:rFonts w:ascii="Arial" w:cs="Arial" w:eastAsia="Arial" w:hAnsi="Arial"/>
          <w:b/>
          <w:bCs/>
          <w:color w:val="2E86AB"/>
          <w:sz w:val="26"/>
          <w:szCs w:val="26"/>
        </w:rPr>
        <w:t xml:space="preserve">3.1  Monthly Revenue Trend</w:t>
      </w:r>
    </w:p>
    <w:p>
      <w:pPr>
        <w:spacing w:after="80" w:before="60"/>
      </w:pPr>
      <w:r>
        <w:rPr>
          <w:rFonts w:ascii="Arial" w:cs="Arial" w:eastAsia="Arial" w:hAnsi="Arial"/>
          <w:color w:val="404040"/>
          <w:sz w:val="22"/>
          <w:szCs w:val="22"/>
        </w:rPr>
        <w:t xml:space="preserve">Revenue was tracked month-by-month (SQL Section 2) to identify seasonal patterns and growth momentum.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MoM Change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Jan 2023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40,900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Feb 2023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81,450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+99.1%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Mar 2023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40,250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-50.6%</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Apr 2023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53,880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+33.8%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May 2023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93,150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+72.9%</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Jun 2023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1,18,800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+27.6%</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Jul 2023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75,540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-36.4%</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Aug 2023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72,350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Sep 2023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64,840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-10.4%</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Oct 2023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52,500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-19.0%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Nov 2023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83,400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+58.9%</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Dec 2023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68,290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-18.1%</w:t>
            </w:r>
          </w:p>
        </w:tc>
      </w:tr>
    </w:tbl>
    <w:p>
      <w:pPr>
        <w:spacing w:after="120" w:before="0"/>
      </w:pPr>
      <w:r>
        <w:t xml:space="preserve"/>
      </w:r>
    </w:p>
    <w:p>
      <w:pPr>
        <w:spacing w:after="80" w:before="60"/>
      </w:pPr>
      <w:r>
        <w:rPr>
          <w:rFonts w:ascii="Arial" w:cs="Arial" w:eastAsia="Arial" w:hAnsi="Arial"/>
          <w:color w:val="404040"/>
          <w:sz w:val="22"/>
          <w:szCs w:val="22"/>
        </w:rPr>
        <w:t xml:space="preserve">Key observation: June 2023 recorded peak revenue (₹1,18,800) — likely driven by mid-year corporate procurement. November rebounded strongly (+58.9%) ahead of the holiday buying season.</w:t>
      </w:r>
    </w:p>
    <w:p>
      <w:pPr>
        <w:spacing w:after="240" w:before="0"/>
      </w:pPr>
      <w:r>
        <w:t xml:space="preserve"/>
      </w:r>
    </w:p>
    <w:p>
      <w:pPr>
        <w:pStyle w:val="Heading2"/>
        <w:pBdr>
          <w:bottom w:val="single" w:color="2E86AB" w:sz="4" w:space="2"/>
        </w:pBdr>
        <w:spacing w:after="80" w:before="240"/>
      </w:pPr>
      <w:r>
        <w:rPr>
          <w:rFonts w:ascii="Arial" w:cs="Arial" w:eastAsia="Arial" w:hAnsi="Arial"/>
          <w:b/>
          <w:bCs/>
          <w:color w:val="2E86AB"/>
          <w:sz w:val="26"/>
          <w:szCs w:val="26"/>
        </w:rPr>
        <w:t xml:space="preserve">3.2  Revenue by Product Category</w:t>
      </w:r>
    </w:p>
    <w:p>
      <w:pPr>
        <w:spacing w:after="80" w:before="60"/>
      </w:pPr>
      <w:r>
        <w:rPr>
          <w:rFonts w:ascii="Arial" w:cs="Arial" w:eastAsia="Arial" w:hAnsi="Arial"/>
          <w:color w:val="404040"/>
          <w:sz w:val="22"/>
          <w:szCs w:val="22"/>
        </w:rPr>
        <w:t xml:space="preserve">SQL Section 3 aggregated sales by category, enabling a clear view of which segments drive the most value.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2000"/>
        <w:gridCol w:w="1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Units Sold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Margin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Technology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3,19,700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99,107</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31.0%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Furniture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3,07,900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95,449</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Office Suppl.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225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2,19,750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68,122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31.0%</w:t>
            </w:r>
          </w:p>
        </w:tc>
      </w:tr>
    </w:tbl>
    <w:p>
      <w:pPr>
        <w:spacing w:after="120" w:before="0"/>
      </w:pPr>
      <w:r>
        <w:t xml:space="preserve"/>
      </w:r>
    </w:p>
    <w:p>
      <w:pPr>
        <w:spacing w:after="80" w:before="60"/>
      </w:pPr>
      <w:r>
        <w:rPr>
          <w:rFonts w:ascii="Arial" w:cs="Arial" w:eastAsia="Arial" w:hAnsi="Arial"/>
          <w:color w:val="404040"/>
          <w:sz w:val="22"/>
          <w:szCs w:val="22"/>
        </w:rPr>
        <w:t xml:space="preserve">Insight: Technology leads in revenue despite fewer units sold, confirming higher average selling price. Office Supplies move the highest volume but require scale to match category revenues.</w:t>
      </w:r>
    </w:p>
    <w:p>
      <w:pPr>
        <w:spacing w:after="240" w:before="0"/>
      </w:pPr>
      <w:r>
        <w:t xml:space="preserve"/>
      </w:r>
    </w:p>
    <w:p>
      <w:pPr>
        <w:pStyle w:val="Heading1"/>
        <w:spacing w:after="120" w:before="360"/>
      </w:pPr>
      <w:r>
        <w:rPr>
          <w:rFonts w:ascii="Arial" w:cs="Arial" w:eastAsia="Arial" w:hAnsi="Arial"/>
          <w:b/>
          <w:bCs/>
          <w:color w:val="1F4E79"/>
          <w:sz w:val="32"/>
          <w:szCs w:val="32"/>
        </w:rPr>
        <w:t xml:space="preserve">4. Customer &amp; Regional Analysis</w:t>
      </w:r>
    </w:p>
    <w:p>
      <w:pPr>
        <w:pStyle w:val="Heading2"/>
        <w:pBdr>
          <w:bottom w:val="single" w:color="2E86AB" w:sz="4" w:space="2"/>
        </w:pBdr>
        <w:spacing w:after="80" w:before="240"/>
      </w:pPr>
      <w:r>
        <w:rPr>
          <w:rFonts w:ascii="Arial" w:cs="Arial" w:eastAsia="Arial" w:hAnsi="Arial"/>
          <w:b/>
          <w:bCs/>
          <w:color w:val="2E86AB"/>
          <w:sz w:val="26"/>
          <w:szCs w:val="26"/>
        </w:rPr>
        <w:t xml:space="preserve">4.1  Customer Lifetime Value (CLV)</w:t>
      </w:r>
    </w:p>
    <w:p>
      <w:pPr>
        <w:spacing w:after="80" w:before="60"/>
      </w:pPr>
      <w:r>
        <w:rPr>
          <w:rFonts w:ascii="Arial" w:cs="Arial" w:eastAsia="Arial" w:hAnsi="Arial"/>
          <w:color w:val="404040"/>
          <w:sz w:val="22"/>
          <w:szCs w:val="22"/>
        </w:rPr>
        <w:t xml:space="preserve">Using SQL Section 6, customers were ranked by total lifetime revenue to identify high-value accounts.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1200"/>
        <w:gridCol w:w="220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Lifetime Revenue (₹)</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Order Value (₹)</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Alpha Corp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West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Corporate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2,12,625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35,438</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Delta Partners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South</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Corporate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1,98,540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39,708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Beta LLC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East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Consumer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1,76,890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29,482</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Gamma Inc</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Central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Home Office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1,54,320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30,864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Epsilon Co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West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Consumer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1,04,975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20,995</w:t>
            </w:r>
          </w:p>
        </w:tc>
      </w:tr>
    </w:tbl>
    <w:p>
      <w:pPr>
        <w:spacing w:after="120" w:before="0"/>
      </w:pPr>
      <w:r>
        <w:t xml:space="preserve"/>
      </w:r>
    </w:p>
    <w:p>
      <w:pPr>
        <w:spacing w:after="80" w:before="60"/>
      </w:pPr>
      <w:r>
        <w:rPr>
          <w:rFonts w:ascii="Arial" w:cs="Arial" w:eastAsia="Arial" w:hAnsi="Arial"/>
          <w:color w:val="404040"/>
          <w:sz w:val="22"/>
          <w:szCs w:val="22"/>
        </w:rPr>
        <w:t xml:space="preserve">Insight: Corporate segment customers (Alpha Corp, Delta Partners) deliver the highest CLV and average order value. The West region accounts for two of the top three customers.</w:t>
      </w:r>
    </w:p>
    <w:p>
      <w:pPr>
        <w:spacing w:after="240" w:before="0"/>
      </w:pPr>
      <w:r>
        <w:t xml:space="preserve"/>
      </w:r>
    </w:p>
    <w:p>
      <w:pPr>
        <w:pStyle w:val="Heading2"/>
        <w:pBdr>
          <w:bottom w:val="single" w:color="2E86AB" w:sz="4" w:space="2"/>
        </w:pBdr>
        <w:spacing w:after="80" w:before="240"/>
      </w:pPr>
      <w:r>
        <w:rPr>
          <w:rFonts w:ascii="Arial" w:cs="Arial" w:eastAsia="Arial" w:hAnsi="Arial"/>
          <w:b/>
          <w:bCs/>
          <w:color w:val="2E86AB"/>
          <w:sz w:val="26"/>
          <w:szCs w:val="26"/>
        </w:rPr>
        <w:t xml:space="preserve">4.2  Region × Segment Profitability</w:t>
      </w:r>
    </w:p>
    <w:p>
      <w:pPr>
        <w:spacing w:after="80" w:before="60"/>
      </w:pPr>
      <w:r>
        <w:rPr>
          <w:rFonts w:ascii="Arial" w:cs="Arial" w:eastAsia="Arial" w:hAnsi="Arial"/>
          <w:color w:val="404040"/>
          <w:sz w:val="22"/>
          <w:szCs w:val="22"/>
        </w:rPr>
        <w:t xml:space="preserve">SQL Section 5 cross-tabulated region and customer segment to highlight the most profitable combinations for targeted sales strategy.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2200"/>
        <w:gridCol w:w="2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West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Corporate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2,12,625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65,914</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South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Corporate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1,98,540</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61,547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East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Consumer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1,76,890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54,836</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Central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Home Office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1,54,320</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47,839</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West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Consumer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1,04,975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32,542</w:t>
            </w:r>
          </w:p>
        </w:tc>
      </w:tr>
    </w:tbl>
    <w:p>
      <w:pPr>
        <w:spacing w:after="240" w:before="0"/>
      </w:pPr>
      <w:r>
        <w:t xml:space="preserve"/>
      </w:r>
    </w:p>
    <w:p>
      <w:pPr>
        <w:pStyle w:val="Heading1"/>
        <w:spacing w:after="120" w:before="360"/>
      </w:pPr>
      <w:r>
        <w:rPr>
          <w:rFonts w:ascii="Arial" w:cs="Arial" w:eastAsia="Arial" w:hAnsi="Arial"/>
          <w:b/>
          <w:bCs/>
          <w:color w:val="1F4E79"/>
          <w:sz w:val="32"/>
          <w:szCs w:val="32"/>
        </w:rPr>
        <w:t xml:space="preserve">5. Discount &amp; Pricing Analysis</w:t>
      </w:r>
    </w:p>
    <w:p>
      <w:pPr>
        <w:spacing w:after="80" w:before="60"/>
      </w:pPr>
      <w:r>
        <w:rPr>
          <w:rFonts w:ascii="Arial" w:cs="Arial" w:eastAsia="Arial" w:hAnsi="Arial"/>
          <w:color w:val="404040"/>
          <w:sz w:val="22"/>
          <w:szCs w:val="22"/>
        </w:rPr>
        <w:t xml:space="preserve">SQL Section 7 banded discount rates to measure their impact on order value and revenue. This analysis informs pricing and promotional strategies.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Discount Band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 Lines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Revenue (₹)</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Order Value (₹)</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0% – No Discount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4,61,950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35,534</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1–5%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2,14,880</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35,813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6–10%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1,22,100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30,525</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11–20%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48,420</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24,210</w:t>
            </w:r>
          </w:p>
        </w:tc>
      </w:tr>
    </w:tbl>
    <w:p>
      <w:pPr>
        <w:spacing w:after="120" w:before="0"/>
      </w:pPr>
      <w:r>
        <w:t xml:space="preserve"/>
      </w:r>
    </w:p>
    <w:p>
      <w:pPr>
        <w:spacing w:after="80" w:before="60"/>
      </w:pPr>
      <w:r>
        <w:rPr>
          <w:rFonts w:ascii="Arial" w:cs="Arial" w:eastAsia="Arial" w:hAnsi="Arial"/>
          <w:color w:val="404040"/>
          <w:sz w:val="22"/>
          <w:szCs w:val="22"/>
        </w:rPr>
        <w:t xml:space="preserve">Key finding: Orders with zero discount generate 54.5% of total revenue and the highest average order value. Discounts above 10% sharply reduce average order size — suggesting a need for tighter approval thresholds on high-discount deals.</w:t>
      </w:r>
    </w:p>
    <w:p>
      <w:pPr>
        <w:spacing w:after="240" w:before="0"/>
      </w:pPr>
      <w:r>
        <w:t xml:space="preserve"/>
      </w:r>
    </w:p>
    <w:p>
      <w:pPr>
        <w:pStyle w:val="Heading1"/>
        <w:spacing w:after="120" w:before="360"/>
      </w:pPr>
      <w:r>
        <w:rPr>
          <w:rFonts w:ascii="Arial" w:cs="Arial" w:eastAsia="Arial" w:hAnsi="Arial"/>
          <w:b/>
          <w:bCs/>
          <w:color w:val="1F4E79"/>
          <w:sz w:val="32"/>
          <w:szCs w:val="32"/>
        </w:rPr>
        <w:t xml:space="preserve">6. Quarter-over-Quarter Performance</w:t>
      </w:r>
    </w:p>
    <w:p>
      <w:pPr>
        <w:spacing w:after="80" w:before="60"/>
      </w:pPr>
      <w:r>
        <w:rPr>
          <w:rFonts w:ascii="Arial" w:cs="Arial" w:eastAsia="Arial" w:hAnsi="Arial"/>
          <w:color w:val="404040"/>
          <w:sz w:val="22"/>
          <w:szCs w:val="22"/>
        </w:rPr>
        <w:t xml:space="preserve">SQL Section 9 used a CTE and the LAG() window function to compute QoQ growth, a metric commonly requested in executive dashboards.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Quarter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QoQ Change (₹)</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QoQ Growth %</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Q1 2023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1,62,600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Q2 2023</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2,65,830</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+1,03,230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+63.5%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Q3 2023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2,12,730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-53,100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-20.0%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Q4 2023</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2,04,190</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-8,540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-4.0%</w:t>
            </w:r>
          </w:p>
        </w:tc>
      </w:tr>
    </w:tbl>
    <w:p>
      <w:pPr>
        <w:spacing w:after="120" w:before="0"/>
      </w:pPr>
      <w:r>
        <w:t xml:space="preserve"/>
      </w:r>
    </w:p>
    <w:p>
      <w:pPr>
        <w:spacing w:after="80" w:before="60"/>
      </w:pPr>
      <w:r>
        <w:rPr>
          <w:rFonts w:ascii="Arial" w:cs="Arial" w:eastAsia="Arial" w:hAnsi="Arial"/>
          <w:color w:val="404040"/>
          <w:sz w:val="22"/>
          <w:szCs w:val="22"/>
        </w:rPr>
        <w:t xml:space="preserve">Q2 saw the strongest growth (+63.5%), driven by large Technology and Furniture orders. The modest Q3–Q4 decline is consistent with post-procurement seasonality and warrants further investigation into pipeline opportunities for H1 2024.</w:t>
      </w:r>
    </w:p>
    <w:p>
      <w:pPr>
        <w:spacing w:after="240" w:before="0"/>
      </w:pPr>
      <w:r>
        <w:t xml:space="preserve"/>
      </w:r>
    </w:p>
    <w:p>
      <w:pPr>
        <w:pStyle w:val="Heading1"/>
        <w:spacing w:after="120" w:before="360"/>
      </w:pPr>
      <w:r>
        <w:rPr>
          <w:rFonts w:ascii="Arial" w:cs="Arial" w:eastAsia="Arial" w:hAnsi="Arial"/>
          <w:b/>
          <w:bCs/>
          <w:color w:val="1F4E79"/>
          <w:sz w:val="32"/>
          <w:szCs w:val="32"/>
        </w:rPr>
        <w:t xml:space="preserve">7. Business Recommendations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3160"/>
        <w:gridCol w:w="10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Supporting Finding</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Focus sales resources on West &amp; South Corporate accounts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Highest CLV &amp; profit per order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2</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Set a 10% discount cap and require approval above that tier</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Discounts &gt;10% erode avg order value 32%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Expand Technology product range — keyboards, monitors, stands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 revenue category with healthy margins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4</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Launch a Q3 promotional campaign to offset seasonal slowdown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Q3 revenue dipped 20% vs Q2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Build a Power BI dashboard sourcing vw_kpi_summary view</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View created for real-time executive KPIs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Low</w:t>
            </w:r>
          </w:p>
        </w:tc>
      </w:tr>
    </w:tbl>
    <w:p>
      <w:pPr>
        <w:spacing w:after="240" w:before="0"/>
      </w:pPr>
      <w:r>
        <w:t xml:space="preserve"/>
      </w:r>
    </w:p>
    <w:p>
      <w:pPr>
        <w:pStyle w:val="Heading1"/>
        <w:spacing w:after="120" w:before="360"/>
      </w:pPr>
      <w:r>
        <w:rPr>
          <w:rFonts w:ascii="Arial" w:cs="Arial" w:eastAsia="Arial" w:hAnsi="Arial"/>
          <w:b/>
          <w:bCs/>
          <w:color w:val="1F4E79"/>
          <w:sz w:val="32"/>
          <w:szCs w:val="32"/>
        </w:rPr>
        <w:t xml:space="preserve">8. Technical Notes &amp; Skills Demonstrated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SQL Concept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Where Used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JOINs (INNER)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All queries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Combine orders, products, customers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GROUP BY + Aggregates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Sections 1–6</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Revenue, profit, unit summaries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CASE WHEN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Sections 7, 9</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Bucketing discounts &amp; quarters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CTE (WITH clause)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Section 9</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QoQ comparison using LAG()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Window Function: LAG()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Section 9</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Period-over-period analysis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NULLIF()</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Sections 1, 5, 9</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Prevent division-by-zero errors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CREATE VIEW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Section 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Reusable layer for BI tools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Date Functions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Sections 2, 8, 9</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Monthly trends, ship times</w:t>
            </w:r>
          </w:p>
        </w:tc>
      </w:tr>
    </w:tbl>
    <w:p>
      <w:pPr>
        <w:spacing w:after="240" w:before="0"/>
      </w:pPr>
      <w:r>
        <w:t xml:space="preserve"/>
      </w:r>
    </w:p>
    <w:p>
      <w:pPr>
        <w:pStyle w:val="Heading1"/>
        <w:spacing w:after="120" w:before="360"/>
      </w:pPr>
      <w:r>
        <w:rPr>
          <w:rFonts w:ascii="Arial" w:cs="Arial" w:eastAsia="Arial" w:hAnsi="Arial"/>
          <w:b/>
          <w:bCs/>
          <w:color w:val="1F4E79"/>
          <w:sz w:val="32"/>
          <w:szCs w:val="32"/>
        </w:rPr>
        <w:t xml:space="preserve">9. Conclusion</w:t>
      </w:r>
    </w:p>
    <w:p>
      <w:pPr>
        <w:spacing w:after="80" w:before="60"/>
      </w:pPr>
      <w:r>
        <w:rPr>
          <w:rFonts w:ascii="Arial" w:cs="Arial" w:eastAsia="Arial" w:hAnsi="Arial"/>
          <w:color w:val="404040"/>
          <w:sz w:val="22"/>
          <w:szCs w:val="22"/>
        </w:rPr>
        <w:t xml:space="preserve">This project demonstrates end-to-end data analysis skills relevant to an entry-level data analyst role: database design, SQL query authoring (from basic aggregations to window functions and CTEs), business insight derivation, and professional reporting. The companion SQL file (sales_analytics.sql) contains all queries with inline comments explaining business intent and can be executed directly in SQLite, MySQL, or PostgreSQL.</w:t>
      </w:r>
    </w:p>
    <w:p>
      <w:pPr>
        <w:spacing w:after="120" w:before="0"/>
      </w:pPr>
      <w:r>
        <w:t xml:space="preserve"/>
      </w:r>
    </w:p>
    <w:p>
      <w:pPr>
        <w:spacing w:after="80" w:before="60"/>
      </w:pPr>
      <w:r>
        <w:rPr>
          <w:rFonts w:ascii="Arial" w:cs="Arial" w:eastAsia="Arial" w:hAnsi="Arial"/>
          <w:color w:val="404040"/>
          <w:sz w:val="22"/>
          <w:szCs w:val="22"/>
        </w:rPr>
        <w:t xml:space="preserve">The analysis is available as a GitHub repository (link in resume) containing:</w:t>
      </w:r>
    </w:p>
    <w:p>
      <w:pPr>
        <w:pStyle w:val="ListParagraph"/>
        <w:numPr>
          <w:ilvl w:val="0"/>
          <w:numId w:val="2"/>
        </w:numPr>
        <w:spacing w:after="40" w:before="40"/>
      </w:pPr>
      <w:r>
        <w:rPr>
          <w:rFonts w:ascii="Arial" w:cs="Arial" w:eastAsia="Arial" w:hAnsi="Arial"/>
          <w:color w:val="404040"/>
          <w:sz w:val="22"/>
          <w:szCs w:val="22"/>
        </w:rPr>
        <w:t xml:space="preserve">sales_analytics.sql — all 10 query sections with setup DDL and sample data</w:t>
      </w:r>
    </w:p>
    <w:p>
      <w:pPr>
        <w:pStyle w:val="ListParagraph"/>
        <w:numPr>
          <w:ilvl w:val="0"/>
          <w:numId w:val="2"/>
        </w:numPr>
        <w:spacing w:after="40" w:before="40"/>
      </w:pPr>
      <w:r>
        <w:rPr>
          <w:rFonts w:ascii="Arial" w:cs="Arial" w:eastAsia="Arial" w:hAnsi="Arial"/>
          <w:color w:val="404040"/>
          <w:sz w:val="22"/>
          <w:szCs w:val="22"/>
        </w:rPr>
        <w:t xml:space="preserve">sales_data_2023.xlsx — cleaned data file with pivot tables and summary charts</w:t>
      </w:r>
    </w:p>
    <w:p>
      <w:pPr>
        <w:pStyle w:val="ListParagraph"/>
        <w:numPr>
          <w:ilvl w:val="0"/>
          <w:numId w:val="2"/>
        </w:numPr>
        <w:spacing w:after="40" w:before="40"/>
      </w:pPr>
      <w:r>
        <w:rPr>
          <w:rFonts w:ascii="Arial" w:cs="Arial" w:eastAsia="Arial" w:hAnsi="Arial"/>
          <w:color w:val="404040"/>
          <w:sz w:val="22"/>
          <w:szCs w:val="22"/>
        </w:rPr>
        <w:t xml:space="preserve">Sales_Dashboard.pbix — Power BI dashboard wired to the KPI summary view</w:t>
      </w:r>
    </w:p>
    <w:p>
      <w:pPr>
        <w:pStyle w:val="ListParagraph"/>
        <w:numPr>
          <w:ilvl w:val="0"/>
          <w:numId w:val="2"/>
        </w:numPr>
        <w:spacing w:after="40" w:before="40"/>
      </w:pPr>
      <w:r>
        <w:rPr>
          <w:rFonts w:ascii="Arial" w:cs="Arial" w:eastAsia="Arial" w:hAnsi="Arial"/>
          <w:color w:val="404040"/>
          <w:sz w:val="22"/>
          <w:szCs w:val="22"/>
        </w:rPr>
        <w:t xml:space="preserve">README.md — project overview, setup instructions, and key insights</w:t>
      </w:r>
    </w:p>
    <w:p>
      <w:pPr>
        <w:spacing w:after="240" w:before="0"/>
      </w:pPr>
      <w:r>
        <w:t xml:space="preserve"/>
      </w:r>
    </w:p>
    <w:p>
      <w:pPr>
        <w:pBdr>
          <w:top w:val="single" w:color="1F4E79" w:sz="8"/>
        </w:pBdr>
        <w:spacing w:after="80" w:before="240"/>
      </w:pPr>
      <w:r>
        <w:t xml:space="preserve"/>
      </w:r>
    </w:p>
    <w:p>
      <w:pPr>
        <w:jc w:val="center"/>
      </w:pPr>
      <w:r>
        <w:rPr>
          <w:rFonts w:ascii="Arial" w:cs="Arial" w:eastAsia="Arial" w:hAnsi="Arial"/>
          <w:color w:val="888888"/>
          <w:sz w:val="16"/>
          <w:szCs w:val="16"/>
        </w:rPr>
        <w:t xml:space="preserve">Prepared by [Your Name]  •  [your.email@gmail.com]  •  linkedin.com/in/yourprofile  •  github.com/yourhandle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spacing w:before="80"/>
      <w:jc w:val="right"/>
    </w:pPr>
    <w:r>
      <w:rPr>
        <w:rFonts w:ascii="Arial" w:cs="Arial" w:eastAsia="Arial" w:hAnsi="Arial"/>
        <w:color w:val="888888"/>
        <w:sz w:val="16"/>
        <w:szCs w:val="16"/>
      </w:rPr>
      <w:t xml:space="preserve">Page 1+  |  Retail Sales Analysis 2023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1"/>
      </w:pBdr>
      <w:spacing w:after="80"/>
    </w:pPr>
    <w:r>
      <w:rPr>
        <w:rFonts w:ascii="Arial" w:cs="Arial" w:eastAsia="Arial" w:hAnsi="Arial"/>
        <w:b/>
        <w:bCs/>
        <w:color w:val="888888"/>
        <w:sz w:val="18"/>
        <w:szCs w:val="18"/>
      </w:rPr>
      <w:t xml:space="preserve">RETAIL SALES PERFORMANCE ANALYSIS  |  FY 2023</w:t>
    </w:r>
    <w:r>
      <w:rPr>
        <w:rFonts w:ascii="Arial" w:cs="Arial" w:eastAsia="Arial" w:hAnsi="Arial"/>
        <w:color w:val="AAAAAA"/>
        <w:sz w:val="16"/>
        <w:szCs w:val="16"/>
      </w:rPr>
      <w:t xml:space="preserve">    Prepared by: [Your Name]  |  Entry-Level Data Analyst Portfolio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2026-05-14T19:53:21.663Z</dcterms:created>
  <dcterms:modified xsi:type="dcterms:W3CDTF">2026-05-14T19:53:21.663Z</dcterms:modified>
</cp:coreProperties>
</file>

<file path=docProps/custom.xml><?xml version="1.0" encoding="utf-8"?>
<Properties xmlns="http://schemas.openxmlformats.org/officeDocument/2006/custom-properties" xmlns:vt="http://schemas.openxmlformats.org/officeDocument/2006/docPropsVTypes"/>
</file>