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A5F"/>
          <w:sz w:val="40"/>
          <w:szCs w:val="40"/>
        </w:rPr>
        <w:t xml:space="preserve">TRANSFORMER DESIGN</w:t>
      </w:r>
    </w:p>
    <w:p>
      <w:pPr>
        <w:spacing w:after="80"/>
        <w:jc w:val="center"/>
      </w:pPr>
      <w:r>
        <w:rPr>
          <w:rFonts w:ascii="Arial" w:cs="Arial" w:eastAsia="Arial" w:hAnsi="Arial"/>
          <w:color w:val="5F5E5A"/>
          <w:sz w:val="24"/>
          <w:szCs w:val="24"/>
        </w:rPr>
        <w:t xml:space="preserve">Complete Revision History</w:t>
      </w:r>
    </w:p>
    <w:p>
      <w:pPr>
        <w:spacing w:after="300"/>
        <w:jc w:val="center"/>
      </w:pPr>
      <w:r>
        <w:rPr>
          <w:rFonts w:ascii="Arial" w:cs="Arial" w:eastAsia="Arial" w:hAnsi="Arial"/>
          <w:i/>
          <w:iCs/>
          <w:color w:val="888780"/>
          <w:sz w:val="20"/>
          <w:szCs w:val="20"/>
        </w:rPr>
        <w:t xml:space="preserve">Stage 1 Push-Pull DC-DC Converter, 12V → 325V</w:t>
      </w:r>
    </w:p>
    <w:p>
      <w:pPr>
        <w:pBdr>
          <w:left w:val="single" w:color="C04828" w:sz="24" w:space="8"/>
        </w:pBdr>
        <w:shd w:fill="EAF3DE" w:val="clear"/>
        <w:spacing w:after="120" w:before="120"/>
        <w:ind w:left="100"/>
      </w:pPr>
      <w:r>
        <w:rPr>
          <w:rFonts w:ascii="Arial" w:cs="Arial" w:eastAsia="Arial" w:hAnsi="Arial"/>
          <w:i/>
          <w:iCs/>
          <w:sz w:val="20"/>
          <w:szCs w:val="20"/>
        </w:rPr>
        <w:t xml:space="preserve">PURPOSE OF THIS DOCUMENT: This is a chronological record of every major design change made, WHY each change happened, and what triggered it. Read this alongside the final build spec (Rev E) to understand how the design arrived at its current numbers, and which assumptions still need bench verification.</w:t>
      </w:r>
    </w:p>
    <w:p>
      <w:pPr>
        <w:pStyle w:val="Heading1"/>
      </w:pPr>
      <w:r>
        <w:t xml:space="preserve">Revision 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860"/>
        <w:gridCol w:w="3000"/>
      </w:tblGrid>
      <w:tr>
        <w:trPr>
          <w:tblHeader/>
        </w:trPr>
        <w:tc>
          <w:tcPr>
            <w:tcW w:type="dxa" w:w="11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left"/>
            </w:pPr>
            <w:r>
              <w:rPr>
                <w:rFonts w:ascii="Arial" w:cs="Arial" w:eastAsia="Arial" w:hAnsi="Arial"/>
                <w:b/>
                <w:bCs/>
                <w:color w:val="FFFFFF"/>
                <w:sz w:val="18"/>
                <w:szCs w:val="18"/>
              </w:rPr>
              <w:t xml:space="preserve">Rev</w:t>
            </w:r>
          </w:p>
        </w:tc>
        <w:tc>
          <w:tcPr>
            <w:tcW w:type="dxa" w:w="24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left"/>
            </w:pPr>
            <w:r>
              <w:rPr>
                <w:rFonts w:ascii="Arial" w:cs="Arial" w:eastAsia="Arial" w:hAnsi="Arial"/>
                <w:b/>
                <w:bCs/>
                <w:color w:val="FFFFFF"/>
                <w:sz w:val="18"/>
                <w:szCs w:val="18"/>
              </w:rPr>
              <w:t xml:space="preserve">Core/Window basis</w:t>
            </w:r>
          </w:p>
        </w:tc>
        <w:tc>
          <w:tcPr>
            <w:tcW w:type="dxa" w:w="286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left"/>
            </w:pPr>
            <w:r>
              <w:rPr>
                <w:rFonts w:ascii="Arial" w:cs="Arial" w:eastAsia="Arial" w:hAnsi="Arial"/>
                <w:b/>
                <w:bCs/>
                <w:color w:val="FFFFFF"/>
                <w:sz w:val="18"/>
                <w:szCs w:val="18"/>
              </w:rPr>
              <w:t xml:space="preserve">Key numbers (Nph/Nsec/n)</w:t>
            </w:r>
          </w:p>
        </w:tc>
        <w:tc>
          <w:tcPr>
            <w:tcW w:type="dxa" w:w="30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left"/>
            </w:pPr>
            <w:r>
              <w:rPr>
                <w:rFonts w:ascii="Arial" w:cs="Arial" w:eastAsia="Arial" w:hAnsi="Arial"/>
                <w:b/>
                <w:bCs/>
                <w:color w:val="FFFFFF"/>
                <w:sz w:val="18"/>
                <w:szCs w:val="18"/>
              </w:rPr>
              <w:t xml:space="preserve">Trigger for change</w:t>
            </w:r>
          </w:p>
        </w:tc>
      </w:tr>
      <w:tr>
        <w:tc>
          <w:tcPr>
            <w:tcW w:type="dxa" w:w="11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A</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EE35, ungapped, estimated window</w:t>
            </w:r>
          </w:p>
        </w:tc>
        <w:tc>
          <w:tcPr>
            <w:tcW w:type="dxa" w:w="28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n=72→19; 4→16 turns/half</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Initial n=72 found unjustifiable; re-derived from duty-cycle margin</w:t>
            </w:r>
          </w:p>
        </w:tc>
      </w:tr>
      <w:tr>
        <w:tc>
          <w:tcPr>
            <w:tcW w:type="dxa" w:w="11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B</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Switched to EE20/EE2005S core (team had this in stock)</w:t>
            </w:r>
          </w:p>
        </w:tc>
        <w:tc>
          <w:tcPr>
            <w:tcW w:type="dxa" w:w="28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Nph=14, Nsec=565, n=40.4</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AL=227nH (gapped) made EE35 turns ratio invalid for this core</w:t>
            </w:r>
          </w:p>
        </w:tc>
      </w:tr>
      <w:tr>
        <w:tc>
          <w:tcPr>
            <w:tcW w:type="dxa" w:w="11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C</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Same core, fixed 12V input (not 10–15V range)</w:t>
            </w:r>
          </w:p>
        </w:tc>
        <w:tc>
          <w:tcPr>
            <w:tcW w:type="dxa" w:w="28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Nph=16, Nsec=363, n=22.67</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User rejected 710V worst-case theoretical ceiling; bench-only scope set</w:t>
            </w:r>
          </w:p>
        </w:tc>
      </w:tr>
      <w:tr>
        <w:tc>
          <w:tcPr>
            <w:tcW w:type="dxa" w:w="11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D</w:t>
            </w:r>
          </w:p>
        </w:tc>
        <w:tc>
          <w:tcPr>
            <w:tcW w:type="dxa" w:w="24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Same core, CORRECTED gate timing</w:t>
            </w:r>
          </w:p>
        </w:tc>
        <w:tc>
          <w:tcPr>
            <w:tcW w:type="dxa" w:w="286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Nph=16→12→22 (see below), n=17.00</w:t>
            </w:r>
          </w:p>
        </w:tc>
        <w:tc>
          <w:tcPr>
            <w:tcW w:type="dxa" w:w="30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User corrected duty-cycle definition (40%/10%/40%/10% of FULL period)</w:t>
            </w:r>
          </w:p>
        </w:tc>
      </w:tr>
      <w:tr>
        <w:tc>
          <w:tcPr>
            <w:tcW w:type="dxa" w:w="1100"/>
            <w:tcBorders>
              <w:top w:val="single" w:color="AAAAAA" w:sz="1"/>
              <w:left w:val="single" w:color="AAAAAA" w:sz="1"/>
              <w:bottom w:val="single" w:color="AAAAAA" w:sz="1"/>
              <w:right w:val="single" w:color="AAAAAA" w:sz="1"/>
            </w:tcBorders>
            <w:shd w:fill="EAF3DE"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E (final)</w:t>
            </w:r>
          </w:p>
        </w:tc>
        <w:tc>
          <w:tcPr>
            <w:tcW w:type="dxa" w:w="2400"/>
            <w:tcBorders>
              <w:top w:val="single" w:color="AAAAAA" w:sz="1"/>
              <w:left w:val="single" w:color="AAAAAA" w:sz="1"/>
              <w:bottom w:val="single" w:color="AAAAAA" w:sz="1"/>
              <w:right w:val="single" w:color="AAAAAA" w:sz="1"/>
            </w:tcBorders>
            <w:shd w:fill="EAF3DE"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MEASURED window (12.5×3mm), ACTUAL stock wire (SWG30–38)</w:t>
            </w:r>
          </w:p>
        </w:tc>
        <w:tc>
          <w:tcPr>
            <w:tcW w:type="dxa" w:w="2860"/>
            <w:tcBorders>
              <w:top w:val="single" w:color="AAAAAA" w:sz="1"/>
              <w:left w:val="single" w:color="AAAAAA" w:sz="1"/>
              <w:bottom w:val="single" w:color="AAAAAA" w:sz="1"/>
              <w:right w:val="single" w:color="AAAAAA" w:sz="1"/>
            </w:tcBorders>
            <w:shd w:fill="EAF3DE"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Nph=22, Nsec=374, n=17.00</w:t>
            </w:r>
          </w:p>
        </w:tc>
        <w:tc>
          <w:tcPr>
            <w:tcW w:type="dxa" w:w="3000"/>
            <w:tcBorders>
              <w:top w:val="single" w:color="AAAAAA" w:sz="1"/>
              <w:left w:val="single" w:color="AAAAAA" w:sz="1"/>
              <w:bottom w:val="single" w:color="AAAAAA" w:sz="1"/>
              <w:right w:val="single" w:color="AAAAAA" w:sz="1"/>
            </w:tcBorders>
            <w:shd w:fill="EAF3DE"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Real caliper measurements + real wire inventory replaced estimates</w:t>
            </w:r>
          </w:p>
        </w:tc>
      </w:tr>
    </w:tbl>
    <w:p>
      <w:pPr>
        <w:pStyle w:val="Heading1"/>
      </w:pPr>
      <w:r>
        <w:t xml:space="preserve">Revision A → B: Core Change (EE35 → EE20)</w:t>
      </w:r>
    </w:p>
    <w:p>
      <w:pPr>
        <w:spacing w:after="120"/>
      </w:pPr>
      <w:r>
        <w:rPr>
          <w:rFonts w:ascii="Arial" w:cs="Arial" w:eastAsia="Arial" w:hAnsi="Arial"/>
          <w:sz w:val="21"/>
          <w:szCs w:val="21"/>
        </w:rPr>
        <w:t xml:space="preserve">Original design used an EE35 core with assumed/typical Ae, le, µr values (never from a confirmed datasheet). The electrical team’s actual available core was an EE20-class (EE2005S, Cosmo Ferrites), with a real datasheet confirming AL=227nH/turn² — a GAPPED core.</w:t>
      </w:r>
    </w:p>
    <w:p>
      <w:pPr>
        <w:spacing w:after="120"/>
      </w:pPr>
      <w:r>
        <w:rPr>
          <w:rFonts w:ascii="Arial" w:cs="Arial" w:eastAsia="Arial" w:hAnsi="Arial"/>
          <w:sz w:val="21"/>
          <w:szCs w:val="21"/>
        </w:rPr>
        <w:t xml:space="preserve">This was a significant trigger: the EE35 turns ratio (n=19) did not transfer to EE20, because:</w:t>
      </w:r>
    </w:p>
    <w:p>
      <w:pPr>
        <w:pStyle w:val="ListParagraph"/>
        <w:numPr>
          <w:ilvl w:val="0"/>
          <w:numId w:val="2"/>
        </w:numPr>
        <w:spacing w:after="60"/>
      </w:pPr>
      <w:r>
        <w:rPr>
          <w:rFonts w:ascii="Arial" w:cs="Arial" w:eastAsia="Arial" w:hAnsi="Arial"/>
          <w:sz w:val="21"/>
          <w:szCs w:val="21"/>
        </w:rPr>
        <w:t xml:space="preserve">EE20's much smaller winding window (vs EE35) couldn't fit the EE35-derived turns counts.</w:t>
      </w:r>
    </w:p>
    <w:p>
      <w:pPr>
        <w:pStyle w:val="ListParagraph"/>
        <w:numPr>
          <w:ilvl w:val="0"/>
          <w:numId w:val="2"/>
        </w:numPr>
        <w:spacing w:after="60"/>
      </w:pPr>
      <w:r>
        <w:rPr>
          <w:rFonts w:ascii="Arial" w:cs="Arial" w:eastAsia="Arial" w:hAnsi="Arial"/>
          <w:sz w:val="21"/>
          <w:szCs w:val="21"/>
        </w:rPr>
        <w:t xml:space="preserve">AL=227nH is a low, gapped-core value — gapped cores are normally chosen for LOW magnetizing inductance (e.g. flyback), which is the opposite of what a push-pull primary wants.</w:t>
      </w:r>
    </w:p>
    <w:p>
      <w:pPr>
        <w:pStyle w:val="ListParagraph"/>
        <w:numPr>
          <w:ilvl w:val="0"/>
          <w:numId w:val="2"/>
        </w:numPr>
        <w:spacing w:after="60"/>
      </w:pPr>
      <w:r>
        <w:rPr>
          <w:rFonts w:ascii="Arial" w:cs="Arial" w:eastAsia="Arial" w:hAnsi="Arial"/>
          <w:sz w:val="21"/>
          <w:szCs w:val="21"/>
        </w:rPr>
        <w:t xml:space="preserve">Sweeping primary turns showed window-fit and acceptable-magnetizing-current requirements didn't overlap at ANY turns count on this core — a structural mismatch, not a tuning problem.</w:t>
      </w:r>
    </w:p>
    <w:p>
      <w:pPr>
        <w:spacing w:after="120"/>
      </w:pPr>
      <w:r>
        <w:rPr>
          <w:rFonts w:ascii="Arial" w:cs="Arial" w:eastAsia="Arial" w:hAnsi="Arial"/>
          <w:sz w:val="21"/>
          <w:szCs w:val="21"/>
        </w:rPr>
        <w:t xml:space="preserve">Decision: proceed with the available EE20/AL227 core anyway (team had it in hand, didn't want to wait on procurement), accepting elevated magnetizing current as a documented, known limitation rather than an error.</w:t>
      </w:r>
    </w:p>
    <w:p>
      <w:pPr>
        <w:pStyle w:val="Heading1"/>
      </w:pPr>
      <w:r>
        <w:t xml:space="preserve">Revision B → C: Fixed 12V Input (Removed Battery Range)</w:t>
      </w:r>
    </w:p>
    <w:p>
      <w:pPr>
        <w:pBdr>
          <w:left w:val="single" w:color="C04828" w:sz="24" w:space="8"/>
        </w:pBdr>
        <w:shd w:fill="FCEBEB" w:val="clear"/>
        <w:spacing w:after="120" w:before="120"/>
        <w:ind w:left="100"/>
      </w:pPr>
      <w:r>
        <w:rPr>
          <w:rFonts w:ascii="Arial" w:cs="Arial" w:eastAsia="Arial" w:hAnsi="Arial"/>
          <w:i/>
          <w:iCs/>
          <w:sz w:val="20"/>
          <w:szCs w:val="20"/>
        </w:rPr>
        <w:t xml:space="preserve">This was the most safety-critical correction in the whole process.</w:t>
      </w:r>
    </w:p>
    <w:p>
      <w:pPr>
        <w:spacing w:after="120"/>
      </w:pPr>
      <w:r>
        <w:rPr>
          <w:rFonts w:ascii="Arial" w:cs="Arial" w:eastAsia="Arial" w:hAnsi="Arial"/>
          <w:sz w:val="21"/>
          <w:szCs w:val="21"/>
        </w:rPr>
        <w:t xml:space="preserve">Rev B was sized for a 10–15V battery range (worst-case 10V). At that corner, duty cycle could rise toward ~88%, and the chosen turns ratio meant output could theoretically reach ~710V if the control loop ever lost regulation — far beyond safe bus capacitor ratings for a battery-powered build.</w:t>
      </w:r>
    </w:p>
    <w:p>
      <w:pPr>
        <w:spacing w:after="120"/>
      </w:pPr>
      <w:r>
        <w:rPr>
          <w:rFonts w:ascii="Arial" w:cs="Arial" w:eastAsia="Arial" w:hAnsi="Arial"/>
          <w:sz w:val="21"/>
          <w:szCs w:val="21"/>
        </w:rPr>
        <w:t xml:space="preserve">User explicitly rejected this: “I cannot accept a 710V design.” Scope was redefined: fixed 12V bench supply (not battery), 10W (down from 12W), explicitly a tabletop proof-of-concept. Battery sag, protection circuitry, and field robustness deferred to a later phase.</w:t>
      </w:r>
    </w:p>
    <w:p>
      <w:pPr>
        <w:spacing w:after="120"/>
      </w:pPr>
      <w:r>
        <w:rPr>
          <w:rFonts w:ascii="Arial" w:cs="Arial" w:eastAsia="Arial" w:hAnsi="Arial"/>
          <w:sz w:val="21"/>
          <w:szCs w:val="21"/>
        </w:rPr>
        <w:t xml:space="preserve">Result: turns ratio re-derived around a single fixed operating point (initially D=0.6, picked without re-deriving from the actual gate-timing constraint — this became the trigger for Rev D).</w:t>
      </w:r>
    </w:p>
    <w:p>
      <w:pPr>
        <w:pStyle w:val="Heading1"/>
      </w:pPr>
      <w:r>
        <w:t xml:space="preserve">Revision C → D: Corrected Gate Timing Definition</w:t>
      </w:r>
    </w:p>
    <w:p>
      <w:pPr>
        <w:pBdr>
          <w:left w:val="single" w:color="C04828" w:sz="24" w:space="8"/>
        </w:pBdr>
        <w:shd w:fill="FCEBEB" w:val="clear"/>
        <w:spacing w:after="120" w:before="120"/>
        <w:ind w:left="100"/>
      </w:pPr>
      <w:r>
        <w:rPr>
          <w:rFonts w:ascii="Arial" w:cs="Arial" w:eastAsia="Arial" w:hAnsi="Arial"/>
          <w:i/>
          <w:iCs/>
          <w:sz w:val="20"/>
          <w:szCs w:val="20"/>
        </w:rPr>
        <w:t xml:space="preserve">This revealed a real modeling mistake on Claude's part, not just a clarification.</w:t>
      </w:r>
    </w:p>
    <w:p>
      <w:pPr>
        <w:spacing w:after="120"/>
      </w:pPr>
      <w:r>
        <w:rPr>
          <w:rFonts w:ascii="Arial" w:cs="Arial" w:eastAsia="Arial" w:hAnsi="Arial"/>
          <w:sz w:val="21"/>
          <w:szCs w:val="21"/>
        </w:rPr>
        <w:t xml:space="preserve">Rev C used D=0.6 as duty cycle, picked as “a sensible centered value” without checking it against the user's already-established dead-time/cross-conduction requirement. When asked to justify it, the honest answer was: it wasn't derived from anything, it was a convenient round number.</w:t>
      </w:r>
    </w:p>
    <w:p>
      <w:pPr>
        <w:spacing w:after="120"/>
      </w:pPr>
      <w:r>
        <w:rPr>
          <w:rFonts w:ascii="Arial" w:cs="Arial" w:eastAsia="Arial" w:hAnsi="Arial"/>
          <w:sz w:val="21"/>
          <w:szCs w:val="21"/>
        </w:rPr>
        <w:t xml:space="preserve">Three rounds of clarification followed on what “duty cycle” meant:</w:t>
      </w:r>
    </w:p>
    <w:p>
      <w:pPr>
        <w:pStyle w:val="ListParagraph"/>
        <w:numPr>
          <w:ilvl w:val="0"/>
          <w:numId w:val="2"/>
        </w:numPr>
        <w:spacing w:after="60"/>
      </w:pPr>
      <w:r>
        <w:rPr>
          <w:rFonts w:ascii="Arial" w:cs="Arial" w:eastAsia="Arial" w:hAnsi="Arial"/>
          <w:sz w:val="21"/>
          <w:szCs w:val="21"/>
        </w:rPr>
        <w:t xml:space="preserve">Attempt 1: D=0.40 of each MOSFET's own half-period (ton=8µs) — user clarified this was not what they meant.</w:t>
      </w:r>
    </w:p>
    <w:p>
      <w:pPr>
        <w:pStyle w:val="ListParagraph"/>
        <w:numPr>
          <w:ilvl w:val="0"/>
          <w:numId w:val="2"/>
        </w:numPr>
        <w:spacing w:after="60"/>
      </w:pPr>
      <w:r>
        <w:rPr>
          <w:rFonts w:ascii="Arial" w:cs="Arial" w:eastAsia="Arial" w:hAnsi="Arial"/>
          <w:sz w:val="21"/>
          <w:szCs w:val="21"/>
        </w:rPr>
        <w:t xml:space="preserve">Attempt 2: User's restated definition — 40% ON / 10% dead / 40% ON / 10% dead, ALL relative to the FULL switching period (ton=16µs). This is double Attempt 1's on-time.</w:t>
      </w:r>
    </w:p>
    <w:p>
      <w:pPr>
        <w:pStyle w:val="ListParagraph"/>
        <w:numPr>
          <w:ilvl w:val="0"/>
          <w:numId w:val="2"/>
        </w:numPr>
        <w:spacing w:after="60"/>
      </w:pPr>
      <w:r>
        <w:rPr>
          <w:rFonts w:ascii="Arial" w:cs="Arial" w:eastAsia="Arial" w:hAnsi="Arial"/>
          <w:sz w:val="21"/>
          <w:szCs w:val="21"/>
        </w:rPr>
        <w:t xml:space="preserve">This was confirmed as final: ton=16µs, dead time=4µs per gap (8x margin over the 500ns minimum established earlier).</w:t>
      </w:r>
    </w:p>
    <w:p>
      <w:pPr>
        <w:spacing w:after="120"/>
      </w:pPr>
      <w:r>
        <w:rPr>
          <w:rFonts w:ascii="Arial" w:cs="Arial" w:eastAsia="Arial" w:hAnsi="Arial"/>
          <w:sz w:val="21"/>
          <w:szCs w:val="21"/>
        </w:rPr>
        <w:t xml:space="preserve">Re-deriving turns ratio with the correct ton=16µs gave n=17.00 (lower than Rev C's 22.67, since longer conduction time delivers more volt-seconds, needing fewer secondary turns for the same 325V target). Window-fit sweep under this corrected timing capped primary turns at Nph=16 (using AWG25/38 assumptions still in place at this point).</w:t>
      </w:r>
    </w:p>
    <w:p>
      <w:pPr>
        <w:pStyle w:val="Heading1"/>
      </w:pPr>
      <w:r>
        <w:t xml:space="preserve">Revision D → E: Real Measurements Replace Estimates</w:t>
      </w:r>
    </w:p>
    <w:p>
      <w:pPr>
        <w:spacing w:after="120"/>
      </w:pPr>
      <w:r>
        <w:rPr>
          <w:rFonts w:ascii="Arial" w:cs="Arial" w:eastAsia="Arial" w:hAnsi="Arial"/>
          <w:sz w:val="21"/>
          <w:szCs w:val="21"/>
        </w:rPr>
        <w:t xml:space="preserve">Two remaining assumptions were replaced with real data from the user's electrical team:</w:t>
      </w:r>
    </w:p>
    <w:p>
      <w:pPr>
        <w:pStyle w:val="Heading2"/>
      </w:pPr>
      <w:r>
        <w:t xml:space="preserve">1. Wire gauge: AWG → SWG (and then to ACTUAL stock)</w:t>
      </w:r>
    </w:p>
    <w:p>
      <w:pPr>
        <w:spacing w:after="120"/>
      </w:pPr>
      <w:r>
        <w:rPr>
          <w:rFonts w:ascii="Arial" w:cs="Arial" w:eastAsia="Arial" w:hAnsi="Arial"/>
          <w:sz w:val="21"/>
          <w:szCs w:val="21"/>
        </w:rPr>
        <w:t xml:space="preserve">All prior revisions assumed AWG25/AWG38 wire. The team's actual stock was SWG, not AWG — confirmed to be a real difference, not a units relabeling: SWG25 is 1.25x the cross-sectional area of AWG25; SWG38 is 2.26x the area of AWG38. Re-running the window fit with true SWG25/38 dimensions broke the Rev D fit (window overflow), forcing Nph down to 12 and pushing magnetizing current ratio up to 599% — the worst point in the whole process.</w:t>
      </w:r>
    </w:p>
    <w:p>
      <w:pPr>
        <w:spacing w:after="120"/>
      </w:pPr>
      <w:r>
        <w:rPr>
          <w:rFonts w:ascii="Arial" w:cs="Arial" w:eastAsia="Arial" w:hAnsi="Arial"/>
          <w:sz w:val="21"/>
          <w:szCs w:val="21"/>
        </w:rPr>
        <w:t xml:space="preserve">Further checking with the electrical team revealed SWG25/38 were not even the correct available stock — actual inventory was SWG30/32/34/36/38 (all thinner than initially stated).</w:t>
      </w:r>
    </w:p>
    <w:p>
      <w:pPr>
        <w:pStyle w:val="Heading2"/>
      </w:pPr>
      <w:r>
        <w:t xml:space="preserve">2. Bobbin window: estimated → measured</w:t>
      </w:r>
    </w:p>
    <w:p>
      <w:pPr>
        <w:spacing w:after="120"/>
      </w:pPr>
      <w:r>
        <w:rPr>
          <w:rFonts w:ascii="Arial" w:cs="Arial" w:eastAsia="Arial" w:hAnsi="Arial"/>
          <w:sz w:val="21"/>
          <w:szCs w:val="21"/>
        </w:rPr>
        <w:t xml:space="preserve">Earlier revisions relied on researched typical EE20/EF20 bobbin window figures (~34mm²), since no manufacturer datasheet for the exact bobbin was available, and an attempt to read dimensions from photos was explicitly flagged as too imprecise (±0.5–1mm uncertainty on an already-small window).</w:t>
      </w:r>
    </w:p>
    <w:p>
      <w:pPr>
        <w:spacing w:after="120"/>
      </w:pPr>
      <w:r>
        <w:rPr>
          <w:rFonts w:ascii="Arial" w:cs="Arial" w:eastAsia="Arial" w:hAnsi="Arial"/>
          <w:sz w:val="21"/>
          <w:szCs w:val="21"/>
        </w:rPr>
        <w:t xml:space="preserve">The user's team measured the actual bobbin directly with a vernier caliper: 12.5mm axial winding length × 3mm radial build = 37.5mm² — close to, but meaningfully larger than, the earlier estimate.</w:t>
      </w:r>
    </w:p>
    <w:p>
      <w:pPr>
        <w:spacing w:after="120"/>
      </w:pPr>
      <w:r>
        <w:rPr>
          <w:rFonts w:ascii="Arial" w:cs="Arial" w:eastAsia="Arial" w:hAnsi="Arial"/>
          <w:sz w:val="21"/>
          <w:szCs w:val="21"/>
        </w:rPr>
        <w:t xml:space="preserve">Combining the real window (larger than estimated) with the real wire stock (SWG30–38, available in multiple gauges) allowed a sweep across wire/strand combinations, landing on the best result of the entire process: Nph=22 (3x SWG32 bifilar), Nsec=374 (SWG38), magnetizing current ratio improved to 178% (down from a peak of 599% in the SWG25/38 attempt, and better than every AWG-based attempt too).</w:t>
      </w:r>
    </w:p>
    <w:p>
      <w:pPr>
        <w:pStyle w:val="Heading1"/>
      </w:pPr>
      <w:r>
        <w:t xml:space="preserve">Other Corrections Made Along the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left"/>
            </w:pPr>
            <w:r>
              <w:rPr>
                <w:rFonts w:ascii="Arial" w:cs="Arial" w:eastAsia="Arial" w:hAnsi="Arial"/>
                <w:b/>
                <w:bCs/>
                <w:color w:val="FFFFFF"/>
                <w:sz w:val="18"/>
                <w:szCs w:val="18"/>
              </w:rPr>
              <w:t xml:space="preserve">Topic</w:t>
            </w:r>
          </w:p>
        </w:tc>
        <w:tc>
          <w:tcPr>
            <w:tcW w:type="dxa" w:w="358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What was initially said/assumed</w:t>
            </w:r>
          </w:p>
        </w:tc>
        <w:tc>
          <w:tcPr>
            <w:tcW w:type="dxa" w:w="3580"/>
            <w:tcBorders>
              <w:top w:val="single" w:color="AAAAAA" w:sz="1"/>
              <w:left w:val="single" w:color="AAAAAA" w:sz="1"/>
              <w:bottom w:val="single" w:color="AAAAAA" w:sz="1"/>
              <w:right w:val="single" w:color="AAAAAA" w:sz="1"/>
            </w:tcBorders>
            <w:shd w:fill="2E4057"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What was corrected to</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Rectifier topology</w:t>
            </w:r>
          </w:p>
        </w:tc>
        <w:tc>
          <w:tcPr>
            <w:tcW w:type="dxa" w:w="35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Center-tapped secondary + 2 diodes (initial default)</w:t>
            </w:r>
          </w:p>
        </w:tc>
        <w:tc>
          <w:tcPr>
            <w:tcW w:type="dxa" w:w="35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User proposed single winding + bridge rectifier — confirmed as a legitimate, arguably better alternative given this design's voltage stress profile</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Winding direction</w:t>
            </w:r>
          </w:p>
        </w:tc>
        <w:tc>
          <w:tcPr>
            <w:tcW w:type="dxa" w:w="35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N/A (not yet discussed)</w:t>
            </w:r>
          </w:p>
        </w:tc>
        <w:tc>
          <w:tcPr>
            <w:tcW w:type="dxa" w:w="35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Absolute direction (CW/CCW) is irrelevant; the two primary halves must be wound in the SAME relative direction, or flux will fight rather than alternate cleanly</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Magnetizing current vs. thermal risk</w:t>
            </w:r>
          </w:p>
        </w:tc>
        <w:tc>
          <w:tcPr>
            <w:tcW w:type="dxa" w:w="35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Initial framing as primarily a heating/efficiency concern</w:t>
            </w:r>
          </w:p>
        </w:tc>
        <w:tc>
          <w:tcPr>
            <w:tcW w:type="dxa" w:w="35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Corrected: I²R copper loss from magnetizing current is small in absolute watts (mW range); the real risk is core flux/saturation margin and MOSFET current stress, not simple resistive heating. A naive loss estimate (1.7% of Pout) was flagged as misleadingly reassuring and not trusted</w:t>
            </w:r>
          </w:p>
        </w:tc>
      </w:tr>
      <w:tr>
        <w:tc>
          <w:tcPr>
            <w:tcW w:type="dxa" w:w="220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AL=227nH source check</w:t>
            </w:r>
          </w:p>
        </w:tc>
        <w:tc>
          <w:tcPr>
            <w:tcW w:type="dxa" w:w="35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Assumed it might be a labeling error</w:t>
            </w:r>
          </w:p>
        </w:tc>
        <w:tc>
          <w:tcPr>
            <w:tcW w:type="dxa" w:w="3580"/>
            <w:tcBorders>
              <w:top w:val="single" w:color="AAAAAA" w:sz="1"/>
              <w:left w:val="single" w:color="AAAAAA" w:sz="1"/>
              <w:bottom w:val="single" w:color="AAAAAA" w:sz="1"/>
              <w:right w:val="single" w:color="AAAAAA" w:sz="1"/>
            </w:tcBorders>
            <w:tcMar>
              <w:top w:type="dxa" w:w="80"/>
              <w:left w:type="dxa" w:w="100"/>
              <w:bottom w:type="dxa" w:w="80"/>
              <w:right w:type="dxa" w:w="100"/>
            </w:tcMar>
          </w:tcPr>
          <w:p>
            <w:pPr>
              <w:jc w:val="left"/>
            </w:pPr>
            <w:r>
              <w:rPr>
                <w:rFonts w:ascii="Arial" w:cs="Arial" w:eastAsia="Arial" w:hAnsi="Arial"/>
                <w:b w:val="false"/>
                <w:bCs w:val="false"/>
                <w:sz w:val="19"/>
                <w:szCs w:val="19"/>
              </w:rPr>
              <w:t xml:space="preserve">Confirmed genuine: this IS a deliberately gapped core variant (CF139 EE2005S, gapped), distinct from the same core's ungapped OL variant (AL≈1450nH)</w:t>
            </w:r>
          </w:p>
        </w:tc>
      </w:tr>
    </w:tbl>
    <w:p>
      <w:pPr>
        <w:pStyle w:val="Heading1"/>
      </w:pPr>
      <w:r>
        <w:t xml:space="preserve">What Has NOT Been Independently Verified</w:t>
      </w:r>
    </w:p>
    <w:p>
      <w:pPr>
        <w:pBdr>
          <w:left w:val="single" w:color="C04828" w:sz="24" w:space="8"/>
        </w:pBdr>
        <w:shd w:fill="FCEBEB" w:val="clear"/>
        <w:spacing w:after="120" w:before="120"/>
        <w:ind w:left="100"/>
      </w:pPr>
      <w:r>
        <w:rPr>
          <w:rFonts w:ascii="Arial" w:cs="Arial" w:eastAsia="Arial" w:hAnsi="Arial"/>
          <w:i/>
          <w:iCs/>
          <w:sz w:val="20"/>
          <w:szCs w:val="20"/>
        </w:rPr>
        <w:t xml:space="preserve">These remain planning assumptions, not bench-measured facts. The design is buildable and ready for first power-up, but should not be called “final” in the sense of having no remaining unknowns.</w:t>
      </w:r>
    </w:p>
    <w:p>
      <w:pPr>
        <w:pStyle w:val="ListParagraph"/>
        <w:numPr>
          <w:ilvl w:val="0"/>
          <w:numId w:val="2"/>
        </w:numPr>
        <w:spacing w:after="60"/>
      </w:pPr>
      <w:r>
        <w:rPr>
          <w:rFonts w:ascii="Arial" w:cs="Arial" w:eastAsia="Arial" w:hAnsi="Arial"/>
          <w:sz w:val="21"/>
          <w:szCs w:val="21"/>
        </w:rPr>
        <w:t xml:space="preserve">Winding utilization factor Ku=0.4 — a standard planning value, not measured from an actual wound sample. Current design margin (2.9%) is thin enough that a real Ku of 0.35 could cause a physical fit problem.</w:t>
      </w:r>
    </w:p>
    <w:p>
      <w:pPr>
        <w:pStyle w:val="ListParagraph"/>
        <w:numPr>
          <w:ilvl w:val="0"/>
          <w:numId w:val="2"/>
        </w:numPr>
        <w:spacing w:after="60"/>
      </w:pPr>
      <w:r>
        <w:rPr>
          <w:rFonts w:ascii="Arial" w:cs="Arial" w:eastAsia="Arial" w:hAnsi="Arial"/>
          <w:sz w:val="21"/>
          <w:szCs w:val="21"/>
        </w:rPr>
        <w:t xml:space="preserve">Stage 1 efficiency η=0.85 — an assumed planning figure, not measured.</w:t>
      </w:r>
    </w:p>
    <w:p>
      <w:pPr>
        <w:pStyle w:val="ListParagraph"/>
        <w:numPr>
          <w:ilvl w:val="0"/>
          <w:numId w:val="2"/>
        </w:numPr>
        <w:spacing w:after="60"/>
      </w:pPr>
      <w:r>
        <w:rPr>
          <w:rFonts w:ascii="Arial" w:cs="Arial" w:eastAsia="Arial" w:hAnsi="Arial"/>
          <w:sz w:val="21"/>
          <w:szCs w:val="21"/>
        </w:rPr>
        <w:t xml:space="preserve">MLT (mean length per turn) and resulting DCR — from a simplified geometric model of the former + winding buildup, not a measured wound coil.</w:t>
      </w:r>
    </w:p>
    <w:p>
      <w:pPr>
        <w:pStyle w:val="ListParagraph"/>
        <w:numPr>
          <w:ilvl w:val="0"/>
          <w:numId w:val="2"/>
        </w:numPr>
        <w:spacing w:after="60"/>
      </w:pPr>
      <w:r>
        <w:rPr>
          <w:rFonts w:ascii="Arial" w:cs="Arial" w:eastAsia="Arial" w:hAnsi="Arial"/>
          <w:sz w:val="21"/>
          <w:szCs w:val="21"/>
        </w:rPr>
        <w:t xml:space="preserve">Insulated wire diameter (enamel buildup) — typical values used for layer/turns-per-layer planning, not the actual measured insulated diameter of the specific spools on hand.</w:t>
      </w:r>
    </w:p>
    <w:p>
      <w:pPr>
        <w:pStyle w:val="ListParagraph"/>
        <w:numPr>
          <w:ilvl w:val="0"/>
          <w:numId w:val="2"/>
        </w:numPr>
        <w:spacing w:after="60"/>
      </w:pPr>
      <w:r>
        <w:rPr>
          <w:rFonts w:ascii="Arial" w:cs="Arial" w:eastAsia="Arial" w:hAnsi="Arial"/>
          <w:sz w:val="21"/>
          <w:szCs w:val="21"/>
        </w:rPr>
        <w:t xml:space="preserve">Core loss / real operating temperature — no reliable estimate exists; an attempted Steinmetz-scaling extrapolation was explicitly flagged as unreliable given how far the operating point is from the datasheet's reference measurement condition.</w:t>
      </w:r>
    </w:p>
    <w:p>
      <w:pPr>
        <w:pStyle w:val="Heading1"/>
      </w:pPr>
      <w:r>
        <w:t xml:space="preserve">Current Status</w:t>
      </w:r>
    </w:p>
    <w:p>
      <w:pPr>
        <w:spacing w:after="120"/>
      </w:pPr>
      <w:r>
        <w:rPr>
          <w:rFonts w:ascii="Arial" w:cs="Arial" w:eastAsia="Arial" w:hAnsi="Arial"/>
          <w:sz w:val="21"/>
          <w:szCs w:val="21"/>
        </w:rPr>
        <w:t xml:space="preserve">Rev E is the design to build and bench-test. It is the best-performing version across the entire process (lowest magnetizing current ratio, real measured window, real available wire), but first power-up should be treated as the verification step for the assumptions listed above — not a formality.</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780"/>
        <w:sz w:val="16"/>
        <w:szCs w:val="16"/>
      </w:rPr>
      <w:t xml:space="preserve">Stage 1 Transformer — Design Revision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200" w:before="36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2026-06-20T09:47:51.943Z</dcterms:created>
  <dcterms:modified xsi:type="dcterms:W3CDTF">2026-06-20T09:47:51.943Z</dcterms:modified>
</cp:coreProperties>
</file>

<file path=docProps/custom.xml><?xml version="1.0" encoding="utf-8"?>
<Properties xmlns="http://schemas.openxmlformats.org/officeDocument/2006/custom-properties" xmlns:vt="http://schemas.openxmlformats.org/officeDocument/2006/docPropsVTypes"/>
</file>