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Title"/>
        <w:jc w:val="center"/>
      </w:pPr>
      <w:r>
        <w:t>MICRO-SMART-GRID INTELLIGENT ENERGY MANAGEMENT SYSTEM</w:t>
      </w:r>
    </w:p>
    <w:p>
      <w:pPr>
        <w:jc w:val="center"/>
      </w:pPr>
      <w:r>
        <w:rPr>
          <w:color w:val="2E74B5"/>
          <w:sz w:val="36"/>
        </w:rPr>
        <w:t>Multi-Scale Performance &amp; Growth Analysis (24h, 1w, 1y)</w:t>
      </w:r>
    </w:p>
    <w:p>
      <w:r>
        <w:br/>
        <w:br/>
        <w:br/>
      </w:r>
    </w:p>
    <w:p>
      <w:pPr>
        <w:jc w:val="center"/>
      </w:pPr>
      <w:r>
        <w:rPr>
          <w:i/>
          <w:sz w:val="24"/>
        </w:rPr>
        <w:t>Prepared by: Gemini AI Engineering Team</w:t>
        <w:br/>
        <w:t>Date: April 14, 2026</w:t>
        <w:br/>
        <w:t>Project: Microgrid Optimization V2.0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This comprehensive analysis details the operational efficiency and economic impact of the Micro-Smart-Grid Management System. By integrating hybrid CNN-LSTM deep learning architectures with real-time optimization, the system achieves significant grid independence and cost reduction. This document evaluates performance across three temporal scales: Immediate (24 Hours), Short-term (1 Week), and Long-term Growth (1 Year).</w:t>
      </w:r>
    </w:p>
    <w:p>
      <w:pPr>
        <w:pStyle w:val="Heading1"/>
      </w:pPr>
      <w:r>
        <w:t>2. System Architecture &amp; Technical Specifications</w:t>
      </w:r>
    </w:p>
    <w:p>
      <w:r>
        <w:t>The HRES (Hybrid Renewable Energy System) is composed of four primary sub-systems: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Solar PV</w:t>
            </w:r>
          </w:p>
        </w:tc>
        <w:tc>
          <w:tcPr>
            <w:tcW w:type="dxa" w:w="2160"/>
          </w:tcPr>
          <w:p>
            <w:r>
              <w:t>Rated Capacity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kW</w:t>
            </w:r>
          </w:p>
        </w:tc>
      </w:tr>
      <w:tr>
        <w:tc>
          <w:tcPr>
            <w:tcW w:type="dxa" w:w="2160"/>
          </w:tcPr>
          <w:p>
            <w:r>
              <w:t>Wind Turbine</w:t>
            </w:r>
          </w:p>
        </w:tc>
        <w:tc>
          <w:tcPr>
            <w:tcW w:type="dxa" w:w="2160"/>
          </w:tcPr>
          <w:p>
            <w:r>
              <w:t>Rated Capacity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kW</w:t>
            </w:r>
          </w:p>
        </w:tc>
      </w:tr>
      <w:tr>
        <w:tc>
          <w:tcPr>
            <w:tcW w:type="dxa" w:w="2160"/>
          </w:tcPr>
          <w:p>
            <w:r>
              <w:t>Biogas Gen</w:t>
            </w:r>
          </w:p>
        </w:tc>
        <w:tc>
          <w:tcPr>
            <w:tcW w:type="dxa" w:w="2160"/>
          </w:tcPr>
          <w:p>
            <w:r>
              <w:t>Rated Capacity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kW</w:t>
            </w:r>
          </w:p>
        </w:tc>
      </w:tr>
      <w:tr>
        <w:tc>
          <w:tcPr>
            <w:tcW w:type="dxa" w:w="2160"/>
          </w:tcPr>
          <w:p>
            <w:r>
              <w:t>Battery (BESS)</w:t>
            </w:r>
          </w:p>
        </w:tc>
        <w:tc>
          <w:tcPr>
            <w:tcW w:type="dxa" w:w="2160"/>
          </w:tcPr>
          <w:p>
            <w:r>
              <w:t>Total Capacity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kWh</w:t>
            </w:r>
          </w:p>
        </w:tc>
      </w:tr>
    </w:tbl>
    <w:p>
      <w:pPr>
        <w:pStyle w:val="Heading1"/>
      </w:pPr>
      <w:r>
        <w:t>3. 24-Hour Operational Analysis</w:t>
      </w:r>
    </w:p>
    <w:p>
      <w:r>
        <w:t>Real-time monitoring of the system over the last 24 hours shows high responsiveness to load fluctuations and renewable variability. The integration of forecasting allows for pre-emptive battery charging.</w:t>
      </w:r>
    </w:p>
    <w:p>
      <w:pPr>
        <w:pStyle w:val="Heading2"/>
      </w:pPr>
      <w:r>
        <w:t>3.1 Generation vs Consumption (24h)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3.1: 24-hour cycle showing peak solar generation and nocturnal wind contribution.</w:t>
      </w:r>
    </w:p>
    <w:p>
      <w:pPr>
        <w:pStyle w:val="Heading2"/>
      </w:pPr>
      <w:r>
        <w:t>3.2 Battery State of Charge (24h)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3.2: SOC management showing efficient energy buffering during daylight hours.</w:t>
      </w:r>
    </w:p>
    <w:p>
      <w:r>
        <w:br w:type="page"/>
      </w:r>
    </w:p>
    <w:p>
      <w:pPr>
        <w:pStyle w:val="Heading1"/>
      </w:pPr>
      <w:r>
        <w:t>4. Weekly Performance Metrics</w:t>
      </w:r>
    </w:p>
    <w:p>
      <w:r>
        <w:t>The system demonstrated 62.03% cost savings over the past week compared to a grid-only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Total Ren (kWh)</w:t>
            </w:r>
          </w:p>
        </w:tc>
        <w:tc>
          <w:tcPr>
            <w:tcW w:type="dxa" w:w="1234"/>
          </w:tcPr>
          <w:p>
            <w:r>
              <w:t>Load (kWh)</w:t>
            </w:r>
          </w:p>
        </w:tc>
        <w:tc>
          <w:tcPr>
            <w:tcW w:type="dxa" w:w="1234"/>
          </w:tcPr>
          <w:p>
            <w:r>
              <w:t>Grid (kWh)</w:t>
            </w:r>
          </w:p>
        </w:tc>
        <w:tc>
          <w:tcPr>
            <w:tcW w:type="dxa" w:w="1234"/>
          </w:tcPr>
          <w:p>
            <w:r>
              <w:t>Solar</w:t>
            </w:r>
          </w:p>
        </w:tc>
        <w:tc>
          <w:tcPr>
            <w:tcW w:type="dxa" w:w="1234"/>
          </w:tcPr>
          <w:p>
            <w:r>
              <w:t>Wind</w:t>
            </w:r>
          </w:p>
        </w:tc>
        <w:tc>
          <w:tcPr>
            <w:tcW w:type="dxa" w:w="1234"/>
          </w:tcPr>
          <w:p>
            <w:r>
              <w:t>Biogas</w:t>
            </w:r>
          </w:p>
        </w:tc>
      </w:tr>
      <w:tr>
        <w:tc>
          <w:tcPr>
            <w:tcW w:type="dxa" w:w="1234"/>
          </w:tcPr>
          <w:p>
            <w:r>
              <w:t>2026-04-07</w:t>
            </w:r>
          </w:p>
        </w:tc>
        <w:tc>
          <w:tcPr>
            <w:tcW w:type="dxa" w:w="1234"/>
          </w:tcPr>
          <w:p>
            <w:r>
              <w:t>722.19</w:t>
            </w:r>
          </w:p>
        </w:tc>
        <w:tc>
          <w:tcPr>
            <w:tcW w:type="dxa" w:w="1234"/>
          </w:tcPr>
          <w:p>
            <w:r>
              <w:t>837.33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468.12</w:t>
            </w:r>
          </w:p>
        </w:tc>
        <w:tc>
          <w:tcPr>
            <w:tcW w:type="dxa" w:w="1234"/>
          </w:tcPr>
          <w:p>
            <w:r>
              <w:t>157.59</w:t>
            </w:r>
          </w:p>
        </w:tc>
        <w:tc>
          <w:tcPr>
            <w:tcW w:type="dxa" w:w="1234"/>
          </w:tcPr>
          <w:p>
            <w:r>
              <w:t>96.48</w:t>
            </w:r>
          </w:p>
        </w:tc>
      </w:tr>
      <w:tr>
        <w:tc>
          <w:tcPr>
            <w:tcW w:type="dxa" w:w="1234"/>
          </w:tcPr>
          <w:p>
            <w:r>
              <w:t>2026-04-10</w:t>
            </w:r>
          </w:p>
        </w:tc>
        <w:tc>
          <w:tcPr>
            <w:tcW w:type="dxa" w:w="1234"/>
          </w:tcPr>
          <w:p>
            <w:r>
              <w:t>1776.33</w:t>
            </w:r>
          </w:p>
        </w:tc>
        <w:tc>
          <w:tcPr>
            <w:tcW w:type="dxa" w:w="1234"/>
          </w:tcPr>
          <w:p>
            <w:r>
              <w:t>2886.24</w:t>
            </w:r>
          </w:p>
        </w:tc>
        <w:tc>
          <w:tcPr>
            <w:tcW w:type="dxa" w:w="1234"/>
          </w:tcPr>
          <w:p>
            <w:r>
              <w:t>1092.61</w:t>
            </w:r>
          </w:p>
        </w:tc>
        <w:tc>
          <w:tcPr>
            <w:tcW w:type="dxa" w:w="1234"/>
          </w:tcPr>
          <w:p>
            <w:r>
              <w:t>1167.60</w:t>
            </w:r>
          </w:p>
        </w:tc>
        <w:tc>
          <w:tcPr>
            <w:tcW w:type="dxa" w:w="1234"/>
          </w:tcPr>
          <w:p>
            <w:r>
              <w:t>317.88</w:t>
            </w:r>
          </w:p>
        </w:tc>
        <w:tc>
          <w:tcPr>
            <w:tcW w:type="dxa" w:w="1234"/>
          </w:tcPr>
          <w:p>
            <w:r>
              <w:t>290.85</w:t>
            </w:r>
          </w:p>
        </w:tc>
      </w:tr>
      <w:tr>
        <w:tc>
          <w:tcPr>
            <w:tcW w:type="dxa" w:w="1234"/>
          </w:tcPr>
          <w:p>
            <w:r>
              <w:t>2026-04-13</w:t>
            </w:r>
          </w:p>
        </w:tc>
        <w:tc>
          <w:tcPr>
            <w:tcW w:type="dxa" w:w="1234"/>
          </w:tcPr>
          <w:p>
            <w:r>
              <w:t>1541.64</w:t>
            </w:r>
          </w:p>
        </w:tc>
        <w:tc>
          <w:tcPr>
            <w:tcW w:type="dxa" w:w="1234"/>
          </w:tcPr>
          <w:p>
            <w:r>
              <w:t>2886.24</w:t>
            </w:r>
          </w:p>
        </w:tc>
        <w:tc>
          <w:tcPr>
            <w:tcW w:type="dxa" w:w="1234"/>
          </w:tcPr>
          <w:p>
            <w:r>
              <w:t>1344.91</w:t>
            </w:r>
          </w:p>
        </w:tc>
        <w:tc>
          <w:tcPr>
            <w:tcW w:type="dxa" w:w="1234"/>
          </w:tcPr>
          <w:p>
            <w:r>
              <w:t>1013.78</w:t>
            </w:r>
          </w:p>
        </w:tc>
        <w:tc>
          <w:tcPr>
            <w:tcW w:type="dxa" w:w="1234"/>
          </w:tcPr>
          <w:p>
            <w:r>
              <w:t>185.64</w:t>
            </w:r>
          </w:p>
        </w:tc>
        <w:tc>
          <w:tcPr>
            <w:tcW w:type="dxa" w:w="1234"/>
          </w:tcPr>
          <w:p>
            <w:r>
              <w:t>342.21</w:t>
            </w:r>
          </w:p>
        </w:tc>
      </w:tr>
      <w:tr>
        <w:tc>
          <w:tcPr>
            <w:tcW w:type="dxa" w:w="1234"/>
          </w:tcPr>
          <w:p>
            <w:r>
              <w:t>TOTAL (Week)</w:t>
            </w:r>
          </w:p>
        </w:tc>
        <w:tc>
          <w:tcPr>
            <w:tcW w:type="dxa" w:w="1234"/>
          </w:tcPr>
          <w:p>
            <w:r>
              <w:t>12332.13</w:t>
            </w:r>
          </w:p>
        </w:tc>
        <w:tc>
          <w:tcPr>
            <w:tcW w:type="dxa" w:w="1234"/>
          </w:tcPr>
          <w:p>
            <w:r>
              <w:t>20203.67</w:t>
            </w:r>
          </w:p>
        </w:tc>
        <w:tc>
          <w:tcPr>
            <w:tcW w:type="dxa" w:w="1234"/>
          </w:tcPr>
          <w:p>
            <w:r>
              <w:t>7671.54</w:t>
            </w:r>
          </w:p>
        </w:tc>
        <w:tc>
          <w:tcPr>
            <w:tcW w:type="dxa" w:w="1234"/>
          </w:tcPr>
          <w:p>
            <w:r>
              <w:t>8280.53</w:t>
            </w:r>
          </w:p>
        </w:tc>
        <w:tc>
          <w:tcPr>
            <w:tcW w:type="dxa" w:w="1234"/>
          </w:tcPr>
          <w:p>
            <w:r>
              <w:t>1809.68</w:t>
            </w:r>
          </w:p>
        </w:tc>
        <w:tc>
          <w:tcPr>
            <w:tcW w:type="dxa" w:w="1234"/>
          </w:tcPr>
          <w:p>
            <w:r>
              <w:t>2241.92</w:t>
            </w:r>
          </w:p>
        </w:tc>
      </w:tr>
    </w:tbl>
    <w:p>
      <w:pPr>
        <w:pStyle w:val="Heading2"/>
      </w:pPr>
      <w:r>
        <w:t>4.1 Total Gen vs Load (Weekly Trend)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4.1: Weekly aggregate of renewable vs load demand.</w:t>
      </w:r>
    </w:p>
    <w:p>
      <w:r>
        <w:br w:type="page"/>
      </w:r>
    </w:p>
    <w:p>
      <w:pPr>
        <w:pStyle w:val="Heading1"/>
      </w:pPr>
      <w:r>
        <w:t>5. Long-Term Growth (1-Year Analysis)</w:t>
      </w:r>
    </w:p>
    <w:p>
      <w:r>
        <w:t>Over the past 12 months, the system has scaled effectively to meet seasonal demand changes. Total renewable production reached 708,476 kWh, offsetting approximately 67.5% of the total yearly 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Total Ren (kWh)</w:t>
            </w:r>
          </w:p>
        </w:tc>
        <w:tc>
          <w:tcPr>
            <w:tcW w:type="dxa" w:w="1440"/>
          </w:tcPr>
          <w:p>
            <w:r>
              <w:t>Load (kWh)</w:t>
            </w:r>
          </w:p>
        </w:tc>
        <w:tc>
          <w:tcPr>
            <w:tcW w:type="dxa" w:w="1440"/>
          </w:tcPr>
          <w:p>
            <w:r>
              <w:t>Solar (kWh)</w:t>
            </w:r>
          </w:p>
        </w:tc>
        <w:tc>
          <w:tcPr>
            <w:tcW w:type="dxa" w:w="1440"/>
          </w:tcPr>
          <w:p>
            <w:r>
              <w:t>Wind (kWh)</w:t>
            </w:r>
          </w:p>
        </w:tc>
        <w:tc>
          <w:tcPr>
            <w:tcW w:type="dxa" w:w="1440"/>
          </w:tcPr>
          <w:p>
            <w:r>
              <w:t>Biogas (kWh)</w:t>
            </w:r>
          </w:p>
        </w:tc>
      </w:tr>
      <w:tr>
        <w:tc>
          <w:tcPr>
            <w:tcW w:type="dxa" w:w="1440"/>
          </w:tcPr>
          <w:p>
            <w:r>
              <w:t>2025-06</w:t>
            </w:r>
          </w:p>
        </w:tc>
        <w:tc>
          <w:tcPr>
            <w:tcW w:type="dxa" w:w="1440"/>
          </w:tcPr>
          <w:p>
            <w:r>
              <w:t>57159</w:t>
            </w:r>
          </w:p>
        </w:tc>
        <w:tc>
          <w:tcPr>
            <w:tcW w:type="dxa" w:w="1440"/>
          </w:tcPr>
          <w:p>
            <w:r>
              <w:t>91176</w:t>
            </w:r>
          </w:p>
        </w:tc>
        <w:tc>
          <w:tcPr>
            <w:tcW w:type="dxa" w:w="1440"/>
          </w:tcPr>
          <w:p>
            <w:r>
              <w:t>41525</w:t>
            </w:r>
          </w:p>
        </w:tc>
        <w:tc>
          <w:tcPr>
            <w:tcW w:type="dxa" w:w="1440"/>
          </w:tcPr>
          <w:p>
            <w:r>
              <w:t>6075</w:t>
            </w:r>
          </w:p>
        </w:tc>
        <w:tc>
          <w:tcPr>
            <w:tcW w:type="dxa" w:w="1440"/>
          </w:tcPr>
          <w:p>
            <w:r>
              <w:t>9558</w:t>
            </w:r>
          </w:p>
        </w:tc>
      </w:tr>
      <w:tr>
        <w:tc>
          <w:tcPr>
            <w:tcW w:type="dxa" w:w="1440"/>
          </w:tcPr>
          <w:p>
            <w:r>
              <w:t>2025-09</w:t>
            </w:r>
          </w:p>
        </w:tc>
        <w:tc>
          <w:tcPr>
            <w:tcW w:type="dxa" w:w="1440"/>
          </w:tcPr>
          <w:p>
            <w:r>
              <w:t>73973</w:t>
            </w:r>
          </w:p>
        </w:tc>
        <w:tc>
          <w:tcPr>
            <w:tcW w:type="dxa" w:w="1440"/>
          </w:tcPr>
          <w:p>
            <w:r>
              <w:t>68675</w:t>
            </w:r>
          </w:p>
        </w:tc>
        <w:tc>
          <w:tcPr>
            <w:tcW w:type="dxa" w:w="1440"/>
          </w:tcPr>
          <w:p>
            <w:r>
              <w:t>49537</w:t>
            </w:r>
          </w:p>
        </w:tc>
        <w:tc>
          <w:tcPr>
            <w:tcW w:type="dxa" w:w="1440"/>
          </w:tcPr>
          <w:p>
            <w:r>
              <w:t>14972</w:t>
            </w:r>
          </w:p>
        </w:tc>
        <w:tc>
          <w:tcPr>
            <w:tcW w:type="dxa" w:w="1440"/>
          </w:tcPr>
          <w:p>
            <w:r>
              <w:t>9462</w:t>
            </w:r>
          </w:p>
        </w:tc>
      </w:tr>
      <w:tr>
        <w:tc>
          <w:tcPr>
            <w:tcW w:type="dxa" w:w="1440"/>
          </w:tcPr>
          <w:p>
            <w:r>
              <w:t>2025-12</w:t>
            </w:r>
          </w:p>
        </w:tc>
        <w:tc>
          <w:tcPr>
            <w:tcW w:type="dxa" w:w="1440"/>
          </w:tcPr>
          <w:p>
            <w:r>
              <w:t>57833</w:t>
            </w:r>
          </w:p>
        </w:tc>
        <w:tc>
          <w:tcPr>
            <w:tcW w:type="dxa" w:w="1440"/>
          </w:tcPr>
          <w:p>
            <w:r>
              <w:t>84825</w:t>
            </w:r>
          </w:p>
        </w:tc>
        <w:tc>
          <w:tcPr>
            <w:tcW w:type="dxa" w:w="1440"/>
          </w:tcPr>
          <w:p>
            <w:r>
              <w:t>38295</w:t>
            </w:r>
          </w:p>
        </w:tc>
        <w:tc>
          <w:tcPr>
            <w:tcW w:type="dxa" w:w="1440"/>
          </w:tcPr>
          <w:p>
            <w:r>
              <w:t>10212</w:t>
            </w:r>
          </w:p>
        </w:tc>
        <w:tc>
          <w:tcPr>
            <w:tcW w:type="dxa" w:w="1440"/>
          </w:tcPr>
          <w:p>
            <w:r>
              <w:t>9325</w:t>
            </w:r>
          </w:p>
        </w:tc>
      </w:tr>
      <w:tr>
        <w:tc>
          <w:tcPr>
            <w:tcW w:type="dxa" w:w="1440"/>
          </w:tcPr>
          <w:p>
            <w:r>
              <w:t>2026-03</w:t>
            </w:r>
          </w:p>
        </w:tc>
        <w:tc>
          <w:tcPr>
            <w:tcW w:type="dxa" w:w="1440"/>
          </w:tcPr>
          <w:p>
            <w:r>
              <w:t>48867</w:t>
            </w:r>
          </w:p>
        </w:tc>
        <w:tc>
          <w:tcPr>
            <w:tcW w:type="dxa" w:w="1440"/>
          </w:tcPr>
          <w:p>
            <w:r>
              <w:t>106717</w:t>
            </w:r>
          </w:p>
        </w:tc>
        <w:tc>
          <w:tcPr>
            <w:tcW w:type="dxa" w:w="1440"/>
          </w:tcPr>
          <w:p>
            <w:r>
              <w:t>33136</w:t>
            </w:r>
          </w:p>
        </w:tc>
        <w:tc>
          <w:tcPr>
            <w:tcW w:type="dxa" w:w="1440"/>
          </w:tcPr>
          <w:p>
            <w:r>
              <w:t>5663</w:t>
            </w:r>
          </w:p>
        </w:tc>
        <w:tc>
          <w:tcPr>
            <w:tcW w:type="dxa" w:w="1440"/>
          </w:tcPr>
          <w:p>
            <w:r>
              <w:t>10067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708476</w:t>
            </w:r>
          </w:p>
        </w:tc>
        <w:tc>
          <w:tcPr>
            <w:tcW w:type="dxa" w:w="1440"/>
          </w:tcPr>
          <w:p>
            <w:r>
              <w:t>1050985</w:t>
            </w:r>
          </w:p>
        </w:tc>
        <w:tc>
          <w:tcPr>
            <w:tcW w:type="dxa" w:w="1440"/>
          </w:tcPr>
          <w:p>
            <w:r>
              <w:t>485274</w:t>
            </w:r>
          </w:p>
        </w:tc>
        <w:tc>
          <w:tcPr>
            <w:tcW w:type="dxa" w:w="1440"/>
          </w:tcPr>
          <w:p>
            <w:r>
              <w:t>105023</w:t>
            </w:r>
          </w:p>
        </w:tc>
        <w:tc>
          <w:tcPr>
            <w:tcW w:type="dxa" w:w="1440"/>
          </w:tcPr>
          <w:p>
            <w:r>
              <w:t>118178</w:t>
            </w:r>
          </w:p>
        </w:tc>
      </w:tr>
    </w:tbl>
    <w:p>
      <w:pPr>
        <w:pStyle w:val="Heading2"/>
      </w:pPr>
      <w:r>
        <w:t>5.1 Seasonal Generation Profile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5.1: Annual generation profile highlighting seasonal solar and wind peaks.</w:t>
      </w:r>
    </w:p>
    <w:p>
      <w:pPr>
        <w:pStyle w:val="Heading2"/>
      </w:pPr>
      <w:r>
        <w:t>5.2 Yearly Solar Growth &amp; Performance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5.2: Year-long solar forecasting accuracy and production trends.</w:t>
      </w:r>
    </w:p>
    <w:p>
      <w:r>
        <w:br w:type="page"/>
      </w:r>
    </w:p>
    <w:p>
      <w:pPr>
        <w:pStyle w:val="Heading1"/>
      </w:pPr>
      <w:r>
        <w:t>6. Predictive Model Performance</w:t>
      </w:r>
    </w:p>
    <w:p>
      <w:r>
        <w:t>The proposed CNN-LSTM model outperformed standard architectures. The hybrid approach captures both spatial features (via CNN) and temporal dependencies (via LSTM).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R2 Score</w:t>
            </w:r>
          </w:p>
        </w:tc>
      </w:tr>
      <w:tr>
        <w:tc>
          <w:tcPr>
            <w:tcW w:type="dxa" w:w="2160"/>
          </w:tcPr>
          <w:p>
            <w:r>
              <w:t>CNN-LSTM (Proposed)</w:t>
            </w:r>
          </w:p>
        </w:tc>
        <w:tc>
          <w:tcPr>
            <w:tcW w:type="dxa" w:w="2160"/>
          </w:tcPr>
          <w:p>
            <w:r>
              <w:t>0.0928</w:t>
            </w:r>
          </w:p>
        </w:tc>
        <w:tc>
          <w:tcPr>
            <w:tcW w:type="dxa" w:w="2160"/>
          </w:tcPr>
          <w:p>
            <w:r>
              <w:t>0.1257</w:t>
            </w:r>
          </w:p>
        </w:tc>
        <w:tc>
          <w:tcPr>
            <w:tcW w:type="dxa" w:w="2160"/>
          </w:tcPr>
          <w:p>
            <w:r>
              <w:t>0.2494</w:t>
            </w:r>
          </w:p>
        </w:tc>
      </w:tr>
      <w:tr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0.0973</w:t>
            </w:r>
          </w:p>
        </w:tc>
        <w:tc>
          <w:tcPr>
            <w:tcW w:type="dxa" w:w="2160"/>
          </w:tcPr>
          <w:p>
            <w:r>
              <w:t>0.1284</w:t>
            </w:r>
          </w:p>
        </w:tc>
        <w:tc>
          <w:tcPr>
            <w:tcW w:type="dxa" w:w="2160"/>
          </w:tcPr>
          <w:p>
            <w:r>
              <w:t>0.2230</w:t>
            </w:r>
          </w:p>
        </w:tc>
      </w:tr>
      <w:tr>
        <w:tc>
          <w:tcPr>
            <w:tcW w:type="dxa" w:w="2160"/>
          </w:tcPr>
          <w:p>
            <w:r>
              <w:t>ARIMA (Baseline)</w:t>
            </w:r>
          </w:p>
        </w:tc>
        <w:tc>
          <w:tcPr>
            <w:tcW w:type="dxa" w:w="2160"/>
          </w:tcPr>
          <w:p>
            <w:r>
              <w:t>0.1820</w:t>
            </w:r>
          </w:p>
        </w:tc>
        <w:tc>
          <w:tcPr>
            <w:tcW w:type="dxa" w:w="2160"/>
          </w:tcPr>
          <w:p>
            <w:r>
              <w:t>0.2100</w:t>
            </w:r>
          </w:p>
        </w:tc>
        <w:tc>
          <w:tcPr>
            <w:tcW w:type="dxa" w:w="2160"/>
          </w:tcPr>
          <w:p>
            <w:r>
              <w:t>0.1100</w:t>
            </w:r>
          </w:p>
        </w:tc>
      </w:tr>
    </w:tbl>
    <w:p>
      <w:pPr>
        <w:pStyle w:val="Heading1"/>
      </w:pPr>
      <w:r>
        <w:t>7. Final Economic Impact Summary</w:t>
      </w:r>
    </w:p>
    <w:p>
      <w:r>
        <w:t>Net Weekly Savings: ₹ 100,257.04</w:t>
      </w:r>
    </w:p>
    <w:p>
      <w:r>
        <w:t>Yearly Projected Savings: ₹ 5,213,366.08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7.1: Comparison of operational costs.</w:t>
      </w:r>
    </w:p>
    <w:p>
      <w:pPr>
        <w:pStyle w:val="Heading1"/>
      </w:pPr>
      <w:r>
        <w:t>8. Conclusion</w:t>
      </w:r>
    </w:p>
    <w:p>
      <w:r>
        <w:t>The Micro-Smart-Grid system demonstrates consistent high performance across all evaluated timeframes. The 1-year analysis confirms the system's resilience, while the 24-hour and weekly data validate its operational precision. Future expansions will consider incorporating green hydrogen storage to further reduce grid reliance during low renewable production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