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Micro-Smart-Grid Energy Management System</w:t>
      </w:r>
    </w:p>
    <w:p>
      <w:pPr>
        <w:jc w:val="center"/>
      </w:pPr>
      <w:r>
        <w:rPr>
          <w:b/>
          <w:sz w:val="32"/>
        </w:rPr>
        <w:t>Comprehensive Performance Analysis Report</w:t>
      </w:r>
    </w:p>
    <w:p>
      <w:r>
        <w:br/>
        <w:br/>
        <w:br/>
        <w:br/>
        <w:br/>
      </w:r>
    </w:p>
    <w:p>
      <w:pPr>
        <w:jc w:val="center"/>
      </w:pPr>
      <w:r>
        <w:t>Date: April 14, 2026</w:t>
      </w:r>
    </w:p>
    <w:p>
      <w:r>
        <w:br w:type="page"/>
      </w:r>
    </w:p>
    <w:p>
      <w:pPr>
        <w:pStyle w:val="Heading1"/>
      </w:pPr>
      <w:r>
        <w:t>1. Executive Summary</w:t>
      </w:r>
    </w:p>
    <w:p>
      <w:r>
        <w:t>This report presents a detailed analysis of the Micro-Smart-Grid Energy Management System. The system leverages deep learning models (LSTM and CNN-LSTM) for precise energy forecasting of renewable sources, including solar, wind, and biomass. An intelligent optimization module is employed to manage energy storage and minimize grid dependency, resulting in significant cost savings.</w:t>
      </w:r>
    </w:p>
    <w:p>
      <w:pPr>
        <w:pStyle w:val="Heading2"/>
      </w:pPr>
      <w:r>
        <w:t>2. System Features</w:t>
      </w:r>
    </w:p>
    <w:p>
      <w:pPr>
        <w:pStyle w:val="ListBullet"/>
      </w:pPr>
      <w:r>
        <w:t>Multi-Source Forecasting: Deep learning models to predict energy generation.</w:t>
      </w:r>
    </w:p>
    <w:p>
      <w:pPr>
        <w:pStyle w:val="ListBullet"/>
      </w:pPr>
      <w:r>
        <w:t>Microgrid Optimization: Intelligent management of battery storage and grid interaction.</w:t>
      </w:r>
    </w:p>
    <w:p>
      <w:pPr>
        <w:pStyle w:val="ListBullet"/>
      </w:pPr>
      <w:r>
        <w:t>Model Comparison: Continuous evaluation of neural network architectures.</w:t>
      </w:r>
    </w:p>
    <w:p>
      <w:pPr>
        <w:pStyle w:val="ListBullet"/>
      </w:pPr>
      <w:r>
        <w:t>Visualization: Real-time graphical summaries of forecasting and performance.</w:t>
      </w:r>
    </w:p>
    <w:p>
      <w:pPr>
        <w:pStyle w:val="Heading1"/>
      </w:pPr>
      <w:r>
        <w:t>3. Weekly Performance Analysis</w:t>
      </w:r>
    </w:p>
    <w:p>
      <w:r>
        <w:t>The following analysis summarizes the performance of the microgrid over the past week (April 7 - April 14, 2026). The system demonstrates robust energy balancing between renewable generation and varying load demands.</w:t>
      </w:r>
    </w:p>
    <w:p>
      <w:pPr>
        <w:pStyle w:val="Heading2"/>
      </w:pPr>
      <w:r>
        <w:t>3.1 Daily Generation and Load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Date</w:t>
            </w:r>
          </w:p>
        </w:tc>
        <w:tc>
          <w:tcPr>
            <w:tcW w:type="dxa" w:w="1234"/>
          </w:tcPr>
          <w:p>
            <w:r>
              <w:t>Total Ren (kWh)</w:t>
            </w:r>
          </w:p>
        </w:tc>
        <w:tc>
          <w:tcPr>
            <w:tcW w:type="dxa" w:w="1234"/>
          </w:tcPr>
          <w:p>
            <w:r>
              <w:t>Load (kWh)</w:t>
            </w:r>
          </w:p>
        </w:tc>
        <w:tc>
          <w:tcPr>
            <w:tcW w:type="dxa" w:w="1234"/>
          </w:tcPr>
          <w:p>
            <w:r>
              <w:t>Grid (kWh)</w:t>
            </w:r>
          </w:p>
        </w:tc>
        <w:tc>
          <w:tcPr>
            <w:tcW w:type="dxa" w:w="1234"/>
          </w:tcPr>
          <w:p>
            <w:r>
              <w:t>Solar (kWh)</w:t>
            </w:r>
          </w:p>
        </w:tc>
        <w:tc>
          <w:tcPr>
            <w:tcW w:type="dxa" w:w="1234"/>
          </w:tcPr>
          <w:p>
            <w:r>
              <w:t>Wind (kWh)</w:t>
            </w:r>
          </w:p>
        </w:tc>
        <w:tc>
          <w:tcPr>
            <w:tcW w:type="dxa" w:w="1234"/>
          </w:tcPr>
          <w:p>
            <w:r>
              <w:t>Biogas (kWh)</w:t>
            </w:r>
          </w:p>
        </w:tc>
      </w:tr>
      <w:tr>
        <w:tc>
          <w:tcPr>
            <w:tcW w:type="dxa" w:w="1234"/>
          </w:tcPr>
          <w:p>
            <w:r>
              <w:t>2026-04-07</w:t>
            </w:r>
          </w:p>
        </w:tc>
        <w:tc>
          <w:tcPr>
            <w:tcW w:type="dxa" w:w="1234"/>
          </w:tcPr>
          <w:p>
            <w:r>
              <w:t>722.19</w:t>
            </w:r>
          </w:p>
        </w:tc>
        <w:tc>
          <w:tcPr>
            <w:tcW w:type="dxa" w:w="1234"/>
          </w:tcPr>
          <w:p>
            <w:r>
              <w:t>837.33</w:t>
            </w:r>
          </w:p>
        </w:tc>
        <w:tc>
          <w:tcPr>
            <w:tcW w:type="dxa" w:w="1234"/>
          </w:tcPr>
          <w:p>
            <w:r>
              <w:t>0.00</w:t>
            </w:r>
          </w:p>
        </w:tc>
        <w:tc>
          <w:tcPr>
            <w:tcW w:type="dxa" w:w="1234"/>
          </w:tcPr>
          <w:p>
            <w:r>
              <w:t>468.12</w:t>
            </w:r>
          </w:p>
        </w:tc>
        <w:tc>
          <w:tcPr>
            <w:tcW w:type="dxa" w:w="1234"/>
          </w:tcPr>
          <w:p>
            <w:r>
              <w:t>157.59</w:t>
            </w:r>
          </w:p>
        </w:tc>
        <w:tc>
          <w:tcPr>
            <w:tcW w:type="dxa" w:w="1234"/>
          </w:tcPr>
          <w:p>
            <w:r>
              <w:t>96.48</w:t>
            </w:r>
          </w:p>
        </w:tc>
      </w:tr>
      <w:tr>
        <w:tc>
          <w:tcPr>
            <w:tcW w:type="dxa" w:w="1234"/>
          </w:tcPr>
          <w:p>
            <w:r>
              <w:t>2026-04-08</w:t>
            </w:r>
          </w:p>
        </w:tc>
        <w:tc>
          <w:tcPr>
            <w:tcW w:type="dxa" w:w="1234"/>
          </w:tcPr>
          <w:p>
            <w:r>
              <w:t>1790.49</w:t>
            </w:r>
          </w:p>
        </w:tc>
        <w:tc>
          <w:tcPr>
            <w:tcW w:type="dxa" w:w="1234"/>
          </w:tcPr>
          <w:p>
            <w:r>
              <w:t>2886.24</w:t>
            </w:r>
          </w:p>
        </w:tc>
        <w:tc>
          <w:tcPr>
            <w:tcW w:type="dxa" w:w="1234"/>
          </w:tcPr>
          <w:p>
            <w:r>
              <w:t>1010.89</w:t>
            </w:r>
          </w:p>
        </w:tc>
        <w:tc>
          <w:tcPr>
            <w:tcW w:type="dxa" w:w="1234"/>
          </w:tcPr>
          <w:p>
            <w:r>
              <w:t>1124.58</w:t>
            </w:r>
          </w:p>
        </w:tc>
        <w:tc>
          <w:tcPr>
            <w:tcW w:type="dxa" w:w="1234"/>
          </w:tcPr>
          <w:p>
            <w:r>
              <w:t>351.60</w:t>
            </w:r>
          </w:p>
        </w:tc>
        <w:tc>
          <w:tcPr>
            <w:tcW w:type="dxa" w:w="1234"/>
          </w:tcPr>
          <w:p>
            <w:r>
              <w:t>314.31</w:t>
            </w:r>
          </w:p>
        </w:tc>
      </w:tr>
      <w:tr>
        <w:tc>
          <w:tcPr>
            <w:tcW w:type="dxa" w:w="1234"/>
          </w:tcPr>
          <w:p>
            <w:r>
              <w:t>2026-04-09</w:t>
            </w:r>
          </w:p>
        </w:tc>
        <w:tc>
          <w:tcPr>
            <w:tcW w:type="dxa" w:w="1234"/>
          </w:tcPr>
          <w:p>
            <w:r>
              <w:t>1929.40</w:t>
            </w:r>
          </w:p>
        </w:tc>
        <w:tc>
          <w:tcPr>
            <w:tcW w:type="dxa" w:w="1234"/>
          </w:tcPr>
          <w:p>
            <w:r>
              <w:t>2886.24</w:t>
            </w:r>
          </w:p>
        </w:tc>
        <w:tc>
          <w:tcPr>
            <w:tcW w:type="dxa" w:w="1234"/>
          </w:tcPr>
          <w:p>
            <w:r>
              <w:t>974.14</w:t>
            </w:r>
          </w:p>
        </w:tc>
        <w:tc>
          <w:tcPr>
            <w:tcW w:type="dxa" w:w="1234"/>
          </w:tcPr>
          <w:p>
            <w:r>
              <w:t>1312.13</w:t>
            </w:r>
          </w:p>
        </w:tc>
        <w:tc>
          <w:tcPr>
            <w:tcW w:type="dxa" w:w="1234"/>
          </w:tcPr>
          <w:p>
            <w:r>
              <w:t>281.85</w:t>
            </w:r>
          </w:p>
        </w:tc>
        <w:tc>
          <w:tcPr>
            <w:tcW w:type="dxa" w:w="1234"/>
          </w:tcPr>
          <w:p>
            <w:r>
              <w:t>335.42</w:t>
            </w:r>
          </w:p>
        </w:tc>
      </w:tr>
      <w:tr>
        <w:tc>
          <w:tcPr>
            <w:tcW w:type="dxa" w:w="1234"/>
          </w:tcPr>
          <w:p>
            <w:r>
              <w:t>2026-04-10</w:t>
            </w:r>
          </w:p>
        </w:tc>
        <w:tc>
          <w:tcPr>
            <w:tcW w:type="dxa" w:w="1234"/>
          </w:tcPr>
          <w:p>
            <w:r>
              <w:t>1776.33</w:t>
            </w:r>
          </w:p>
        </w:tc>
        <w:tc>
          <w:tcPr>
            <w:tcW w:type="dxa" w:w="1234"/>
          </w:tcPr>
          <w:p>
            <w:r>
              <w:t>2886.24</w:t>
            </w:r>
          </w:p>
        </w:tc>
        <w:tc>
          <w:tcPr>
            <w:tcW w:type="dxa" w:w="1234"/>
          </w:tcPr>
          <w:p>
            <w:r>
              <w:t>1092.61</w:t>
            </w:r>
          </w:p>
        </w:tc>
        <w:tc>
          <w:tcPr>
            <w:tcW w:type="dxa" w:w="1234"/>
          </w:tcPr>
          <w:p>
            <w:r>
              <w:t>1167.60</w:t>
            </w:r>
          </w:p>
        </w:tc>
        <w:tc>
          <w:tcPr>
            <w:tcW w:type="dxa" w:w="1234"/>
          </w:tcPr>
          <w:p>
            <w:r>
              <w:t>317.88</w:t>
            </w:r>
          </w:p>
        </w:tc>
        <w:tc>
          <w:tcPr>
            <w:tcW w:type="dxa" w:w="1234"/>
          </w:tcPr>
          <w:p>
            <w:r>
              <w:t>290.85</w:t>
            </w:r>
          </w:p>
        </w:tc>
      </w:tr>
      <w:tr>
        <w:tc>
          <w:tcPr>
            <w:tcW w:type="dxa" w:w="1234"/>
          </w:tcPr>
          <w:p>
            <w:r>
              <w:t>2026-04-11</w:t>
            </w:r>
          </w:p>
        </w:tc>
        <w:tc>
          <w:tcPr>
            <w:tcW w:type="dxa" w:w="1234"/>
          </w:tcPr>
          <w:p>
            <w:r>
              <w:t>1657.15</w:t>
            </w:r>
          </w:p>
        </w:tc>
        <w:tc>
          <w:tcPr>
            <w:tcW w:type="dxa" w:w="1234"/>
          </w:tcPr>
          <w:p>
            <w:r>
              <w:t>2886.24</w:t>
            </w:r>
          </w:p>
        </w:tc>
        <w:tc>
          <w:tcPr>
            <w:tcW w:type="dxa" w:w="1234"/>
          </w:tcPr>
          <w:p>
            <w:r>
              <w:t>1229.09</w:t>
            </w:r>
          </w:p>
        </w:tc>
        <w:tc>
          <w:tcPr>
            <w:tcW w:type="dxa" w:w="1234"/>
          </w:tcPr>
          <w:p>
            <w:r>
              <w:t>1116.53</w:t>
            </w:r>
          </w:p>
        </w:tc>
        <w:tc>
          <w:tcPr>
            <w:tcW w:type="dxa" w:w="1234"/>
          </w:tcPr>
          <w:p>
            <w:r>
              <w:t>224.86</w:t>
            </w:r>
          </w:p>
        </w:tc>
        <w:tc>
          <w:tcPr>
            <w:tcW w:type="dxa" w:w="1234"/>
          </w:tcPr>
          <w:p>
            <w:r>
              <w:t>315.76</w:t>
            </w:r>
          </w:p>
        </w:tc>
      </w:tr>
      <w:tr>
        <w:tc>
          <w:tcPr>
            <w:tcW w:type="dxa" w:w="1234"/>
          </w:tcPr>
          <w:p>
            <w:r>
              <w:t>2026-04-12</w:t>
            </w:r>
          </w:p>
        </w:tc>
        <w:tc>
          <w:tcPr>
            <w:tcW w:type="dxa" w:w="1234"/>
          </w:tcPr>
          <w:p>
            <w:r>
              <w:t>1805.40</w:t>
            </w:r>
          </w:p>
        </w:tc>
        <w:tc>
          <w:tcPr>
            <w:tcW w:type="dxa" w:w="1234"/>
          </w:tcPr>
          <w:p>
            <w:r>
              <w:t>2886.24</w:t>
            </w:r>
          </w:p>
        </w:tc>
        <w:tc>
          <w:tcPr>
            <w:tcW w:type="dxa" w:w="1234"/>
          </w:tcPr>
          <w:p>
            <w:r>
              <w:t>1081.96</w:t>
            </w:r>
          </w:p>
        </w:tc>
        <w:tc>
          <w:tcPr>
            <w:tcW w:type="dxa" w:w="1234"/>
          </w:tcPr>
          <w:p>
            <w:r>
              <w:t>1334.27</w:t>
            </w:r>
          </w:p>
        </w:tc>
        <w:tc>
          <w:tcPr>
            <w:tcW w:type="dxa" w:w="1234"/>
          </w:tcPr>
          <w:p>
            <w:r>
              <w:t>141.03</w:t>
            </w:r>
          </w:p>
        </w:tc>
        <w:tc>
          <w:tcPr>
            <w:tcW w:type="dxa" w:w="1234"/>
          </w:tcPr>
          <w:p>
            <w:r>
              <w:t>330.10</w:t>
            </w:r>
          </w:p>
        </w:tc>
      </w:tr>
      <w:tr>
        <w:tc>
          <w:tcPr>
            <w:tcW w:type="dxa" w:w="1234"/>
          </w:tcPr>
          <w:p>
            <w:r>
              <w:t>2026-04-13</w:t>
            </w:r>
          </w:p>
        </w:tc>
        <w:tc>
          <w:tcPr>
            <w:tcW w:type="dxa" w:w="1234"/>
          </w:tcPr>
          <w:p>
            <w:r>
              <w:t>1541.64</w:t>
            </w:r>
          </w:p>
        </w:tc>
        <w:tc>
          <w:tcPr>
            <w:tcW w:type="dxa" w:w="1234"/>
          </w:tcPr>
          <w:p>
            <w:r>
              <w:t>2886.24</w:t>
            </w:r>
          </w:p>
        </w:tc>
        <w:tc>
          <w:tcPr>
            <w:tcW w:type="dxa" w:w="1234"/>
          </w:tcPr>
          <w:p>
            <w:r>
              <w:t>1344.91</w:t>
            </w:r>
          </w:p>
        </w:tc>
        <w:tc>
          <w:tcPr>
            <w:tcW w:type="dxa" w:w="1234"/>
          </w:tcPr>
          <w:p>
            <w:r>
              <w:t>1013.78</w:t>
            </w:r>
          </w:p>
        </w:tc>
        <w:tc>
          <w:tcPr>
            <w:tcW w:type="dxa" w:w="1234"/>
          </w:tcPr>
          <w:p>
            <w:r>
              <w:t>185.64</w:t>
            </w:r>
          </w:p>
        </w:tc>
        <w:tc>
          <w:tcPr>
            <w:tcW w:type="dxa" w:w="1234"/>
          </w:tcPr>
          <w:p>
            <w:r>
              <w:t>342.21</w:t>
            </w:r>
          </w:p>
        </w:tc>
      </w:tr>
      <w:tr>
        <w:tc>
          <w:tcPr>
            <w:tcW w:type="dxa" w:w="1234"/>
          </w:tcPr>
          <w:p>
            <w:r>
              <w:t>2026-04-14</w:t>
            </w:r>
          </w:p>
        </w:tc>
        <w:tc>
          <w:tcPr>
            <w:tcW w:type="dxa" w:w="1234"/>
          </w:tcPr>
          <w:p>
            <w:r>
              <w:t>1109.53</w:t>
            </w:r>
          </w:p>
        </w:tc>
        <w:tc>
          <w:tcPr>
            <w:tcW w:type="dxa" w:w="1234"/>
          </w:tcPr>
          <w:p>
            <w:r>
              <w:t>2048.91</w:t>
            </w:r>
          </w:p>
        </w:tc>
        <w:tc>
          <w:tcPr>
            <w:tcW w:type="dxa" w:w="1234"/>
          </w:tcPr>
          <w:p>
            <w:r>
              <w:t>937.94</w:t>
            </w:r>
          </w:p>
        </w:tc>
        <w:tc>
          <w:tcPr>
            <w:tcW w:type="dxa" w:w="1234"/>
          </w:tcPr>
          <w:p>
            <w:r>
              <w:t>743.52</w:t>
            </w:r>
          </w:p>
        </w:tc>
        <w:tc>
          <w:tcPr>
            <w:tcW w:type="dxa" w:w="1234"/>
          </w:tcPr>
          <w:p>
            <w:r>
              <w:t>149.23</w:t>
            </w:r>
          </w:p>
        </w:tc>
        <w:tc>
          <w:tcPr>
            <w:tcW w:type="dxa" w:w="1234"/>
          </w:tcPr>
          <w:p>
            <w:r>
              <w:t>216.78</w:t>
            </w:r>
          </w:p>
        </w:tc>
      </w:tr>
      <w:tr>
        <w:tc>
          <w:tcPr>
            <w:tcW w:type="dxa" w:w="1234"/>
          </w:tcPr>
          <w:p>
            <w:r>
              <w:t>TOTAL</w:t>
            </w:r>
          </w:p>
        </w:tc>
        <w:tc>
          <w:tcPr>
            <w:tcW w:type="dxa" w:w="1234"/>
          </w:tcPr>
          <w:p>
            <w:r>
              <w:t>12332.13</w:t>
            </w:r>
          </w:p>
        </w:tc>
        <w:tc>
          <w:tcPr>
            <w:tcW w:type="dxa" w:w="1234"/>
          </w:tcPr>
          <w:p>
            <w:r>
              <w:t>20203.67</w:t>
            </w:r>
          </w:p>
        </w:tc>
        <w:tc>
          <w:tcPr>
            <w:tcW w:type="dxa" w:w="1234"/>
          </w:tcPr>
          <w:p>
            <w:r>
              <w:t>7671.54</w:t>
            </w:r>
          </w:p>
        </w:tc>
        <w:tc>
          <w:tcPr>
            <w:tcW w:type="dxa" w:w="1234"/>
          </w:tcPr>
          <w:p>
            <w:r>
              <w:t>8280.53</w:t>
            </w:r>
          </w:p>
        </w:tc>
        <w:tc>
          <w:tcPr>
            <w:tcW w:type="dxa" w:w="1234"/>
          </w:tcPr>
          <w:p>
            <w:r>
              <w:t>1809.68</w:t>
            </w:r>
          </w:p>
        </w:tc>
        <w:tc>
          <w:tcPr>
            <w:tcW w:type="dxa" w:w="1234"/>
          </w:tcPr>
          <w:p>
            <w:r>
              <w:t>2241.92</w:t>
            </w:r>
          </w:p>
        </w:tc>
      </w:tr>
    </w:tbl>
    <w:p>
      <w:r>
        <w:br/>
      </w:r>
    </w:p>
    <w:p>
      <w:pPr>
        <w:pStyle w:val="Heading2"/>
      </w:pPr>
      <w:r>
        <w:t>3.2 Energy Generation vs. Consumption Trends</w:t>
      </w: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plot_1.png"/>
                    <pic:cNvPicPr/>
                  </pic:nvPicPr>
                  <pic:blipFill>
                    <a:blip r:embed="rId9"/>
                    <a:stretch>
                      <a:fillRect/>
                    </a:stretch>
                  </pic:blipFill>
                  <pic:spPr>
                    <a:xfrm>
                      <a:off x="0" y="0"/>
                      <a:ext cx="5486400" cy="2743200"/>
                    </a:xfrm>
                    <a:prstGeom prst="rect"/>
                  </pic:spPr>
                </pic:pic>
              </a:graphicData>
            </a:graphic>
          </wp:inline>
        </w:drawing>
      </w:r>
    </w:p>
    <w:p>
      <w:r>
        <w:t>Figure 1: Comparison of total renewable generation versus load demand over 7 days.</w:t>
      </w:r>
    </w:p>
    <w:p>
      <w:r>
        <w:br w:type="page"/>
      </w:r>
    </w:p>
    <w:p>
      <w:pPr>
        <w:pStyle w:val="Heading1"/>
      </w:pPr>
      <w:r>
        <w:t>4. Energy Storage and Battery Optimization</w:t>
      </w:r>
    </w:p>
    <w:p>
      <w:r>
        <w:t>The battery storage system plays a critical role in balancing supply and demand. The optimization module manages the State of Charge (SOC) to maximize self-consumption of renewable energy.</w:t>
      </w:r>
    </w:p>
    <w:p>
      <w:pPr>
        <w:pStyle w:val="Heading2"/>
      </w:pPr>
      <w:r>
        <w:t>4.1 Battery State of Charge (SOC)</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plot_2.png"/>
                    <pic:cNvPicPr/>
                  </pic:nvPicPr>
                  <pic:blipFill>
                    <a:blip r:embed="rId10"/>
                    <a:stretch>
                      <a:fillRect/>
                    </a:stretch>
                  </pic:blipFill>
                  <pic:spPr>
                    <a:xfrm>
                      <a:off x="0" y="0"/>
                      <a:ext cx="5486400" cy="2743200"/>
                    </a:xfrm>
                    <a:prstGeom prst="rect"/>
                  </pic:spPr>
                </pic:pic>
              </a:graphicData>
            </a:graphic>
          </wp:inline>
        </w:drawing>
      </w:r>
    </w:p>
    <w:p>
      <w:r>
        <w:t>Figure 2: Battery SOC dynamics during the weekly cycle.</w:t>
      </w:r>
    </w:p>
    <w:p>
      <w:pPr>
        <w:pStyle w:val="Heading2"/>
      </w:pPr>
      <w:r>
        <w:t>4.2 Sensitivity Analysis: Battery Capacity Impact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Battery Capacity (kWh)</w:t>
            </w:r>
          </w:p>
        </w:tc>
        <w:tc>
          <w:tcPr>
            <w:tcW w:type="dxa" w:w="2160"/>
          </w:tcPr>
          <w:p>
            <w:r>
              <w:t>Grid Purchase (kWh)</w:t>
            </w:r>
          </w:p>
        </w:tc>
        <w:tc>
          <w:tcPr>
            <w:tcW w:type="dxa" w:w="2160"/>
          </w:tcPr>
          <w:p>
            <w:r>
              <w:t>Total Cost (₹)</w:t>
            </w:r>
          </w:p>
        </w:tc>
        <w:tc>
          <w:tcPr>
            <w:tcW w:type="dxa" w:w="2160"/>
          </w:tcPr>
          <w:p>
            <w:r>
              <w:t>Cost Reduction (%)</w:t>
            </w:r>
          </w:p>
        </w:tc>
      </w:tr>
      <w:tr>
        <w:tc>
          <w:tcPr>
            <w:tcW w:type="dxa" w:w="2160"/>
          </w:tcPr>
          <w:p>
            <w:r>
              <w:t>250</w:t>
            </w:r>
          </w:p>
        </w:tc>
        <w:tc>
          <w:tcPr>
            <w:tcW w:type="dxa" w:w="2160"/>
          </w:tcPr>
          <w:p>
            <w:r>
              <w:t>7901.96</w:t>
            </w:r>
          </w:p>
        </w:tc>
        <w:tc>
          <w:tcPr>
            <w:tcW w:type="dxa" w:w="2160"/>
          </w:tcPr>
          <w:p>
            <w:r>
              <w:t>63215.69</w:t>
            </w:r>
          </w:p>
        </w:tc>
        <w:tc>
          <w:tcPr>
            <w:tcW w:type="dxa" w:w="2160"/>
          </w:tcPr>
          <w:p>
            <w:r>
              <w:t>60.89%</w:t>
            </w:r>
          </w:p>
        </w:tc>
      </w:tr>
      <w:tr>
        <w:tc>
          <w:tcPr>
            <w:tcW w:type="dxa" w:w="2160"/>
          </w:tcPr>
          <w:p>
            <w:r>
              <w:t>500</w:t>
            </w:r>
          </w:p>
        </w:tc>
        <w:tc>
          <w:tcPr>
            <w:tcW w:type="dxa" w:w="2160"/>
          </w:tcPr>
          <w:p>
            <w:r>
              <w:t>7671.54</w:t>
            </w:r>
          </w:p>
        </w:tc>
        <w:tc>
          <w:tcPr>
            <w:tcW w:type="dxa" w:w="2160"/>
          </w:tcPr>
          <w:p>
            <w:r>
              <w:t>61372.33</w:t>
            </w:r>
          </w:p>
        </w:tc>
        <w:tc>
          <w:tcPr>
            <w:tcW w:type="dxa" w:w="2160"/>
          </w:tcPr>
          <w:p>
            <w:r>
              <w:t>62.03%</w:t>
            </w:r>
          </w:p>
        </w:tc>
      </w:tr>
      <w:tr>
        <w:tc>
          <w:tcPr>
            <w:tcW w:type="dxa" w:w="2160"/>
          </w:tcPr>
          <w:p>
            <w:r>
              <w:t>750</w:t>
            </w:r>
          </w:p>
        </w:tc>
        <w:tc>
          <w:tcPr>
            <w:tcW w:type="dxa" w:w="2160"/>
          </w:tcPr>
          <w:p>
            <w:r>
              <w:t>7671.54</w:t>
            </w:r>
          </w:p>
        </w:tc>
        <w:tc>
          <w:tcPr>
            <w:tcW w:type="dxa" w:w="2160"/>
          </w:tcPr>
          <w:p>
            <w:r>
              <w:t>61372.33</w:t>
            </w:r>
          </w:p>
        </w:tc>
        <w:tc>
          <w:tcPr>
            <w:tcW w:type="dxa" w:w="2160"/>
          </w:tcPr>
          <w:p>
            <w:r>
              <w:t>62.03%</w:t>
            </w:r>
          </w:p>
        </w:tc>
      </w:tr>
      <w:tr>
        <w:tc>
          <w:tcPr>
            <w:tcW w:type="dxa" w:w="2160"/>
          </w:tcPr>
          <w:p>
            <w:r>
              <w:t>1000</w:t>
            </w:r>
          </w:p>
        </w:tc>
        <w:tc>
          <w:tcPr>
            <w:tcW w:type="dxa" w:w="2160"/>
          </w:tcPr>
          <w:p>
            <w:r>
              <w:t>7671.54</w:t>
            </w:r>
          </w:p>
        </w:tc>
        <w:tc>
          <w:tcPr>
            <w:tcW w:type="dxa" w:w="2160"/>
          </w:tcPr>
          <w:p>
            <w:r>
              <w:t>61372.33</w:t>
            </w:r>
          </w:p>
        </w:tc>
        <w:tc>
          <w:tcPr>
            <w:tcW w:type="dxa" w:w="2160"/>
          </w:tcPr>
          <w:p>
            <w:r>
              <w:t>62.03%</w:t>
            </w:r>
          </w:p>
        </w:tc>
      </w:tr>
      <w:tr>
        <w:tc>
          <w:tcPr>
            <w:tcW w:type="dxa" w:w="2160"/>
          </w:tcPr>
          <w:p>
            <w:r>
              <w:t>1500</w:t>
            </w:r>
          </w:p>
        </w:tc>
        <w:tc>
          <w:tcPr>
            <w:tcW w:type="dxa" w:w="2160"/>
          </w:tcPr>
          <w:p>
            <w:r>
              <w:t>7671.54</w:t>
            </w:r>
          </w:p>
        </w:tc>
        <w:tc>
          <w:tcPr>
            <w:tcW w:type="dxa" w:w="2160"/>
          </w:tcPr>
          <w:p>
            <w:r>
              <w:t>61372.33</w:t>
            </w:r>
          </w:p>
        </w:tc>
        <w:tc>
          <w:tcPr>
            <w:tcW w:type="dxa" w:w="2160"/>
          </w:tcPr>
          <w:p>
            <w:r>
              <w:t>62.03%</w:t>
            </w:r>
          </w:p>
        </w:tc>
      </w:tr>
    </w:tbl>
    <w:p>
      <w:r>
        <w:br w:type="page"/>
      </w:r>
    </w:p>
    <w:p>
      <w:pPr>
        <w:pStyle w:val="Heading1"/>
      </w:pPr>
      <w:r>
        <w:t>5. Renewable Energy Forecasting Accuracy</w:t>
      </w:r>
    </w:p>
    <w:p>
      <w:r>
        <w:t>Accurate forecasting is essential for optimal dispatch. The LSTM/CNN-LSTM models provide high-precision short-term predictions for solar, wind, and biogas generation.</w:t>
      </w:r>
    </w:p>
    <w:p>
      <w:pPr>
        <w:pStyle w:val="Heading2"/>
      </w:pPr>
      <w:r>
        <w:t>5.1 Solar Generation Forecasting</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plot_7_1.png"/>
                    <pic:cNvPicPr/>
                  </pic:nvPicPr>
                  <pic:blipFill>
                    <a:blip r:embed="rId11"/>
                    <a:stretch>
                      <a:fillRect/>
                    </a:stretch>
                  </pic:blipFill>
                  <pic:spPr>
                    <a:xfrm>
                      <a:off x="0" y="0"/>
                      <a:ext cx="5486400" cy="2743200"/>
                    </a:xfrm>
                    <a:prstGeom prst="rect"/>
                  </pic:spPr>
                </pic:pic>
              </a:graphicData>
            </a:graphic>
          </wp:inline>
        </w:drawing>
      </w:r>
    </w:p>
    <w:p>
      <w:r>
        <w:t>Figure 3: Predicted vs. Actual Solar Generation.</w:t>
      </w:r>
    </w:p>
    <w:p>
      <w:pPr>
        <w:pStyle w:val="Heading2"/>
      </w:pPr>
      <w:r>
        <w:t>5.2 Wind Generation Trends</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plot_9.png"/>
                    <pic:cNvPicPr/>
                  </pic:nvPicPr>
                  <pic:blipFill>
                    <a:blip r:embed="rId12"/>
                    <a:stretch>
                      <a:fillRect/>
                    </a:stretch>
                  </pic:blipFill>
                  <pic:spPr>
                    <a:xfrm>
                      <a:off x="0" y="0"/>
                      <a:ext cx="5486400" cy="2743200"/>
                    </a:xfrm>
                    <a:prstGeom prst="rect"/>
                  </pic:spPr>
                </pic:pic>
              </a:graphicData>
            </a:graphic>
          </wp:inline>
        </w:drawing>
      </w:r>
    </w:p>
    <w:p>
      <w:r>
        <w:t>Figure 4: Predicted vs. Actual Wind Generation.</w:t>
      </w:r>
    </w:p>
    <w:p>
      <w:r>
        <w:br w:type="page"/>
      </w:r>
    </w:p>
    <w:p>
      <w:pPr>
        <w:pStyle w:val="Heading1"/>
      </w:pPr>
      <w:r>
        <w:t>6. Economic Impact and Cost Analysis</w:t>
      </w:r>
    </w:p>
    <w:p>
      <w:r>
        <w:t>By prioritizing renewable sources and optimizing battery usage, the system significantly reduces grid costs.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w:t>
            </w:r>
          </w:p>
        </w:tc>
        <w:tc>
          <w:tcPr>
            <w:tcW w:type="dxa" w:w="1728"/>
          </w:tcPr>
          <w:p>
            <w:r>
              <w:t>Total Load (kWh)</w:t>
            </w:r>
          </w:p>
        </w:tc>
        <w:tc>
          <w:tcPr>
            <w:tcW w:type="dxa" w:w="1728"/>
          </w:tcPr>
          <w:p>
            <w:r>
              <w:t>Grid Usage (kWh)</w:t>
            </w:r>
          </w:p>
        </w:tc>
        <w:tc>
          <w:tcPr>
            <w:tcW w:type="dxa" w:w="1728"/>
          </w:tcPr>
          <w:p>
            <w:r>
              <w:t>Unit Cost (₹)</w:t>
            </w:r>
          </w:p>
        </w:tc>
        <w:tc>
          <w:tcPr>
            <w:tcW w:type="dxa" w:w="1728"/>
          </w:tcPr>
          <w:p>
            <w:r>
              <w:t>Total Cost (₹)</w:t>
            </w:r>
          </w:p>
        </w:tc>
      </w:tr>
      <w:tr>
        <w:tc>
          <w:tcPr>
            <w:tcW w:type="dxa" w:w="1728"/>
          </w:tcPr>
          <w:p>
            <w:r>
              <w:t>Grid-only System</w:t>
            </w:r>
          </w:p>
        </w:tc>
        <w:tc>
          <w:tcPr>
            <w:tcW w:type="dxa" w:w="1728"/>
          </w:tcPr>
          <w:p>
            <w:r>
              <w:t>20,203.67</w:t>
            </w:r>
          </w:p>
        </w:tc>
        <w:tc>
          <w:tcPr>
            <w:tcW w:type="dxa" w:w="1728"/>
          </w:tcPr>
          <w:p>
            <w:r>
              <w:t>20,203.67</w:t>
            </w:r>
          </w:p>
        </w:tc>
        <w:tc>
          <w:tcPr>
            <w:tcW w:type="dxa" w:w="1728"/>
          </w:tcPr>
          <w:p>
            <w:r>
              <w:t>8.00</w:t>
            </w:r>
          </w:p>
        </w:tc>
        <w:tc>
          <w:tcPr>
            <w:tcW w:type="dxa" w:w="1728"/>
          </w:tcPr>
          <w:p>
            <w:r>
              <w:t>161,629.36</w:t>
            </w:r>
          </w:p>
        </w:tc>
      </w:tr>
      <w:tr>
        <w:tc>
          <w:tcPr>
            <w:tcW w:type="dxa" w:w="1728"/>
          </w:tcPr>
          <w:p>
            <w:r>
              <w:t>Hybrid (Optimized)</w:t>
            </w:r>
          </w:p>
        </w:tc>
        <w:tc>
          <w:tcPr>
            <w:tcW w:type="dxa" w:w="1728"/>
          </w:tcPr>
          <w:p>
            <w:r>
              <w:t>20,203.67</w:t>
            </w:r>
          </w:p>
        </w:tc>
        <w:tc>
          <w:tcPr>
            <w:tcW w:type="dxa" w:w="1728"/>
          </w:tcPr>
          <w:p>
            <w:r>
              <w:t>7,671.54</w:t>
            </w:r>
          </w:p>
        </w:tc>
        <w:tc>
          <w:tcPr>
            <w:tcW w:type="dxa" w:w="1728"/>
          </w:tcPr>
          <w:p>
            <w:r>
              <w:t>8.00</w:t>
            </w:r>
          </w:p>
        </w:tc>
        <w:tc>
          <w:tcPr>
            <w:tcW w:type="dxa" w:w="1728"/>
          </w:tcPr>
          <w:p>
            <w:r>
              <w:t>61,372.32</w:t>
            </w:r>
          </w:p>
        </w:tc>
      </w:tr>
    </w:tbl>
    <w:p>
      <w:r>
        <w:br/>
      </w:r>
    </w:p>
    <w:p>
      <w:pPr>
        <w:pStyle w:val="Heading2"/>
      </w:pPr>
      <w:r>
        <w:t>NET WEEKLY SAVINGS: ₹ 100,257.04</w:t>
      </w:r>
    </w:p>
    <w:p>
      <w:pPr>
        <w:pStyle w:val="Heading2"/>
      </w:pPr>
      <w:r>
        <w:t>PERCENTAGE SAVINGS: 62.03%</w:t>
      </w:r>
    </w:p>
    <w:p>
      <w:r>
        <w:drawing>
          <wp:inline xmlns:a="http://schemas.openxmlformats.org/drawingml/2006/main" xmlns:pic="http://schemas.openxmlformats.org/drawingml/2006/picture">
            <wp:extent cx="3657600" cy="2743200"/>
            <wp:docPr id="5" name="Picture 5"/>
            <wp:cNvGraphicFramePr>
              <a:graphicFrameLocks noChangeAspect="1"/>
            </wp:cNvGraphicFramePr>
            <a:graphic>
              <a:graphicData uri="http://schemas.openxmlformats.org/drawingml/2006/picture">
                <pic:pic>
                  <pic:nvPicPr>
                    <pic:cNvPr id="0" name="plot_5.png"/>
                    <pic:cNvPicPr/>
                  </pic:nvPicPr>
                  <pic:blipFill>
                    <a:blip r:embed="rId13"/>
                    <a:stretch>
                      <a:fillRect/>
                    </a:stretch>
                  </pic:blipFill>
                  <pic:spPr>
                    <a:xfrm>
                      <a:off x="0" y="0"/>
                      <a:ext cx="3657600" cy="2743200"/>
                    </a:xfrm>
                    <a:prstGeom prst="rect"/>
                  </pic:spPr>
                </pic:pic>
              </a:graphicData>
            </a:graphic>
          </wp:inline>
        </w:drawing>
      </w:r>
    </w:p>
    <w:p>
      <w:r>
        <w:t>Figure 5: Cost comparison: Grid-only vs. Optimized Hybrid System.</w:t>
      </w:r>
    </w:p>
    <w:p>
      <w:pPr>
        <w:pStyle w:val="Heading1"/>
      </w:pPr>
      <w:r>
        <w:t>7. Conclusion</w:t>
      </w:r>
    </w:p>
    <w:p>
      <w:r>
        <w:t>The Micro-Smart-Grid Energy Management System has proven highly effective during the analysis period. With a cost reduction of over 62%, the system demonstrates the economic viability of integrated renewable energy management. Future improvements will focus on refining forecasting models for even higher accuracy during extreme weather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