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e2e5e9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7"/>
          <w:szCs w:val="27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7"/>
          <w:szCs w:val="27"/>
          <w:rtl w:val="0"/>
        </w:rPr>
        <w:t xml:space="preserve">Investiture Ceremony 2026–27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SJR Public School proudly conducted the Investiture Ceremony 2026–27, celebrating leadership, responsibility, and excellence. The ceremony featured the lighting of the lamp, a vibrant welcome dance, badge pinning of the newly elected Student Council, and the oath-taking ceremony.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3"/>
          <w:szCs w:val="23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Students who secured Centum in the Academic Year 2025–26 were felicitated with special gifts from their subject teachers. A proud highlight of the event was the presentation of a Telescope, sponsored by our Hon. Chairman Sir, to the Best Student of the Year.</w:t>
      </w:r>
    </w:p>
    <w:p w:rsidR="00000000" w:rsidDel="00000000" w:rsidP="00000000" w:rsidRDefault="00000000" w:rsidRPr="00000000" w14:paraId="00000005">
      <w:pPr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sz w:val="23"/>
          <w:szCs w:val="23"/>
          <w:rtl w:val="0"/>
        </w:rPr>
        <w:t xml:space="preserve">Congratulations to all our young leaders and achievers as they embark on a journey to Lead, Serve, and Inspire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e2e5e9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