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TC" w:hAnsi="Noto Sans TC" w:eastAsia="Noto Sans TC"/>
          <w:b/>
          <w:i w:val="0"/>
          <w:color w:val="17324D"/>
          <w:sz w:val="54"/>
        </w:rPr>
        <w:t>階段研究資料整理提案</w:t>
      </w:r>
    </w:p>
    <w:p>
      <w:pPr>
        <w:spacing w:after="440"/>
        <w:jc w:val="center"/>
      </w:pPr>
      <w:r>
        <w:rPr>
          <w:rFonts w:ascii="Noto Sans TC" w:hAnsi="Noto Sans TC" w:eastAsia="Noto Sans TC"/>
          <w:b w:val="0"/>
          <w:i w:val="0"/>
          <w:color w:val="24557A"/>
          <w:sz w:val="28"/>
        </w:rPr>
        <w:t>跨年度問卷資料盤點、瑕疵評估、調整規模與文健站分析銜接</w:t>
      </w:r>
    </w:p>
    <w:p>
      <w:pPr>
        <w:spacing w:after="960"/>
        <w:jc w:val="center"/>
      </w:pPr>
      <w:r>
        <w:rPr>
          <w:rFonts w:ascii="Noto Sans TC" w:hAnsi="Noto Sans TC" w:eastAsia="Noto Sans TC"/>
          <w:b w:val="0"/>
          <w:i w:val="0"/>
          <w:color w:val="66737D"/>
          <w:sz w:val="20"/>
        </w:rPr>
        <w:t>資料基準：2026-08-05 離線完整管線 review bundle</w:t>
        <w:br/>
        <w:t>提案日期：2026-08-06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after="0" w:line="288" w:lineRule="auto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21"/>
              </w:rPr>
              <w:t>核心判斷｜</w:t>
            </w:r>
            <w:r>
              <w:rPr>
                <w:rFonts w:ascii="Noto Sans TC" w:hAnsi="Noto Sans TC" w:eastAsia="Noto Sans TC"/>
                <w:b w:val="0"/>
                <w:i w:val="0"/>
                <w:color w:val="17324D"/>
                <w:sz w:val="21"/>
              </w:rPr>
              <w:t>目前已可在離線受限環境建立文健站政策分析資料集。2026-08-06 v2 離線包已納入收支修正、525 站清冊、122 鄉鎮年度 panel 及個體層 exposure merge 程序；正式估計前仍須以六波個體資料重跑，確認地理匹配率與 treatment 支持範圍。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執行摘要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本提案以問卷辨識、crosswalk、raw 匯入、主題資料建置、跨年 combined、所得支出 recode 與最終 check 檔的完整資料血緣為基礎，整理六個調查年度的可用資料、已知瑕疵及後續文健站政策分析所需工作。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六波全樣本合計 40,078 戶；各年樣本為 13,113、6,013、5,027、5,214、5,302、5,409 戶。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2006–2021 均可辨識家中是否有原住民 55+／65+ 成員；2002 問卷沒有可比家庭年齡格。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醫療保健支出六波皆可用，適合作為文健站研究的候選結果，但不能稱為就醫次數、醫療利用或健康改善。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2010 家庭其他收入、2017 三項支出 indicator、2006 未貼標籤級距代碼及 2014 RENT 解析規則已寫入離線流程；正式數值待受限環境重跑驗收。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文健站 panel 已涵蓋民國 90–114 年並含 110 年；離線流程會建立站數、首設年、事件時間及 1／3／5 年暴露，再以鄉鎮年度鍵合併個體資料。</w:t>
      </w:r>
    </w:p>
    <w:p>
      <w:pPr>
        <w:pStyle w:val="Heading2"/>
      </w:pPr>
      <w:r>
        <w:t>建議決策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時點</w:t>
            </w:r>
          </w:p>
        </w:tc>
        <w:tc>
          <w:tcPr>
            <w:tcW w:type="dxa" w:w="642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建議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離線重跑</w:t>
            </w:r>
          </w:p>
        </w:tc>
        <w:tc>
          <w:tcPr>
            <w:tcW w:type="dxa" w:w="6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套用 v2 完整包，重建收支、文健站 panel、combined 與 exposure merge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必要</w:t>
            </w:r>
          </w:p>
        </w:tc>
      </w:tr>
      <w:tr>
        <w:trPr>
          <w:cantSplit/>
        </w:trPr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主分析</w:t>
            </w:r>
          </w:p>
        </w:tc>
        <w:tc>
          <w:tcPr>
            <w:tcW w:type="dxa" w:w="64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建立 2006–2017 鄉鎮暴露、55+ 家庭主樣本及醫療支出分析資料集</w:t>
            </w:r>
          </w:p>
        </w:tc>
        <w:tc>
          <w:tcPr>
            <w:tcW w:type="dxa" w:w="14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Go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敏感度</w:t>
            </w:r>
          </w:p>
        </w:tc>
        <w:tc>
          <w:tcPr>
            <w:tcW w:type="dxa" w:w="6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使用固定共同項所得／支出；2017 三項支出另報修正前後差異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平行</w:t>
            </w:r>
          </w:p>
        </w:tc>
      </w:tr>
      <w:tr>
        <w:trPr>
          <w:cantSplit/>
        </w:trPr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正式估計前</w:t>
            </w:r>
          </w:p>
        </w:tc>
        <w:tc>
          <w:tcPr>
            <w:tcW w:type="dxa" w:w="64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通過六波 N、ID×年度唯一性、地理匹配率及 treatment cohort 驗收</w:t>
            </w:r>
          </w:p>
        </w:tc>
        <w:tc>
          <w:tcPr>
            <w:tcW w:type="dxa" w:w="14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必要</w:t>
            </w:r>
          </w:p>
        </w:tc>
      </w:tr>
    </w:tbl>
    <w:p>
      <w:pPr>
        <w:spacing w:after="20"/>
      </w:pPr>
    </w:p>
    <w:p>
      <w:pPr>
        <w:pStyle w:val="Heading1"/>
      </w:pPr>
      <w:r>
        <w:t>一、資料處理流程與本階段資料定位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正式管線依序執行：離線輸入檢查 → 七份 raw data 匯入 → 年度 metadata → 基本／人口／家庭資料 → 所得支出 harmonization → 跨年 combined → 描述統計與 recode 摘要 → 最終驗收。問卷 PDF 選項辨識與所得支出 crosswalk builder 是管線上游維護工具，不在每次離線重跑時重新執行。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階段</w:t>
            </w:r>
          </w:p>
        </w:tc>
        <w:tc>
          <w:tcPr>
            <w:tcW w:type="dxa" w:w="242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主要產物</w:t>
            </w:r>
          </w:p>
        </w:tc>
        <w:tc>
          <w:tcPr>
            <w:tcW w:type="dxa" w:w="24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本階段狀態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問卷辨識</w:t>
            </w:r>
          </w:p>
        </w:tc>
        <w:tc>
          <w:tcPr>
            <w:tcW w:type="dxa" w:w="2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question_options_91_1…110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題號、題意、選項級距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已完成；部分表格經人工視覺修補</w:t>
            </w:r>
          </w:p>
        </w:tc>
      </w:tr>
      <w:tr>
        <w:trPr>
          <w:cantSplit/>
        </w:trPr>
        <w:tc>
          <w:tcPr>
            <w:tcW w:type="dxa" w:w="1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Crosswalk</w:t>
            </w:r>
          </w:p>
        </w:tc>
        <w:tc>
          <w:tcPr>
            <w:tcW w:type="dxa" w:w="24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unified_answer_crosswalk_*</w:t>
            </w:r>
          </w:p>
        </w:tc>
        <w:tc>
          <w:tcPr>
            <w:tcW w:type="dxa" w:w="2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年度題目→整合概念</w:t>
            </w:r>
          </w:p>
        </w:tc>
        <w:tc>
          <w:tcPr>
            <w:tcW w:type="dxa" w:w="32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所得與支出採概念與級距比對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Raw 匯入</w:t>
            </w:r>
          </w:p>
        </w:tc>
        <w:tc>
          <w:tcPr>
            <w:tcW w:type="dxa" w:w="2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survey_datasets.rds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保留原始 value labels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最新六波個體檔目前未在本機工作區</w:t>
            </w:r>
          </w:p>
        </w:tc>
      </w:tr>
      <w:tr>
        <w:trPr>
          <w:cantSplit/>
        </w:trPr>
        <w:tc>
          <w:tcPr>
            <w:tcW w:type="dxa" w:w="1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主題資料</w:t>
            </w:r>
          </w:p>
        </w:tc>
        <w:tc>
          <w:tcPr>
            <w:tcW w:type="dxa" w:w="24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basic／demographic／family／income_expenditure</w:t>
            </w:r>
          </w:p>
        </w:tc>
        <w:tc>
          <w:tcPr>
            <w:tcW w:type="dxa" w:w="2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統一 ID、人口、家戶與收支</w:t>
            </w:r>
          </w:p>
        </w:tc>
        <w:tc>
          <w:tcPr>
            <w:tcW w:type="dxa" w:w="32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家戶 join 六波無損失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Combined</w:t>
            </w:r>
          </w:p>
        </w:tc>
        <w:tc>
          <w:tcPr>
            <w:tcW w:type="dxa" w:w="2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cross_year_combined_data.rds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跨主題 left join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正式分析應以離線六波重跑版為準</w:t>
            </w:r>
          </w:p>
        </w:tc>
      </w:tr>
      <w:tr>
        <w:trPr>
          <w:cantSplit/>
        </w:trPr>
        <w:tc>
          <w:tcPr>
            <w:tcW w:type="dxa" w:w="1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Recode／QC</w:t>
            </w:r>
          </w:p>
        </w:tc>
        <w:tc>
          <w:tcPr>
            <w:tcW w:type="dxa" w:w="24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05-01、05-02、05-99</w:t>
            </w:r>
          </w:p>
        </w:tc>
        <w:tc>
          <w:tcPr>
            <w:tcW w:type="dxa" w:w="2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級距中點、缺失、分布與驗收</w:t>
            </w:r>
          </w:p>
        </w:tc>
        <w:tc>
          <w:tcPr>
            <w:tcW w:type="dxa" w:w="32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最新 review bundle 提供聚合證據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政策暴露</w:t>
            </w:r>
          </w:p>
        </w:tc>
        <w:tc>
          <w:tcPr>
            <w:tcW w:type="dxa" w:w="24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03-05、04-02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建置鄉鎮年度 panel 並合併個體資料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v2 離線包已實作；待六波重跑</w:t>
            </w:r>
          </w:p>
        </w:tc>
      </w:tr>
    </w:tbl>
    <w:p>
      <w:pPr>
        <w:spacing w:after="20"/>
      </w:pPr>
    </w:p>
    <w:p>
      <w:pPr>
        <w:pStyle w:val="Heading1"/>
      </w:pPr>
      <w:r>
        <w:t>二、各年度資料項目列表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下表的項目數依最新 coverage summary 中 Present=1 計算。核心／家庭欄包含人口、教育、族別、住宅、租金、家戶人數、原住民人數、55+ 結構與受訪單位；所得與支出欄包含分項及衍生總額。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年度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全樣本 N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核心／家庭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所得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支出</w:t>
            </w:r>
          </w:p>
        </w:tc>
        <w:tc>
          <w:tcPr>
            <w:tcW w:type="dxa" w:w="10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合計項目</w:t>
            </w:r>
          </w:p>
        </w:tc>
        <w:tc>
          <w:tcPr>
            <w:tcW w:type="dxa" w:w="10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家庭55+</w:t>
            </w:r>
          </w:p>
        </w:tc>
        <w:tc>
          <w:tcPr>
            <w:tcW w:type="dxa" w:w="17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地理精度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13113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12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7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9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28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無</w:t>
            </w:r>
          </w:p>
        </w:tc>
        <w:tc>
          <w:tcPr>
            <w:tcW w:type="dxa" w:w="1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部分鄉鎮</w:t>
            </w:r>
          </w:p>
        </w:tc>
      </w:tr>
      <w:tr>
        <w:trPr>
          <w:cantSplit/>
        </w:trPr>
        <w:tc>
          <w:tcPr>
            <w:tcW w:type="dxa" w:w="8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2006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6013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12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16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48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有</w:t>
            </w:r>
          </w:p>
        </w:tc>
        <w:tc>
          <w:tcPr>
            <w:tcW w:type="dxa" w:w="17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2010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5027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11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16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47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有</w:t>
            </w:r>
          </w:p>
        </w:tc>
        <w:tc>
          <w:tcPr>
            <w:tcW w:type="dxa" w:w="1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</w:t>
            </w:r>
          </w:p>
        </w:tc>
      </w:tr>
      <w:tr>
        <w:trPr>
          <w:cantSplit/>
        </w:trPr>
        <w:tc>
          <w:tcPr>
            <w:tcW w:type="dxa" w:w="8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2014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5214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14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18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52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有</w:t>
            </w:r>
          </w:p>
        </w:tc>
        <w:tc>
          <w:tcPr>
            <w:tcW w:type="dxa" w:w="17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2017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5302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14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18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52</w:t>
            </w:r>
          </w:p>
        </w:tc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有</w:t>
            </w:r>
          </w:p>
        </w:tc>
        <w:tc>
          <w:tcPr>
            <w:tcW w:type="dxa" w:w="1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</w:t>
            </w:r>
          </w:p>
        </w:tc>
      </w:tr>
      <w:tr>
        <w:trPr>
          <w:cantSplit/>
        </w:trPr>
        <w:tc>
          <w:tcPr>
            <w:tcW w:type="dxa" w:w="8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2021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5409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14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18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52</w:t>
            </w:r>
          </w:p>
        </w:tc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有</w:t>
            </w:r>
          </w:p>
        </w:tc>
        <w:tc>
          <w:tcPr>
            <w:tcW w:type="dxa" w:w="17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四大區域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rFonts w:ascii="Noto Sans TC" w:hAnsi="Noto Sans TC" w:eastAsia="Noto Sans TC"/>
          <w:b w:val="0"/>
          <w:i/>
          <w:color w:val="66737D"/>
          <w:sz w:val="16"/>
        </w:rPr>
        <w:t>資料來源：coverage_summary.csv、check_family_indigenous_age_counts.csv、check_geography_ambiguous_or_missing.csv。</w:t>
      </w:r>
    </w:p>
    <w:p>
      <w:pPr>
        <w:pStyle w:val="Heading3"/>
      </w:pPr>
      <w:r>
        <w:t>2002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核心：人口級距、教育、族別、住宅、租金、家戶／原住民人數。所得：家庭工作、政府、其他及直接回報總所得。支出：食品、醫療、交通通訊、菸酒、教育書籍合併、旅遊及直接回報總支出。</w:t>
      </w:r>
    </w:p>
    <w:p>
      <w:pPr>
        <w:pStyle w:val="Heading3"/>
      </w:pPr>
      <w:r>
        <w:t>2006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新增家庭 55+／65+ 年齡結構；家庭與個人工作、政府、利息、租金、其他所得；支出擴充至照護、清潔、衣著、家具、住宅水電、貸款利息、稅保禮金等。</w:t>
      </w:r>
    </w:p>
    <w:p>
      <w:pPr>
        <w:pStyle w:val="Heading3"/>
      </w:pPr>
      <w:r>
        <w:t>2010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架構近似 2006；家庭其他收入已加入問卷 I6→raw i7 例外 mapping，待離線重跑恢復整合欄。</w:t>
      </w:r>
    </w:p>
    <w:p>
      <w:pPr>
        <w:pStyle w:val="Heading3"/>
      </w:pPr>
      <w:r>
        <w:t>2014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家庭／個人移轉收入加入；教育書籍合併項拆成書籍與學雜費，並加入外食住宿。家戶所得有問卷結構性適用範圍。</w:t>
      </w:r>
    </w:p>
    <w:p>
      <w:pPr>
        <w:pStyle w:val="Heading3"/>
      </w:pPr>
      <w:r>
        <w:t>2017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項目架構與 2014 接近；衣著、家具家電、其他費用已依問卷指定 indicator 代碼 2 為零支出，並保留衝突稽核。</w:t>
      </w:r>
    </w:p>
    <w:p>
      <w:pPr>
        <w:pStyle w:val="Heading3"/>
      </w:pPr>
      <w:r>
        <w:t>2021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項目架構與 2014／2017 接近；家庭 55+ 可用，但地理僅四大區域，無法精準連結鄉鎮文健站。</w:t>
      </w:r>
    </w:p>
    <w:p>
      <w:r>
        <w:br w:type="page"/>
      </w:r>
    </w:p>
    <w:p>
      <w:pPr>
        <w:pStyle w:val="Heading1"/>
      </w:pPr>
      <w:r>
        <w:t>三、資料瑕疵清單與研究影響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瑕疵／缺口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位置／成因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影響範圍</w:t>
            </w:r>
          </w:p>
        </w:tc>
        <w:tc>
          <w:tcPr>
            <w:tcW w:type="dxa" w:w="289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研究處置</w:t>
            </w:r>
          </w:p>
        </w:tc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幅度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2017 三個支出無零值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raw indicator 標籤亂碼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衣著、家具家電、其他支出及總支出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已加入 code 2=沒有；離線重跑驗收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2010 家庭其他收入全空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問卷 I6 與 raw i7 題號差異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INC_FAM_OTHER、2010 衍生總所得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已加入年度例外 mapping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各年衍生總額組成不同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問卷可得項目不同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所得／支出總額跨波水準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不是程式錯誤；不可當同一定義趨勢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大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 其他收入代碼斷層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raw data 實際只使用部分代碼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INC_FAM_OTHER、derived total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用 reported total 或排除該分項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 工作所得單一級距錯配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harmonized range mapping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209 筆；均數影響約 +80 元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可修，政策主模型影響極小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2006 q111 的 36 筆 1/3/4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raw label set 與值不一致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家庭工作所得 36/6,013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敏感度重編；非主阻斷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2014 RENT 閉區間未解析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字串含特殊空白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單一租金級距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正規化後以 2,000 元中點解析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harmonized_code 跨變數不同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code 為變數內部代碼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僅下游誤用時出錯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另建 is_zero；不視為資料錯誤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C1–C4 檢查表瑕疵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摘要口徑／命名／幽靈列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QC 解讀，不改變個體資料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修守門，分析可先進行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2021 無鄉鎮地理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公開資料去識別化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 treatment merge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排除主 DID，保留區域描述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大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政策結果概念誤名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舊 conceptual crosswalk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醫療支出被稱為醫療利用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修字典與報告用語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文健站 exposure 待正式重跑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程序已實作、無法在本機跑六波</w:t>
            </w:r>
          </w:p>
        </w:tc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處理組、事件時間與政策強度</w:t>
            </w:r>
          </w:p>
        </w:tc>
        <w:tc>
          <w:tcPr>
            <w:tcW w:type="dxa" w:w="28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離線產生合併檔與匹配稽核</w:t>
            </w:r>
          </w:p>
        </w:tc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文健站歷史清冊存續偏誤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由 114 年現存站回推</w:t>
            </w:r>
          </w:p>
        </w:tc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過去停辦站可能漏列</w:t>
            </w:r>
          </w:p>
        </w:tc>
        <w:tc>
          <w:tcPr>
            <w:tcW w:type="dxa" w:w="2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找歷年清冊或作測量誤差敏感度</w:t>
            </w:r>
          </w:p>
        </w:tc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大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shd w:fill="EDF5F1"/>
          </w:tcPr>
          <w:p>
            <w:pPr>
              <w:spacing w:after="0" w:line="288" w:lineRule="auto"/>
            </w:pPr>
            <w:r>
              <w:rPr>
                <w:rFonts w:ascii="Noto Sans TC" w:hAnsi="Noto Sans TC" w:eastAsia="Noto Sans TC"/>
                <w:b/>
                <w:i w:val="0"/>
                <w:color w:val="2F6B55"/>
                <w:sz w:val="21"/>
              </w:rPr>
              <w:t>判讀原則｜</w:t>
            </w:r>
            <w:r>
              <w:rPr>
                <w:rFonts w:ascii="Noto Sans TC" w:hAnsi="Noto Sans TC" w:eastAsia="Noto Sans TC"/>
                <w:b w:val="0"/>
                <w:i w:val="0"/>
                <w:color w:val="2F6B55"/>
                <w:sz w:val="21"/>
              </w:rPr>
              <w:t>收支瑕疵的存在不等於文健站政策研究不可進行。只要主要結果採醫療保健支出、樣本採有原住民 55+ 成員的家戶，並排除受影響收支欄位，多數瑕疵可在平行修正中處理。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四、建議調整項目與調整幅度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幅度同時考量程式改動、需重跑資料量、研究定義改變及驗證工作。小幅通常是單一 crosswalk／parser 或驗收表；中幅涉及一波多欄或字典語意；大幅涉及跨年度衍生變數、政策暴露或研究設計。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優先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調整項目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幅度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工作範圍</w:t>
            </w:r>
          </w:p>
        </w:tc>
        <w:tc>
          <w:tcPr>
            <w:tcW w:type="dxa" w:w="214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完成標準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P0</w:t>
            </w:r>
          </w:p>
        </w:tc>
        <w:tc>
          <w:tcPr>
            <w:tcW w:type="dxa" w:w="2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匯回最新六波個體層 combined RDS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檔案移轉、manifest/MD5、六波 N 與 key 驗證</w:t>
            </w:r>
          </w:p>
        </w:tc>
        <w:tc>
          <w:tcPr>
            <w:tcW w:type="dxa" w:w="2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正式分析有可重現輸入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P0</w:t>
            </w:r>
          </w:p>
        </w:tc>
        <w:tc>
          <w:tcPr>
            <w:tcW w:type="dxa" w:w="2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離線重建文健站 exposure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民國90–114年；站數、首設年、event time、1／3／5年暴露</w:t>
            </w:r>
          </w:p>
        </w:tc>
        <w:tc>
          <w:tcPr>
            <w:tcW w:type="dxa" w:w="21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panel為525站、122鄉鎮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P0</w:t>
            </w:r>
          </w:p>
        </w:tc>
        <w:tc>
          <w:tcPr>
            <w:tcW w:type="dxa" w:w="2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Treatment merge 與匹配稽核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以縣市×鄉鎮×年度合併；逐年輸出 matched/unmatched</w:t>
            </w:r>
          </w:p>
        </w:tc>
        <w:tc>
          <w:tcPr>
            <w:tcW w:type="dxa" w:w="2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列數與ID×年度不變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P0</w:t>
            </w:r>
          </w:p>
        </w:tc>
        <w:tc>
          <w:tcPr>
            <w:tcW w:type="dxa" w:w="2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修正 outcome 語意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醫療支出不可稱醫療利用；確認主／次結果</w:t>
            </w:r>
          </w:p>
        </w:tc>
        <w:tc>
          <w:tcPr>
            <w:tcW w:type="dxa" w:w="21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避免因果詮釋錯誤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P1</w:t>
            </w:r>
          </w:p>
        </w:tc>
        <w:tc>
          <w:tcPr>
            <w:tcW w:type="dxa" w:w="2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收支修正正式驗收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2010 mapping、2017 indicator、2006代碼、2014 RENT</w:t>
            </w:r>
          </w:p>
        </w:tc>
        <w:tc>
          <w:tcPr>
            <w:tcW w:type="dxa" w:w="2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修正規則均通過離線數值檢查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P1</w:t>
            </w:r>
          </w:p>
        </w:tc>
        <w:tc>
          <w:tcPr>
            <w:tcW w:type="dxa" w:w="2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固定共同項收支版本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小</w:t>
            </w:r>
          </w:p>
        </w:tc>
        <w:tc>
          <w:tcPr>
            <w:tcW w:type="dxa" w:w="3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COMMON3 所得與 COMMON5 支出；不覆蓋 derived totals</w:t>
            </w:r>
          </w:p>
        </w:tc>
        <w:tc>
          <w:tcPr>
            <w:tcW w:type="dxa" w:w="21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供跨波敏感度分析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P1</w:t>
            </w:r>
          </w:p>
        </w:tc>
        <w:tc>
          <w:tcPr>
            <w:tcW w:type="dxa" w:w="2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QC 守門重構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C1–C4、兩段式 explicit-no=0 fail、全欄變異檢查</w:t>
            </w:r>
          </w:p>
        </w:tc>
        <w:tc>
          <w:tcPr>
            <w:tcW w:type="dxa" w:w="2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降低假通過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P2</w:t>
            </w:r>
          </w:p>
        </w:tc>
        <w:tc>
          <w:tcPr>
            <w:tcW w:type="dxa" w:w="2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補歷年文健站名冊</w:t>
            </w:r>
          </w:p>
        </w:tc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大</w:t>
            </w:r>
          </w:p>
        </w:tc>
        <w:tc>
          <w:tcPr>
            <w:tcW w:type="dxa" w:w="3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確認停辦／改名／遷站與成立年度</w:t>
            </w:r>
          </w:p>
        </w:tc>
        <w:tc>
          <w:tcPr>
            <w:tcW w:type="dxa" w:w="21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降低 treatment 測量誤差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P2</w:t>
            </w:r>
          </w:p>
        </w:tc>
        <w:tc>
          <w:tcPr>
            <w:tcW w:type="dxa" w:w="2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權數盤點與加權描述統計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中</w:t>
            </w:r>
          </w:p>
        </w:tc>
        <w:tc>
          <w:tcPr>
            <w:tcW w:type="dxa" w:w="3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確認每波權數定義與校準母體</w:t>
            </w:r>
          </w:p>
        </w:tc>
        <w:tc>
          <w:tcPr>
            <w:tcW w:type="dxa" w:w="2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提升母體推論</w:t>
            </w:r>
          </w:p>
        </w:tc>
      </w:tr>
    </w:tbl>
    <w:p>
      <w:pPr>
        <w:spacing w:after="20"/>
      </w:pPr>
    </w:p>
    <w:p>
      <w:pPr>
        <w:pStyle w:val="Heading1"/>
      </w:pPr>
      <w:r>
        <w:t>五、目前資料的敘述統計</w:t>
      </w:r>
    </w:p>
    <w:p>
      <w:pPr>
        <w:pStyle w:val="Heading2"/>
      </w:pPr>
      <w:r>
        <w:t>5.1 年度樣本與分析樣本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年度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全樣本 N</w:t>
            </w:r>
          </w:p>
        </w:tc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原民分析 N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平均家戶人數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平均原民人數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有原民55+戶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占全樣本</w:t>
            </w:r>
          </w:p>
        </w:tc>
        <w:tc>
          <w:tcPr>
            <w:tcW w:type="dxa" w:w="134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男性受訪者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13,113</w:t>
            </w:r>
          </w:p>
        </w:tc>
        <w:tc>
          <w:tcPr>
            <w:tcW w:type="dxa" w:w="1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13,113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4.50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4.01</w:t>
            </w:r>
          </w:p>
        </w:tc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不適用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1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60.3%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2006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6,013</w:t>
            </w:r>
          </w:p>
        </w:tc>
        <w:tc>
          <w:tcPr>
            <w:tcW w:type="dxa" w:w="11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6,013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4.27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4.00</w:t>
            </w:r>
          </w:p>
        </w:tc>
        <w:tc>
          <w:tcPr>
            <w:tcW w:type="dxa" w:w="13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3,082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51.3%</w:t>
            </w:r>
          </w:p>
        </w:tc>
        <w:tc>
          <w:tcPr>
            <w:tcW w:type="dxa" w:w="13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41.0%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2010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5,027</w:t>
            </w:r>
          </w:p>
        </w:tc>
        <w:tc>
          <w:tcPr>
            <w:tcW w:type="dxa" w:w="1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5,027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3.49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2.87</w:t>
            </w:r>
          </w:p>
        </w:tc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1,860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37.0%</w:t>
            </w:r>
          </w:p>
        </w:tc>
        <w:tc>
          <w:tcPr>
            <w:tcW w:type="dxa" w:w="1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42.6%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2014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5,214</w:t>
            </w:r>
          </w:p>
        </w:tc>
        <w:tc>
          <w:tcPr>
            <w:tcW w:type="dxa" w:w="11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4,571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4.08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3.49</w:t>
            </w:r>
          </w:p>
        </w:tc>
        <w:tc>
          <w:tcPr>
            <w:tcW w:type="dxa" w:w="13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2,567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49.2%</w:t>
            </w:r>
          </w:p>
        </w:tc>
        <w:tc>
          <w:tcPr>
            <w:tcW w:type="dxa" w:w="13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64.4%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2017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5,302</w:t>
            </w:r>
          </w:p>
        </w:tc>
        <w:tc>
          <w:tcPr>
            <w:tcW w:type="dxa" w:w="1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4,494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3.49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2.91</w:t>
            </w:r>
          </w:p>
        </w:tc>
        <w:tc>
          <w:tcPr>
            <w:tcW w:type="dxa" w:w="1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2,813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53.1%</w:t>
            </w:r>
          </w:p>
        </w:tc>
        <w:tc>
          <w:tcPr>
            <w:tcW w:type="dxa" w:w="1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65.3%</w:t>
            </w:r>
          </w:p>
        </w:tc>
      </w:tr>
      <w:tr>
        <w:trPr>
          <w:cantSplit/>
        </w:trPr>
        <w:tc>
          <w:tcPr>
            <w:tcW w:type="dxa" w:w="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2021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5,409</w:t>
            </w:r>
          </w:p>
        </w:tc>
        <w:tc>
          <w:tcPr>
            <w:tcW w:type="dxa" w:w="11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4,392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3.55</w:t>
            </w:r>
          </w:p>
        </w:tc>
        <w:tc>
          <w:tcPr>
            <w:tcW w:type="dxa" w:w="13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2.78</w:t>
            </w:r>
          </w:p>
        </w:tc>
        <w:tc>
          <w:tcPr>
            <w:tcW w:type="dxa" w:w="13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3,103</w:t>
            </w:r>
          </w:p>
        </w:tc>
        <w:tc>
          <w:tcPr>
            <w:tcW w:type="dxa" w:w="11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57.4%</w:t>
            </w:r>
          </w:p>
        </w:tc>
        <w:tc>
          <w:tcPr>
            <w:tcW w:type="dxa" w:w="13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60.0%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rFonts w:ascii="Noto Sans TC" w:hAnsi="Noto Sans TC" w:eastAsia="Noto Sans TC"/>
          <w:b w:val="0"/>
          <w:i/>
          <w:color w:val="66737D"/>
          <w:sz w:val="16"/>
        </w:rPr>
        <w:t>資料來源：check_analysis_sample_exclusions.csv、numeric_summary.csv、check_family_indigenous_age_counts.csv、categorical_summary.csv。男性比例受受訪單位變動影響，不宜直接解釋為母體性別趨勢。</w:t>
      </w:r>
    </w:p>
    <w:p>
      <w:r>
        <w:drawing>
          <wp:inline xmlns:a="http://schemas.openxmlformats.org/drawingml/2006/main" xmlns:pic="http://schemas.openxmlformats.org/drawingml/2006/picture">
            <wp:extent cx="5623560" cy="2249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s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C" w:hAnsi="Noto Sans TC" w:eastAsia="Noto Sans TC"/>
          <w:b w:val="0"/>
          <w:i w:val="0"/>
          <w:color w:val="66737D"/>
          <w:sz w:val="17"/>
        </w:rPr>
        <w:t>圖 1　各年度全樣本與原住民族分析樣本</w:t>
      </w:r>
    </w:p>
    <w:p>
      <w:pPr>
        <w:pStyle w:val="Heading2"/>
      </w:pPr>
      <w:r>
        <w:t>5.2 所得與支出平均值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年度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醫療支出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家庭工作所得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家庭政府收入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衍生總所得*</w:t>
            </w:r>
          </w:p>
        </w:tc>
        <w:tc>
          <w:tcPr>
            <w:tcW w:type="dxa" w:w="191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衍生總支出*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2,557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32,627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1,892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38,877</w:t>
            </w:r>
          </w:p>
        </w:tc>
        <w:tc>
          <w:tcPr>
            <w:tcW w:type="dxa" w:w="1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25,575</w:t>
            </w:r>
          </w:p>
        </w:tc>
      </w:tr>
      <w:tr>
        <w:trPr>
          <w:cantSplit/>
        </w:trPr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2006</w:t>
            </w:r>
          </w:p>
        </w:tc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2,767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35,027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2,121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34,091</w:t>
            </w:r>
          </w:p>
        </w:tc>
        <w:tc>
          <w:tcPr>
            <w:tcW w:type="dxa" w:w="1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31,558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2010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2,744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33,681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1,789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35,767</w:t>
            </w:r>
          </w:p>
        </w:tc>
        <w:tc>
          <w:tcPr>
            <w:tcW w:type="dxa" w:w="1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31,890</w:t>
            </w:r>
          </w:p>
        </w:tc>
      </w:tr>
      <w:tr>
        <w:trPr>
          <w:cantSplit/>
        </w:trPr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2014</w:t>
            </w:r>
          </w:p>
        </w:tc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1,928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62,923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2,965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67,223</w:t>
            </w:r>
          </w:p>
        </w:tc>
        <w:tc>
          <w:tcPr>
            <w:tcW w:type="dxa" w:w="1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40,511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2017</w:t>
            </w:r>
          </w:p>
        </w:tc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2,089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54,678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2,287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58,170</w:t>
            </w:r>
          </w:p>
        </w:tc>
        <w:tc>
          <w:tcPr>
            <w:tcW w:type="dxa" w:w="1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45,469</w:t>
            </w:r>
          </w:p>
        </w:tc>
      </w:tr>
      <w:tr>
        <w:trPr>
          <w:cantSplit/>
        </w:trPr>
        <w:tc>
          <w:tcPr>
            <w:tcW w:type="dxa" w:w="8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2021</w:t>
            </w:r>
          </w:p>
        </w:tc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2,650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57,072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3,486</w:t>
            </w:r>
          </w:p>
        </w:tc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62,707</w:t>
            </w:r>
          </w:p>
        </w:tc>
        <w:tc>
          <w:tcPr>
            <w:tcW w:type="dxa" w:w="1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46,295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rFonts w:ascii="Noto Sans TC" w:hAnsi="Noto Sans TC" w:eastAsia="Noto Sans TC"/>
          <w:b w:val="0"/>
          <w:i/>
          <w:color w:val="66737D"/>
          <w:sz w:val="16"/>
        </w:rPr>
        <w:t>資料來源：check_income_expenditure_before_after.csv；單位為每戶每月新臺幣元。*各年度組成項不同，僅供年度內描述，不宜直接解讀為同一定義跨年趨勢。</w:t>
      </w:r>
    </w:p>
    <w:p>
      <w:r>
        <w:drawing>
          <wp:inline xmlns:a="http://schemas.openxmlformats.org/drawingml/2006/main" xmlns:pic="http://schemas.openxmlformats.org/drawingml/2006/picture">
            <wp:extent cx="5623560" cy="2249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l_expendi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C" w:hAnsi="Noto Sans TC" w:eastAsia="Noto Sans TC"/>
          <w:b w:val="0"/>
          <w:i w:val="0"/>
          <w:color w:val="66737D"/>
          <w:sz w:val="17"/>
        </w:rPr>
        <w:t>圖 2　各年度每戶每月平均醫療保健支出</w:t>
      </w:r>
    </w:p>
    <w:p>
      <w:r>
        <w:br w:type="page"/>
      </w:r>
    </w:p>
    <w:p>
      <w:pPr>
        <w:pStyle w:val="Heading2"/>
      </w:pPr>
      <w:r>
        <w:t>5.3 各年度資料樣貌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0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83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資料樣貌摘要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2002</w:t>
            </w:r>
          </w:p>
        </w:tc>
        <w:tc>
          <w:tcPr>
            <w:tcW w:type="dxa" w:w="8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樣本最大；家庭規模與原民人數最高。家庭55+結構不可得；部分鄉鎮合併或缺失。醫療支出平均2,557元。</w:t>
            </w:r>
          </w:p>
        </w:tc>
      </w:tr>
      <w:tr>
        <w:trPr>
          <w:cantSplit/>
        </w:trPr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2006</w:t>
            </w:r>
          </w:p>
        </w:tc>
        <w:tc>
          <w:tcPr>
            <w:tcW w:type="dxa" w:w="83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6,013戶；51.3%家庭有原住民55+成員。受訪單位為電話接聽者，個人特徵與後期經濟戶長不可直接等同。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2010</w:t>
            </w:r>
          </w:p>
        </w:tc>
        <w:tc>
          <w:tcPr>
            <w:tcW w:type="dxa" w:w="8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5,027戶；家庭規模降至3.49人，37.0%家庭有原住民55+。家庭其他收入已加入I6→i7修正，正式值待離線重跑。</w:t>
            </w:r>
          </w:p>
        </w:tc>
      </w:tr>
      <w:tr>
        <w:trPr>
          <w:cantSplit/>
        </w:trPr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2014</w:t>
            </w:r>
          </w:p>
        </w:tc>
        <w:tc>
          <w:tcPr>
            <w:tcW w:type="dxa" w:w="83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5,214戶，全樣本中排除643戶非原住民後分析樣本4,571戶；49.2%有原住民55+。家戶所得有問卷適用範圍。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2017</w:t>
            </w:r>
          </w:p>
        </w:tc>
        <w:tc>
          <w:tcPr>
            <w:tcW w:type="dxa" w:w="8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5,302戶，原民分析樣本4,494戶；53.1%有原住民55+。三個非核心支出已加入indicator零值修正，醫療支出不受影響。</w:t>
            </w:r>
          </w:p>
        </w:tc>
      </w:tr>
      <w:tr>
        <w:trPr>
          <w:cantSplit/>
        </w:trPr>
        <w:tc>
          <w:tcPr>
            <w:tcW w:type="dxa" w:w="1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2021</w:t>
            </w:r>
          </w:p>
        </w:tc>
        <w:tc>
          <w:tcPr>
            <w:tcW w:type="dxa" w:w="83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5,409戶，原民分析樣本4,392戶；57.4%有原住民55+。地理僅四大區域，不能做鄉鎮文健站 exposure。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六、文健站整併面向與鄉鎮成立年度分析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2026-08-06 v2 離線包同時包含 114 年現存文健站清冊、預建鄉鎮年度 panel、panel 重建程式及個體層合併程式。清冊共 525 個現存站點、122 個鄉鎮；panel 涵蓋民國 90–114 年並補入民國 110 年。其定位是第一版政策暴露資料，不等同完整歷史營運名冊。</w:t>
      </w:r>
    </w:p>
    <w:p>
      <w:pPr>
        <w:pStyle w:val="Heading2"/>
      </w:pPr>
      <w:r>
        <w:t>6.1 離線整併設計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面向</w:t>
            </w:r>
          </w:p>
        </w:tc>
        <w:tc>
          <w:tcPr>
            <w:tcW w:type="dxa" w:w="30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本版設計</w:t>
            </w:r>
          </w:p>
        </w:tc>
        <w:tc>
          <w:tcPr>
            <w:tcW w:type="dxa" w:w="461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研究與資料治理考量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資料來源</w:t>
            </w:r>
          </w:p>
        </w:tc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114年文健站營運單位清冊</w:t>
            </w:r>
          </w:p>
        </w:tc>
        <w:tc>
          <w:tcPr>
            <w:tcW w:type="dxa" w:w="4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站名、縣市、行政區、成立年度；不帶入電話與地址作分析</w:t>
            </w:r>
          </w:p>
        </w:tc>
      </w:tr>
      <w:tr>
        <w:trPr>
          <w:cantSplit/>
        </w:trPr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政策單位</w:t>
            </w:r>
          </w:p>
        </w:tc>
        <w:tc>
          <w:tcPr>
            <w:tcW w:type="dxa" w:w="30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鄉鎮×民國年度</w:t>
            </w:r>
          </w:p>
        </w:tc>
        <w:tc>
          <w:tcPr>
            <w:tcW w:type="dxa" w:w="46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先彙整站數再合併，避免一個鄉鎮多站造成個體重複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個體合併鍵</w:t>
            </w:r>
          </w:p>
        </w:tc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CITY×COUNTY×(DATA_Y−1911)</w:t>
            </w:r>
          </w:p>
        </w:tc>
        <w:tc>
          <w:tcPr>
            <w:tcW w:type="dxa" w:w="4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CITY為縣市、COUNTY為鄉鎮；合併前統一台／臺與空白</w:t>
            </w:r>
          </w:p>
        </w:tc>
      </w:tr>
      <w:tr>
        <w:trPr>
          <w:cantSplit/>
        </w:trPr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合併輸出</w:t>
            </w:r>
          </w:p>
        </w:tc>
        <w:tc>
          <w:tcPr>
            <w:tcW w:type="dxa" w:w="30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cross_year_combined_with_care_station.rds</w:t>
            </w:r>
          </w:p>
        </w:tc>
        <w:tc>
          <w:tcPr>
            <w:tcW w:type="dxa" w:w="46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保留個體層，僅能留在受限環境；預設不輸出個體CSV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列數守門</w:t>
            </w:r>
          </w:p>
        </w:tc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ID×DATA_Y唯一且合併前後列數相同</w:t>
            </w:r>
          </w:p>
        </w:tc>
        <w:tc>
          <w:tcPr>
            <w:tcW w:type="dxa" w:w="46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防止站點一對多join擴張樣本</w:t>
            </w:r>
          </w:p>
        </w:tc>
      </w:tr>
      <w:tr>
        <w:trPr>
          <w:cantSplit/>
        </w:trPr>
        <w:tc>
          <w:tcPr>
            <w:tcW w:type="dxa" w:w="17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匹配稽核</w:t>
            </w:r>
          </w:p>
        </w:tc>
        <w:tc>
          <w:tcPr>
            <w:tcW w:type="dxa" w:w="30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matched／no current roster station／非鄉鎮地理</w:t>
            </w:r>
          </w:p>
        </w:tc>
        <w:tc>
          <w:tcPr>
            <w:tcW w:type="dxa" w:w="46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逐調查年度輸出人數、比例及暴露概況</w:t>
            </w:r>
          </w:p>
        </w:tc>
      </w:tr>
    </w:tbl>
    <w:p>
      <w:pPr>
        <w:spacing w:after="20"/>
      </w:pPr>
    </w:p>
    <w:p>
      <w:pPr>
        <w:pStyle w:val="Heading2"/>
      </w:pPr>
      <w:r>
        <w:t>6.2 建議主分析樣本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年度：2006、2010、2014、2017。2021 因無鄉鎮資料排除主模型；2002 因家庭55+不可得及部分地理模糊，作輔助前期分析。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對象：家中至少一名原住民 55+ 成員的家戶（HAS_INDI_55PLUS=TRUE）。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主要結果：家庭每月醫療保健支出；次要結果可含政府補助、照護支出或家戶經濟結果，但逐一檢查可比性。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控制變數：家戶人數、原住民人數、教育、族別、住宅等；所得控制先不放主模型，待修復後作敏感度分析。</w:t>
      </w:r>
    </w:p>
    <w:p>
      <w:pPr>
        <w:pStyle w:val="Heading2"/>
      </w:pPr>
      <w:r>
        <w:t>6.3 鄉鎮年度 exposure 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44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定義</w:t>
            </w:r>
          </w:p>
        </w:tc>
        <w:tc>
          <w:tcPr>
            <w:tcW w:type="dxa" w:w="291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care_station_count</w:t>
            </w:r>
          </w:p>
        </w:tc>
        <w:tc>
          <w:tcPr>
            <w:tcW w:type="dxa" w:w="4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調查年度累積站數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連續政策強度主指標</w:t>
            </w:r>
          </w:p>
        </w:tc>
      </w:tr>
      <w:tr>
        <w:trPr>
          <w:cantSplit/>
        </w:trPr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care_station_any</w:t>
            </w:r>
          </w:p>
        </w:tc>
        <w:tc>
          <w:tcPr>
            <w:tcW w:type="dxa" w:w="4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累積站數 &gt; 0</w:t>
            </w:r>
          </w:p>
        </w:tc>
        <w:tc>
          <w:tcPr>
            <w:tcW w:type="dxa" w:w="2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二元處理狀態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care_station_first_year</w:t>
            </w:r>
          </w:p>
        </w:tc>
        <w:tc>
          <w:tcPr>
            <w:tcW w:type="dxa" w:w="4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該鄉鎮第一站成立年度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分期設站 cohort</w:t>
            </w:r>
          </w:p>
        </w:tc>
      </w:tr>
      <w:tr>
        <w:trPr>
          <w:cantSplit/>
        </w:trPr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care_station_new_count</w:t>
            </w:r>
          </w:p>
        </w:tc>
        <w:tc>
          <w:tcPr>
            <w:tcW w:type="dxa" w:w="4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該年度新成立站數</w:t>
            </w:r>
          </w:p>
        </w:tc>
        <w:tc>
          <w:tcPr>
            <w:tcW w:type="dxa" w:w="2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政策擴張流量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care_station_event_time</w:t>
            </w:r>
          </w:p>
        </w:tc>
        <w:tc>
          <w:tcPr>
            <w:tcW w:type="dxa" w:w="4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調查年－第一站成立年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事件研究相對時間</w:t>
            </w:r>
          </w:p>
        </w:tc>
      </w:tr>
      <w:tr>
        <w:trPr>
          <w:cantSplit/>
        </w:trPr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care_station_years_since_first</w:t>
            </w:r>
          </w:p>
        </w:tc>
        <w:tc>
          <w:tcPr>
            <w:tcW w:type="dxa" w:w="4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設站後累積年數</w:t>
            </w:r>
          </w:p>
        </w:tc>
        <w:tc>
          <w:tcPr>
            <w:tcW w:type="dxa" w:w="2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政策成熟度／劑量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care_station_exposed_1y/3y/5y</w:t>
            </w:r>
          </w:p>
        </w:tc>
        <w:tc>
          <w:tcPr>
            <w:tcW w:type="dxa" w:w="4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至少設站1／3／5年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延遲效果與成熟期敏感度</w:t>
            </w:r>
          </w:p>
        </w:tc>
      </w:tr>
      <w:tr>
        <w:trPr>
          <w:cantSplit/>
        </w:trPr>
        <w:tc>
          <w:tcPr>
            <w:tcW w:type="dxa" w:w="20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care_station_match_status</w:t>
            </w:r>
          </w:p>
        </w:tc>
        <w:tc>
          <w:tcPr>
            <w:tcW w:type="dxa" w:w="44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地理匹配狀態</w:t>
            </w:r>
          </w:p>
        </w:tc>
        <w:tc>
          <w:tcPr>
            <w:tcW w:type="dxa" w:w="29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界定可分析樣本與未匹配原因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STATIONS_PER_55PLUS</w:t>
            </w:r>
          </w:p>
        </w:tc>
        <w:tc>
          <w:tcPr>
            <w:tcW w:type="dxa" w:w="4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站數／55+ 原民人口或家庭</w:t>
            </w:r>
          </w:p>
        </w:tc>
        <w:tc>
          <w:tcPr>
            <w:tcW w:type="dxa" w:w="2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本版尚未建立；需外部鄉鎮年度分母</w:t>
            </w:r>
          </w:p>
        </w:tc>
      </w:tr>
    </w:tbl>
    <w:p>
      <w:pPr>
        <w:spacing w:after="20"/>
      </w:pPr>
    </w:p>
    <w:p>
      <w:pPr>
        <w:pStyle w:val="Heading2"/>
      </w:pPr>
      <w:r>
        <w:t>6.4 分析策略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層次</w:t>
            </w:r>
          </w:p>
        </w:tc>
        <w:tc>
          <w:tcPr>
            <w:tcW w:type="dxa" w:w="455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331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描述性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依首次設站 cohort、站數分組比較樣本與醫療支出</w:t>
            </w:r>
          </w:p>
        </w:tc>
        <w:tc>
          <w:tcPr>
            <w:tcW w:type="dxa" w:w="3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先檢查可比性與支持範圍</w:t>
            </w:r>
          </w:p>
        </w:tc>
      </w:tr>
      <w:tr>
        <w:trPr>
          <w:cantSplit/>
        </w:trPr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事件研究</w:t>
            </w:r>
          </w:p>
        </w:tc>
        <w:tc>
          <w:tcPr>
            <w:tcW w:type="dxa" w:w="45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以 FIRST_STATION_YEAR 建立相對時間</w:t>
            </w:r>
          </w:p>
        </w:tc>
        <w:tc>
          <w:tcPr>
            <w:tcW w:type="dxa" w:w="33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檢驗政策前趨勢與動態效果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分期 DID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採適合 staggered adoption 的群組－時間 ATT</w:t>
            </w:r>
          </w:p>
        </w:tc>
        <w:tc>
          <w:tcPr>
            <w:tcW w:type="dxa" w:w="3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避免傳統 TWFE 異質效果偏誤</w:t>
            </w:r>
          </w:p>
        </w:tc>
      </w:tr>
      <w:tr>
        <w:trPr>
          <w:cantSplit/>
        </w:trPr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強度模型</w:t>
            </w:r>
          </w:p>
        </w:tc>
        <w:tc>
          <w:tcPr>
            <w:tcW w:type="dxa" w:w="45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以 STATION_COUNT 或新增站數為連續暴露</w:t>
            </w:r>
          </w:p>
        </w:tc>
        <w:tc>
          <w:tcPr>
            <w:tcW w:type="dxa" w:w="33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估計政策擴張與結果關聯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異質性</w:t>
            </w:r>
          </w:p>
        </w:tc>
        <w:tc>
          <w:tcPr>
            <w:tcW w:type="dxa" w:w="4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55–64／65+、山地／平地、地區、基線站數</w:t>
            </w:r>
          </w:p>
        </w:tc>
        <w:tc>
          <w:tcPr>
            <w:tcW w:type="dxa" w:w="3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對應文健站服務對象與地理差異</w:t>
            </w:r>
          </w:p>
        </w:tc>
      </w:tr>
      <w:tr>
        <w:trPr>
          <w:cantSplit/>
        </w:trPr>
        <w:tc>
          <w:tcPr>
            <w:tcW w:type="dxa" w:w="15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敏感度</w:t>
            </w:r>
          </w:p>
        </w:tc>
        <w:tc>
          <w:tcPr>
            <w:tcW w:type="dxa" w:w="45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排除早期已設站、改用二元／連續 exposure、不同所得控制</w:t>
            </w:r>
          </w:p>
        </w:tc>
        <w:tc>
          <w:tcPr>
            <w:tcW w:type="dxa" w:w="331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檢查估計穩健性</w:t>
            </w:r>
          </w:p>
        </w:tc>
      </w:tr>
    </w:tbl>
    <w:p>
      <w:pPr>
        <w:spacing w:after="20"/>
      </w:pPr>
    </w:p>
    <w:p>
      <w:pPr>
        <w:pStyle w:val="Heading2"/>
      </w:pPr>
      <w:r>
        <w:t>6.5 地理、時間與因果解讀限制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限制</w:t>
            </w:r>
          </w:p>
        </w:tc>
        <w:tc>
          <w:tcPr>
            <w:tcW w:type="dxa" w:w="337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影響</w:t>
            </w:r>
          </w:p>
        </w:tc>
        <w:tc>
          <w:tcPr>
            <w:tcW w:type="dxa" w:w="409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名冊存續偏誤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114年現存清冊可能漏掉已停辦／撤站站點</w:t>
            </w:r>
          </w:p>
        </w:tc>
        <w:tc>
          <w:tcPr>
            <w:tcW w:type="dxa" w:w="40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取得歷年核定與停辦清冊；以測量誤差敏感度呈現</w:t>
            </w:r>
          </w:p>
        </w:tc>
      </w:tr>
      <w:tr>
        <w:trPr>
          <w:cantSplit/>
        </w:trPr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成立年≠完整服務年</w:t>
            </w:r>
          </w:p>
        </w:tc>
        <w:tc>
          <w:tcPr>
            <w:tcW w:type="dxa" w:w="33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成立當年可能只服務部分月份</w:t>
            </w:r>
          </w:p>
        </w:tc>
        <w:tc>
          <w:tcPr>
            <w:tcW w:type="dxa" w:w="40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主模型使用1年落後或exposed_1y，並比較當年起算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早期已處理鄉鎮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民國90年前已設站者缺乏可觀察前期</w:t>
            </w:r>
          </w:p>
        </w:tc>
        <w:tc>
          <w:tcPr>
            <w:tcW w:type="dxa" w:w="40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不可作永久控制組；排除或另列早期cohort</w:t>
            </w:r>
          </w:p>
        </w:tc>
      </w:tr>
      <w:tr>
        <w:trPr>
          <w:cantSplit/>
        </w:trPr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調查波次稀疏</w:t>
            </w:r>
          </w:p>
        </w:tc>
        <w:tc>
          <w:tcPr>
            <w:tcW w:type="dxa" w:w="33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2002／2006／2010／2014／2017／2021非逐年結果</w:t>
            </w:r>
          </w:p>
        </w:tc>
        <w:tc>
          <w:tcPr>
            <w:tcW w:type="dxa" w:w="40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event time需分箱；不可解讀為逐年追蹤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2021地理不足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僅四大區域，無法鄉鎮匹配</w:t>
            </w:r>
          </w:p>
        </w:tc>
        <w:tc>
          <w:tcPr>
            <w:tcW w:type="dxa" w:w="40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排除鄉鎮主模型，保留區域描述</w:t>
            </w:r>
          </w:p>
        </w:tc>
      </w:tr>
      <w:tr>
        <w:trPr>
          <w:cantSplit/>
        </w:trPr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2002地理與55+不足</w:t>
            </w:r>
          </w:p>
        </w:tc>
        <w:tc>
          <w:tcPr>
            <w:tcW w:type="dxa" w:w="33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部分鄉鎮模糊且家庭55+不可得</w:t>
            </w:r>
          </w:p>
        </w:tc>
        <w:tc>
          <w:tcPr>
            <w:tcW w:type="dxa" w:w="409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只作前期／安慰劑輔助，不作55+主模型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服務跨界與選址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居民可能跨鄉鎮使用；設站非隨機</w:t>
            </w:r>
          </w:p>
        </w:tc>
        <w:tc>
          <w:tcPr>
            <w:tcW w:type="dxa" w:w="40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解讀為所在地政策可近性；檢查前趨勢、共變數與異質性</w:t>
            </w:r>
          </w:p>
        </w:tc>
      </w:tr>
    </w:tbl>
    <w:p>
      <w:pPr>
        <w:spacing w:after="20"/>
      </w:pPr>
    </w:p>
    <w:p>
      <w:pPr>
        <w:pStyle w:val="Heading2"/>
      </w:pPr>
      <w:r>
        <w:t>6.6 正式估計前驗收條件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六波最新個體層 RDS 的 MD5、列數與 ID×DATA_Y 唯一性通過。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文健站 panel 對帳為 525 站、122 鄉鎮、含民國 110 年，且各鄉鎮累積站數不下降。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2006–2017 鄉鎮 exposure merge rate、unmatched 清單及行政區轉換均輸出。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合併前後個體列數相同且 ID×DATA_Y 維持唯一；不得輸出或攜出個體層 CSV／RDS。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每一首次設站 cohort 在處理前後至少有可用調查波次；過早處理鄉鎮不得被誤當永久控制組。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醫療支出各年有效率、分布、極端級距與零值均重新確認。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主樣本限定 55+ 後，逐年與 treatment cohort 的樣本數足以支持估計。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標準誤至少按鄉鎮聚類；小群聚情境準備 wild cluster bootstrap。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報告明確揭露 114 年現存清冊回推造成的歷史站點存續偏誤。</w:t>
      </w:r>
    </w:p>
    <w:p>
      <w:pPr>
        <w:pStyle w:val="Heading1"/>
      </w:pPr>
      <w:r>
        <w:t>七、分階段執行時程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階段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主題</w:t>
            </w:r>
          </w:p>
        </w:tc>
        <w:tc>
          <w:tcPr>
            <w:tcW w:type="dxa" w:w="48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主要產出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預估幅度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第1階段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資料凍結與基準</w:t>
            </w:r>
          </w:p>
        </w:tc>
        <w:tc>
          <w:tcPr>
            <w:tcW w:type="dxa" w:w="4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匯回六波 RDS、manifest、QC 修正、研究變數清單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1–2工作日</w:t>
            </w:r>
          </w:p>
        </w:tc>
      </w:tr>
      <w:tr>
        <w:trPr>
          <w:cantSplit/>
        </w:trPr>
        <w:tc>
          <w:tcPr>
            <w:tcW w:type="dxa" w:w="12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第2階段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文健站 exposure</w:t>
            </w:r>
          </w:p>
        </w:tc>
        <w:tc>
          <w:tcPr>
            <w:tcW w:type="dxa" w:w="4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離線重建panel、合併個體資料、匹配稽核與cohort診斷</w:t>
            </w:r>
          </w:p>
        </w:tc>
        <w:tc>
          <w:tcPr>
            <w:tcW w:type="dxa" w:w="1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1–2工作日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第3階段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分析資料集</w:t>
            </w:r>
          </w:p>
        </w:tc>
        <w:tc>
          <w:tcPr>
            <w:tcW w:type="dxa" w:w="4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55+ 樣本、outcome、控制、merge audit、描述統計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2–3工作日</w:t>
            </w:r>
          </w:p>
        </w:tc>
      </w:tr>
      <w:tr>
        <w:trPr>
          <w:cantSplit/>
        </w:trPr>
        <w:tc>
          <w:tcPr>
            <w:tcW w:type="dxa" w:w="12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第4階段</w:t>
            </w:r>
          </w:p>
        </w:tc>
        <w:tc>
          <w:tcPr>
            <w:tcW w:type="dxa" w:w="19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探索與主模型</w:t>
            </w:r>
          </w:p>
        </w:tc>
        <w:tc>
          <w:tcPr>
            <w:tcW w:type="dxa" w:w="4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cohort 描述、event study、staggered DID、敏感度</w:t>
            </w:r>
          </w:p>
        </w:tc>
        <w:tc>
          <w:tcPr>
            <w:tcW w:type="dxa" w:w="14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3–6工作日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第5階段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研究報告</w:t>
            </w:r>
          </w:p>
        </w:tc>
        <w:tc>
          <w:tcPr>
            <w:tcW w:type="dxa" w:w="4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表圖、識別假設、限制、政策詮釋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6"/>
              </w:rPr>
              <w:t>3–5工作日</w:t>
            </w:r>
          </w:p>
        </w:tc>
      </w:tr>
    </w:tbl>
    <w:p>
      <w:pPr>
        <w:spacing w:after="20"/>
      </w:pPr>
    </w:p>
    <w:p>
      <w:pPr>
        <w:pStyle w:val="Heading1"/>
      </w:pPr>
      <w:r>
        <w:t>附錄 A　各年度可用變數對照表</w:t>
      </w:r>
    </w:p>
    <w:p>
      <w:pPr>
        <w:spacing w:after="140" w:line="300" w:lineRule="auto"/>
      </w:pPr>
      <w:r>
        <w:rPr>
          <w:rFonts w:ascii="Noto Sans TC" w:hAnsi="Noto Sans TC" w:eastAsia="Noto Sans TC"/>
          <w:b w:val="0"/>
          <w:i w:val="0"/>
          <w:color w:val="20272C"/>
          <w:sz w:val="21"/>
        </w:rPr>
        <w:t>以下依 coverage summary 的 Present=1 建立跨年度對照矩陣。●＝可用；△＝欄位存在但有本提案所列品質限制；—＝該年度不可用或問卷未提供。可用只代表資料存在，不代表題意與總額組成可直接跨年比較。</w:t>
      </w:r>
    </w:p>
    <w:p>
      <w:pPr>
        <w:pStyle w:val="Heading2"/>
      </w:pPr>
      <w:r>
        <w:t>A.1 核心人口、家庭與住宅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整合變數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2002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2006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2010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2014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2017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2021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AGE_GROUP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AGE_GROUP_HARMONIZED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AGE_MEASURE_TYPE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EDU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HAS_INDI_55PLUS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HAS_INDI_65PLUS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HOUSE_BELONG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MALE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N_FAMILY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N_INDI_16_54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N_INDI_55PLUS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N_INDI_55_64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N_INDI_65PLUS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N_INDI_7_15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N_INDI_UNDER6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RACE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RENT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RESPONDENT_UNIT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RESPONDENT_UNIT_SOURCE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可用項目數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12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20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20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20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20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20</w:t>
            </w:r>
          </w:p>
        </w:tc>
      </w:tr>
    </w:tbl>
    <w:p>
      <w:pPr>
        <w:spacing w:after="20"/>
      </w:pPr>
    </w:p>
    <w:p>
      <w:pPr>
        <w:pStyle w:val="Heading2"/>
      </w:pPr>
      <w:r>
        <w:t>A.2 所得變數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整合變數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2002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2006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2010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2014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2017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2021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INC_FAM_GOV_INCOME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INC_FAM_INTEREST_INCOME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INC_FAM_OTHER_INCOME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INC_FAM_RENT_INCOME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INC_FAM_TOTAL_DERIVED_COMPLETE_INCOME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INC_FAM_TOTAL_DERIVED_INCOME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INC_FAM_TOTAL_INCOME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INC_FAM_TOTAL_REPORTED_INCOME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INC_FAM_TRANSFER_INCOME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INC_FAM_WORK_INCOME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INC_PERS_GOV_INCOME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INC_PERS_INTEREST_INCOME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INC_PERS_OTHER_INCOME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INC_PERS_RENT_INCOME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INC_PERS_TRANSFER_INCOME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INC_PERS_WORK_INCOME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可用項目數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7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12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11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14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14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14</w:t>
            </w:r>
          </w:p>
        </w:tc>
      </w:tr>
    </w:tbl>
    <w:p>
      <w:pPr>
        <w:spacing w:after="20"/>
      </w:pPr>
    </w:p>
    <w:p>
      <w:pPr>
        <w:pStyle w:val="Heading2"/>
      </w:pPr>
      <w:r>
        <w:t>A.3 支出變數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整合變數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2002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2006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2010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2014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2017</w:t>
            </w:r>
          </w:p>
        </w:tc>
        <w:tc>
          <w:tcPr>
            <w:tcW w:type="dxa" w:w="960"/>
            <w:tcMar>
              <w:top w:w="90" w:type="dxa"/>
              <w:start w:w="110" w:type="dxa"/>
              <w:bottom w:w="90" w:type="dxa"/>
              <w:end w:w="110" w:type="dxa"/>
            </w:tcMar>
            <w:shd w:fill="24557A"/>
            <w:vAlign w:val="center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2021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EXP_ALCOHOL_EXPENDITURE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EXP_BOOKS_EXPENDITURE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EXP_CARE_EXPENDITURE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EXP_CLEANING_EXPENDITURE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EXP_CLOTHING_EXPENDITURE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EXP_DINING_LODGING_EXPENDITURE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EXP_EDU_BOOKS_COMBINED_EXPENDITURE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EXP_EDU_TUITION_EXPENDITURE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EXP_FOOD_EXPENDITURE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EXP_FURNITURE_EXPENDITURE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EXP_HOUSING_UTIL_EXPENDITURE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EXP_LOAN_INTEREST_EXPENDITURE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EXP_MEDICAL_EXPENDITURE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EXP_OTHER_EXPENDITURE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EXP_TAX_INS_GIFT_EXPENDITURE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EXP_TOTAL_DERIVED_COMPLETE_EXPENDITURE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EXP_TOTAL_DERIVED_EXPENDITURE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△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EXP_TOTAL_REPORTED_EXPENDITURE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EXP_TRANSPORT_COMM_EXPENDITURE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EXP_TRAVEL_EXPENDITURE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  <w:tc>
          <w:tcPr>
            <w:tcW w:type="dxa" w:w="9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color w:val="20272C"/>
                <w:sz w:val="15"/>
              </w:rPr>
              <w:t>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left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可用項目數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9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16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16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18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18</w:t>
            </w:r>
          </w:p>
        </w:tc>
        <w:tc>
          <w:tcPr>
            <w:tcW w:type="dxa" w:w="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6"/>
          </w:tcPr>
          <w:p>
            <w:pPr>
              <w:spacing w:before="0" w:after="30" w:line="259" w:lineRule="auto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17324D"/>
                <w:sz w:val="15"/>
              </w:rPr>
              <w:t>18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rFonts w:ascii="Noto Sans TC" w:hAnsi="Noto Sans TC" w:eastAsia="Noto Sans TC"/>
          <w:b w:val="0"/>
          <w:i/>
          <w:color w:val="66737D"/>
          <w:sz w:val="16"/>
        </w:rPr>
        <w:t>資料來源：coverage_summary.csv；品質限制符號依本提案第三節瑕疵清單設定。</w:t>
      </w:r>
    </w:p>
    <w:p>
      <w:pPr>
        <w:pStyle w:val="Heading1"/>
      </w:pPr>
      <w:r>
        <w:t>附錄 B　資料來源與解讀限制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最新統計與檢查：/Users/y.k.chiang/Downloads/20260805/review_bundle_20260805/。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問卷選項與 crosswalk：data/processed_data/02_metadata/question_options/、data/processed_data/03_crosswalks/。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正式處理程式：code/00-00-run-remote-pipeline.R 至 code/05-99-validate-offline-pipeline.R。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文健站名冊與 panel：data/raw_data/114年文健站營運單位清冊.csv、data/processed_data/05_reference/care_station_town_year_panel_long.csv。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離線整併程式：code/03-05-build-care-station-town-year-panel.R、code/04-02-merge-care-station-exposure.R。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本提案的平均值為未加權聚合結果；各波權數定義尚未完成跨年盤點。</w:t>
      </w:r>
    </w:p>
    <w:p>
      <w:pPr>
        <w:pStyle w:val="ListBullet"/>
        <w:spacing w:after="60" w:line="276" w:lineRule="auto"/>
      </w:pPr>
      <w:r>
        <w:rPr>
          <w:rFonts w:ascii="Noto Sans TC" w:hAnsi="Noto Sans TC" w:eastAsia="Noto Sans TC"/>
          <w:b w:val="0"/>
          <w:i w:val="0"/>
          <w:color w:val="20272C"/>
          <w:sz w:val="20"/>
        </w:rPr>
        <w:t>目前工作區的 cross_year_combined_data.rds 是本機 2021 單波版本；正式分析須改用離線 2026-08-05 六波重跑後的個體層檔案。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i w:val="0"/>
        <w:color w:val="66737D"/>
        <w:sz w:val="16"/>
      </w:rPr>
      <w:t xml:space="preserve">第 </w:t>
    </w:r>
    <w:fldSimple w:instr="PAGE"/>
    <w:r>
      <w:rPr>
        <w:rFonts w:ascii="Noto Sans TC" w:hAnsi="Noto Sans TC" w:eastAsia="Noto Sans TC"/>
        <w:b w:val="0"/>
        <w:i w:val="0"/>
        <w:color w:val="66737D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TC" w:hAnsi="Noto Sans TC" w:eastAsia="Noto Sans TC"/>
        <w:b w:val="0"/>
        <w:i w:val="0"/>
        <w:color w:val="58758C"/>
        <w:sz w:val="16"/>
      </w:rPr>
      <w:t>原住民族經濟狀況調查｜文健站政策研究資料整理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TC" w:hAnsi="Noto Sans TC" w:eastAsia="Noto Sans TC"/>
      <w:color w:val="2027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455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455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C" w:hAnsi="Noto Sans TC" w:eastAsia="Noto Sans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C" w:hAnsi="Noto Sans TC" w:eastAsia="Noto Sans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階段研究資料整理提案</dc:title>
  <dc:subject>原住民族經濟狀況調查與文健站政策分析資料準備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