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1"/>
        <w:gridCol w:w="8669"/>
      </w:tblGrid>
      <w:tr w:rsidR="007C7E6A" w14:paraId="3D9C23B2" w14:textId="77777777" w:rsidTr="00A472DC">
        <w:trPr>
          <w:trHeight w:val="425"/>
        </w:trPr>
        <w:tc>
          <w:tcPr>
            <w:tcW w:w="983" w:type="pct"/>
            <w:shd w:val="clear" w:color="auto" w:fill="F2F2F2" w:themeFill="background1" w:themeFillShade="F2"/>
            <w:vAlign w:val="center"/>
          </w:tcPr>
          <w:p w14:paraId="7DAFE742" w14:textId="77777777" w:rsidR="007C7E6A" w:rsidRDefault="007C7E6A">
            <w:r>
              <w:t>Last updated</w:t>
            </w:r>
          </w:p>
        </w:tc>
        <w:tc>
          <w:tcPr>
            <w:tcW w:w="4017" w:type="pct"/>
            <w:shd w:val="clear" w:color="auto" w:fill="F2F2F2" w:themeFill="background1" w:themeFillShade="F2"/>
            <w:vAlign w:val="center"/>
          </w:tcPr>
          <w:p w14:paraId="6047CD4E" w14:textId="2A2560A2" w:rsidR="007C7E6A" w:rsidRDefault="005B4871">
            <w:r>
              <w:t>24/02/2023</w:t>
            </w:r>
          </w:p>
        </w:tc>
      </w:tr>
      <w:tr w:rsidR="007C7E6A" w14:paraId="3E2B6B7B" w14:textId="77777777" w:rsidTr="00A472DC">
        <w:trPr>
          <w:trHeight w:val="425"/>
        </w:trPr>
        <w:tc>
          <w:tcPr>
            <w:tcW w:w="983" w:type="pct"/>
            <w:shd w:val="clear" w:color="auto" w:fill="F2F2F2" w:themeFill="background1" w:themeFillShade="F2"/>
            <w:vAlign w:val="center"/>
          </w:tcPr>
          <w:p w14:paraId="2A122EE5" w14:textId="77777777" w:rsidR="007C7E6A" w:rsidRDefault="007C7E6A">
            <w:r>
              <w:t>Author</w:t>
            </w:r>
          </w:p>
        </w:tc>
        <w:tc>
          <w:tcPr>
            <w:tcW w:w="4017" w:type="pct"/>
            <w:shd w:val="clear" w:color="auto" w:fill="F2F2F2" w:themeFill="background1" w:themeFillShade="F2"/>
            <w:vAlign w:val="center"/>
          </w:tcPr>
          <w:p w14:paraId="169DC8C2" w14:textId="025F067F" w:rsidR="007C7E6A" w:rsidRDefault="007C7E6A">
            <w:r>
              <w:t>Adrian Poole</w:t>
            </w:r>
            <w:r w:rsidR="00697137">
              <w:t xml:space="preserve"> | Team Leader – Product Developer</w:t>
            </w:r>
          </w:p>
        </w:tc>
      </w:tr>
      <w:tr w:rsidR="007C7E6A" w14:paraId="1E32AAAD" w14:textId="77777777" w:rsidTr="00A472DC">
        <w:trPr>
          <w:trHeight w:val="425"/>
        </w:trPr>
        <w:tc>
          <w:tcPr>
            <w:tcW w:w="983" w:type="pct"/>
            <w:shd w:val="clear" w:color="auto" w:fill="F2F2F2" w:themeFill="background1" w:themeFillShade="F2"/>
            <w:vAlign w:val="center"/>
          </w:tcPr>
          <w:p w14:paraId="22C71F95" w14:textId="77777777" w:rsidR="007C7E6A" w:rsidRDefault="007C7E6A">
            <w:r>
              <w:t>Description</w:t>
            </w:r>
          </w:p>
        </w:tc>
        <w:tc>
          <w:tcPr>
            <w:tcW w:w="4017" w:type="pct"/>
            <w:shd w:val="clear" w:color="auto" w:fill="F2F2F2" w:themeFill="background1" w:themeFillShade="F2"/>
            <w:vAlign w:val="center"/>
          </w:tcPr>
          <w:p w14:paraId="4C135F0F" w14:textId="16869CC3" w:rsidR="007C7E6A" w:rsidRDefault="00C2497D">
            <w:r>
              <w:t xml:space="preserve">Documentation on </w:t>
            </w:r>
            <w:r w:rsidR="00EA2A4D">
              <w:t xml:space="preserve">the </w:t>
            </w:r>
            <w:r w:rsidR="00451A27">
              <w:t>configuration of Councillor casework workflow</w:t>
            </w:r>
          </w:p>
        </w:tc>
      </w:tr>
    </w:tbl>
    <w:p w14:paraId="025122C7" w14:textId="77777777" w:rsidR="007C7E6A" w:rsidRPr="00714ECA" w:rsidRDefault="007C7E6A" w:rsidP="00714ECA"/>
    <w:p w14:paraId="4798F876" w14:textId="738477FB" w:rsidR="00322A66" w:rsidRPr="00322A66" w:rsidRDefault="004159CB" w:rsidP="00322A66">
      <w:pPr>
        <w:pStyle w:val="Title"/>
      </w:pPr>
      <w:r>
        <w:t>Councillor casework</w:t>
      </w:r>
      <w:r>
        <w:br/>
      </w:r>
      <w:r w:rsidR="00451A27">
        <w:t>Workflow configuration</w:t>
      </w:r>
    </w:p>
    <w:p w14:paraId="32394D4E" w14:textId="7F4F6983" w:rsidR="00DB793F" w:rsidRDefault="00322A66" w:rsidP="003A49F4">
      <w:r>
        <w:t>Use this guide</w:t>
      </w:r>
      <w:r w:rsidR="00451A27">
        <w:t xml:space="preserve"> to learn more about how to </w:t>
      </w:r>
      <w:r w:rsidR="00464981">
        <w:t>configure the Councillor casework workflow on GovService.</w:t>
      </w:r>
    </w:p>
    <w:p w14:paraId="157BC742" w14:textId="77777777" w:rsidR="00DE1DD3" w:rsidRPr="007C7E6A" w:rsidRDefault="00DE1DD3" w:rsidP="003A49F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08208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48CED9" w14:textId="0D0AF79A" w:rsidR="00B82A82" w:rsidRDefault="00697137">
          <w:pPr>
            <w:pStyle w:val="TOCHeading"/>
          </w:pPr>
          <w:r>
            <w:t>In this document</w:t>
          </w:r>
        </w:p>
        <w:p w14:paraId="71C332A5" w14:textId="65DB8CBE" w:rsidR="00331260" w:rsidRDefault="00B82A8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89147" w:history="1">
            <w:r w:rsidR="00331260" w:rsidRPr="00664EEB">
              <w:rPr>
                <w:rStyle w:val="Hyperlink"/>
                <w:noProof/>
              </w:rPr>
              <w:t>Permissions</w:t>
            </w:r>
            <w:r w:rsidR="00331260">
              <w:rPr>
                <w:noProof/>
                <w:webHidden/>
              </w:rPr>
              <w:tab/>
            </w:r>
            <w:r w:rsidR="00331260">
              <w:rPr>
                <w:noProof/>
                <w:webHidden/>
              </w:rPr>
              <w:fldChar w:fldCharType="begin"/>
            </w:r>
            <w:r w:rsidR="00331260">
              <w:rPr>
                <w:noProof/>
                <w:webHidden/>
              </w:rPr>
              <w:instrText xml:space="preserve"> PAGEREF _Toc128389147 \h </w:instrText>
            </w:r>
            <w:r w:rsidR="00331260">
              <w:rPr>
                <w:noProof/>
                <w:webHidden/>
              </w:rPr>
            </w:r>
            <w:r w:rsidR="00331260">
              <w:rPr>
                <w:noProof/>
                <w:webHidden/>
              </w:rPr>
              <w:fldChar w:fldCharType="separate"/>
            </w:r>
            <w:r w:rsidR="007C0573">
              <w:rPr>
                <w:noProof/>
                <w:webHidden/>
              </w:rPr>
              <w:t>2</w:t>
            </w:r>
            <w:r w:rsidR="00331260">
              <w:rPr>
                <w:noProof/>
                <w:webHidden/>
              </w:rPr>
              <w:fldChar w:fldCharType="end"/>
            </w:r>
          </w:hyperlink>
        </w:p>
        <w:p w14:paraId="687AC8F1" w14:textId="21D70667" w:rsidR="00331260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128389148" w:history="1">
            <w:r w:rsidR="00331260" w:rsidRPr="00664EEB">
              <w:rPr>
                <w:rStyle w:val="Hyperlink"/>
                <w:noProof/>
              </w:rPr>
              <w:t>Integrations</w:t>
            </w:r>
            <w:r w:rsidR="00331260">
              <w:rPr>
                <w:noProof/>
                <w:webHidden/>
              </w:rPr>
              <w:tab/>
            </w:r>
            <w:r w:rsidR="00331260">
              <w:rPr>
                <w:noProof/>
                <w:webHidden/>
              </w:rPr>
              <w:fldChar w:fldCharType="begin"/>
            </w:r>
            <w:r w:rsidR="00331260">
              <w:rPr>
                <w:noProof/>
                <w:webHidden/>
              </w:rPr>
              <w:instrText xml:space="preserve"> PAGEREF _Toc128389148 \h </w:instrText>
            </w:r>
            <w:r w:rsidR="00331260">
              <w:rPr>
                <w:noProof/>
                <w:webHidden/>
              </w:rPr>
            </w:r>
            <w:r w:rsidR="00331260">
              <w:rPr>
                <w:noProof/>
                <w:webHidden/>
              </w:rPr>
              <w:fldChar w:fldCharType="separate"/>
            </w:r>
            <w:r w:rsidR="007C0573">
              <w:rPr>
                <w:noProof/>
                <w:webHidden/>
              </w:rPr>
              <w:t>3</w:t>
            </w:r>
            <w:r w:rsidR="00331260">
              <w:rPr>
                <w:noProof/>
                <w:webHidden/>
              </w:rPr>
              <w:fldChar w:fldCharType="end"/>
            </w:r>
          </w:hyperlink>
        </w:p>
        <w:p w14:paraId="497BC00F" w14:textId="712D3F64" w:rsidR="00331260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GB"/>
            </w:rPr>
          </w:pPr>
          <w:hyperlink w:anchor="_Toc128389149" w:history="1">
            <w:r w:rsidR="00331260" w:rsidRPr="00664EEB">
              <w:rPr>
                <w:rStyle w:val="Hyperlink"/>
                <w:noProof/>
              </w:rPr>
              <w:t>Workflow</w:t>
            </w:r>
            <w:r w:rsidR="00331260">
              <w:rPr>
                <w:noProof/>
                <w:webHidden/>
              </w:rPr>
              <w:tab/>
            </w:r>
            <w:r w:rsidR="00331260">
              <w:rPr>
                <w:noProof/>
                <w:webHidden/>
              </w:rPr>
              <w:fldChar w:fldCharType="begin"/>
            </w:r>
            <w:r w:rsidR="00331260">
              <w:rPr>
                <w:noProof/>
                <w:webHidden/>
              </w:rPr>
              <w:instrText xml:space="preserve"> PAGEREF _Toc128389149 \h </w:instrText>
            </w:r>
            <w:r w:rsidR="00331260">
              <w:rPr>
                <w:noProof/>
                <w:webHidden/>
              </w:rPr>
            </w:r>
            <w:r w:rsidR="00331260">
              <w:rPr>
                <w:noProof/>
                <w:webHidden/>
              </w:rPr>
              <w:fldChar w:fldCharType="separate"/>
            </w:r>
            <w:r w:rsidR="007C0573">
              <w:rPr>
                <w:noProof/>
                <w:webHidden/>
              </w:rPr>
              <w:t>3</w:t>
            </w:r>
            <w:r w:rsidR="00331260">
              <w:rPr>
                <w:noProof/>
                <w:webHidden/>
              </w:rPr>
              <w:fldChar w:fldCharType="end"/>
            </w:r>
          </w:hyperlink>
        </w:p>
        <w:p w14:paraId="23D4DF5B" w14:textId="2B83D89E" w:rsidR="006C3BB2" w:rsidRDefault="00B82A82">
          <w:r>
            <w:rPr>
              <w:b/>
              <w:bCs/>
              <w:noProof/>
            </w:rPr>
            <w:fldChar w:fldCharType="end"/>
          </w:r>
        </w:p>
      </w:sdtContent>
    </w:sdt>
    <w:p w14:paraId="0BC830A1" w14:textId="394B9661" w:rsidR="00E260F9" w:rsidRDefault="00E260F9">
      <w:r>
        <w:br w:type="page"/>
      </w:r>
    </w:p>
    <w:p w14:paraId="38DEA189" w14:textId="6D5F878E" w:rsidR="00464981" w:rsidRDefault="00281F36" w:rsidP="00FF1D92">
      <w:pPr>
        <w:pStyle w:val="Heading1"/>
      </w:pPr>
      <w:bookmarkStart w:id="0" w:name="_Toc128389147"/>
      <w:r>
        <w:lastRenderedPageBreak/>
        <w:t>Permissions</w:t>
      </w:r>
      <w:bookmarkEnd w:id="0"/>
    </w:p>
    <w:p w14:paraId="04E04B13" w14:textId="22DF5203" w:rsidR="00281F36" w:rsidRDefault="00281F36" w:rsidP="00281F36">
      <w:r>
        <w:t xml:space="preserve">You do not have the ability to export </w:t>
      </w:r>
      <w:r w:rsidR="00A80D1E">
        <w:t>permissions or permission groups from the GovService platform like you can workflows and integrations, so you will need to set this up</w:t>
      </w:r>
      <w:r w:rsidR="00286316">
        <w:t xml:space="preserve"> manually.</w:t>
      </w:r>
    </w:p>
    <w:p w14:paraId="06E5A43B" w14:textId="5C69DFBB" w:rsidR="00286316" w:rsidRDefault="00286316" w:rsidP="00281F36">
      <w:r>
        <w:t xml:space="preserve">Following best practices, </w:t>
      </w:r>
      <w:r w:rsidR="000F0301">
        <w:t>the below diagram s</w:t>
      </w:r>
      <w:r>
        <w:t>how</w:t>
      </w:r>
      <w:r w:rsidR="000F0301">
        <w:t>s how the</w:t>
      </w:r>
      <w:r>
        <w:t xml:space="preserve"> permission groups should be setup in the </w:t>
      </w:r>
      <w:r w:rsidRPr="00286316">
        <w:rPr>
          <w:b/>
          <w:bCs/>
        </w:rPr>
        <w:t>Permissions Manager</w:t>
      </w:r>
      <w:r>
        <w:t>.</w:t>
      </w:r>
    </w:p>
    <w:p w14:paraId="01B699E9" w14:textId="1BB0A9F0" w:rsidR="00CD1F8F" w:rsidRDefault="00AB778A" w:rsidP="000F0301">
      <w:pPr>
        <w:jc w:val="center"/>
      </w:pPr>
      <w:r w:rsidRPr="00AB778A">
        <w:rPr>
          <w:noProof/>
        </w:rPr>
        <w:drawing>
          <wp:inline distT="0" distB="0" distL="0" distR="0" wp14:anchorId="63741B5A" wp14:editId="1EDA8349">
            <wp:extent cx="5735896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727" cy="58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00FB" w14:textId="1732D3AD" w:rsidR="00CD1F8F" w:rsidRDefault="007F48BC" w:rsidP="00281F36">
      <w:r>
        <w:t xml:space="preserve">Where you see </w:t>
      </w:r>
      <w:r w:rsidRPr="00CD1F10">
        <w:rPr>
          <w:b/>
          <w:bCs/>
        </w:rPr>
        <w:t>(groups)</w:t>
      </w:r>
      <w:r>
        <w:t xml:space="preserve">, this </w:t>
      </w:r>
      <w:r w:rsidR="00AC256C">
        <w:t xml:space="preserve">permission should not contain any users directly and is purely for </w:t>
      </w:r>
      <w:r w:rsidR="00056969">
        <w:t>providing structure to the permissions.</w:t>
      </w:r>
    </w:p>
    <w:p w14:paraId="13EF40CF" w14:textId="350FEC40" w:rsidR="00056969" w:rsidRDefault="00056969" w:rsidP="00281F36">
      <w:r>
        <w:t xml:space="preserve">When building the CaseViewer </w:t>
      </w:r>
      <w:r w:rsidR="003A250F">
        <w:t xml:space="preserve">views for officers to use, you may wish to set the view against the top </w:t>
      </w:r>
      <w:r w:rsidR="003A250F" w:rsidRPr="000C5FF8">
        <w:rPr>
          <w:b/>
          <w:bCs/>
        </w:rPr>
        <w:t>Councillor casework (group)</w:t>
      </w:r>
      <w:r w:rsidR="003A250F">
        <w:t xml:space="preserve"> </w:t>
      </w:r>
      <w:r w:rsidR="000C5FF8">
        <w:t xml:space="preserve">parent </w:t>
      </w:r>
      <w:r w:rsidR="003A250F">
        <w:t xml:space="preserve">permission group, as this will enable to view </w:t>
      </w:r>
      <w:r w:rsidR="000C5FF8">
        <w:t xml:space="preserve">on CaseViewer for users </w:t>
      </w:r>
      <w:r w:rsidR="00F30BF4">
        <w:t>that belong to</w:t>
      </w:r>
      <w:r w:rsidR="000C5FF8">
        <w:t xml:space="preserve"> any of the child groups.</w:t>
      </w:r>
    </w:p>
    <w:p w14:paraId="5C7C048D" w14:textId="54C92E13" w:rsidR="00CD1F8F" w:rsidRPr="00281F36" w:rsidRDefault="00D4223B" w:rsidP="00281F36">
      <w:r>
        <w:t xml:space="preserve">There is an additional permission group called </w:t>
      </w:r>
      <w:r w:rsidRPr="00D4223B">
        <w:rPr>
          <w:b/>
          <w:bCs/>
        </w:rPr>
        <w:t>Councillors</w:t>
      </w:r>
      <w:r>
        <w:t xml:space="preserve"> that is assigned to Councillor accounts. This may have already been setup as part of implementation.</w:t>
      </w:r>
      <w:r w:rsidR="00E96400">
        <w:t xml:space="preserve"> This is kept outside and separate from the above </w:t>
      </w:r>
      <w:r w:rsidR="00E96400" w:rsidRPr="00E96400">
        <w:rPr>
          <w:b/>
          <w:bCs/>
        </w:rPr>
        <w:t>Councillor casework (group)</w:t>
      </w:r>
      <w:r w:rsidR="00E96400">
        <w:t>.</w:t>
      </w:r>
    </w:p>
    <w:p w14:paraId="475F5FDA" w14:textId="7AB9EEE6" w:rsidR="0045030B" w:rsidRDefault="00E769D1" w:rsidP="00D4223B">
      <w:pPr>
        <w:pStyle w:val="Heading1"/>
      </w:pPr>
      <w:bookmarkStart w:id="1" w:name="_Toc128389148"/>
      <w:r>
        <w:lastRenderedPageBreak/>
        <w:t>Integrations</w:t>
      </w:r>
      <w:bookmarkEnd w:id="1"/>
    </w:p>
    <w:p w14:paraId="4A0EE54A" w14:textId="73A15D65" w:rsidR="00D4223B" w:rsidRDefault="00D4223B" w:rsidP="00D4223B">
      <w:r>
        <w:t xml:space="preserve">Prior to </w:t>
      </w:r>
      <w:r w:rsidR="00E96400">
        <w:t xml:space="preserve">importing the workflow </w:t>
      </w:r>
      <w:r w:rsidR="00C47E93">
        <w:t xml:space="preserve">JSON </w:t>
      </w:r>
      <w:r w:rsidR="00E96400">
        <w:t xml:space="preserve">file, you </w:t>
      </w:r>
      <w:r w:rsidR="00E96400" w:rsidRPr="000E1281">
        <w:rPr>
          <w:b/>
          <w:bCs/>
        </w:rPr>
        <w:t>must</w:t>
      </w:r>
      <w:r w:rsidR="00E96400">
        <w:t xml:space="preserve"> first </w:t>
      </w:r>
      <w:r w:rsidR="00F23580">
        <w:t>import the</w:t>
      </w:r>
      <w:r w:rsidR="000E5692">
        <w:t xml:space="preserve"> integrations associated with the workflow</w:t>
      </w:r>
      <w:r w:rsidR="006E5294">
        <w:t xml:space="preserve"> through the </w:t>
      </w:r>
      <w:r w:rsidR="006E5294" w:rsidRPr="006E5294">
        <w:rPr>
          <w:b/>
          <w:bCs/>
        </w:rPr>
        <w:t>Integrations Manager</w:t>
      </w:r>
      <w:r w:rsidR="006E5294">
        <w:t>.</w:t>
      </w:r>
    </w:p>
    <w:p w14:paraId="5FBDAC88" w14:textId="25C63C32" w:rsidR="00822E89" w:rsidRDefault="00822E89" w:rsidP="00D4223B">
      <w:r>
        <w:t xml:space="preserve">After the import, you will need to go through each of them to update branding and wording, and </w:t>
      </w:r>
      <w:r w:rsidR="006E5294">
        <w:t>update LIM and systems set in the integrations (which will likely be blank after the import).</w:t>
      </w:r>
    </w:p>
    <w:tbl>
      <w:tblPr>
        <w:tblStyle w:val="TableGrid"/>
        <w:tblW w:w="0" w:type="auto"/>
        <w:tblBorders>
          <w:top w:val="single" w:sz="48" w:space="0" w:color="F2F2F2" w:themeColor="background1" w:themeShade="F2"/>
          <w:left w:val="single" w:sz="48" w:space="0" w:color="F2F2F2" w:themeColor="background1" w:themeShade="F2"/>
          <w:bottom w:val="single" w:sz="48" w:space="0" w:color="F2F2F2" w:themeColor="background1" w:themeShade="F2"/>
          <w:right w:val="single" w:sz="48" w:space="0" w:color="F2F2F2" w:themeColor="background1" w:themeShade="F2"/>
          <w:insideH w:val="single" w:sz="48" w:space="0" w:color="F2F2F2" w:themeColor="background1" w:themeShade="F2"/>
          <w:insideV w:val="single" w:sz="48" w:space="0" w:color="F2F2F2" w:themeColor="background1" w:themeShade="F2"/>
        </w:tblBorders>
        <w:shd w:val="clear" w:color="auto" w:fill="F2F2F2" w:themeFill="background1" w:themeFillShade="F2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680"/>
      </w:tblGrid>
      <w:tr w:rsidR="007F6443" w14:paraId="22F88275" w14:textId="77777777" w:rsidTr="00C453EC">
        <w:tc>
          <w:tcPr>
            <w:tcW w:w="10790" w:type="dxa"/>
            <w:shd w:val="clear" w:color="auto" w:fill="F2F2F2" w:themeFill="background1" w:themeFillShade="F2"/>
          </w:tcPr>
          <w:p w14:paraId="2D153E01" w14:textId="50824F1E" w:rsidR="007F6443" w:rsidRDefault="007F6443" w:rsidP="00C453EC">
            <w:bookmarkStart w:id="2" w:name="_Hlk128148091"/>
            <w:r>
              <w:t xml:space="preserve">The import should automatically categorise the integrations under </w:t>
            </w:r>
            <w:r w:rsidRPr="006E5294">
              <w:rPr>
                <w:b/>
                <w:bCs/>
              </w:rPr>
              <w:t>Councillor casework</w:t>
            </w:r>
            <w:r>
              <w:t xml:space="preserve"> </w:t>
            </w:r>
            <w:r w:rsidRPr="006E5294">
              <w:t>in the Integrations Manager.</w:t>
            </w:r>
          </w:p>
        </w:tc>
      </w:tr>
      <w:bookmarkEnd w:id="2"/>
    </w:tbl>
    <w:p w14:paraId="70D7CF42" w14:textId="10FD14FA" w:rsidR="00822E89" w:rsidRDefault="00822E89" w:rsidP="00D4223B"/>
    <w:p w14:paraId="40D175BC" w14:textId="1EEE35BE" w:rsidR="00C47E93" w:rsidRDefault="00C47E93" w:rsidP="00C47E93">
      <w:pPr>
        <w:pStyle w:val="Heading1"/>
      </w:pPr>
      <w:bookmarkStart w:id="3" w:name="_Toc128389149"/>
      <w:r>
        <w:t>Workflow</w:t>
      </w:r>
      <w:bookmarkEnd w:id="3"/>
    </w:p>
    <w:p w14:paraId="33908D6B" w14:textId="3214E145" w:rsidR="00C47E93" w:rsidRDefault="00C47E93" w:rsidP="00D4223B">
      <w:r>
        <w:t>Once you have completed your Permissions setup and Integrations import, you can now import the workflow JSON file.</w:t>
      </w:r>
      <w:r w:rsidR="00A01A3E">
        <w:t xml:space="preserve"> Provided you have completed the earlier steps, the imported workflow will have the integrations already attached to the relevant stages and </w:t>
      </w:r>
      <w:r w:rsidR="00680B41">
        <w:t>setup with the relevant conditions.</w:t>
      </w:r>
    </w:p>
    <w:p w14:paraId="2A607B7F" w14:textId="1F959A73" w:rsidR="00BC6C58" w:rsidRDefault="00680B41" w:rsidP="00D4223B">
      <w:r>
        <w:t xml:space="preserve">You can then add the relevant permission groups </w:t>
      </w:r>
      <w:r w:rsidR="00BC6C58">
        <w:t>to the workflow. For example</w:t>
      </w:r>
      <w:r w:rsidR="008B3220">
        <w:t>, setting</w:t>
      </w:r>
      <w:r w:rsidR="00BC6C58">
        <w:t>:</w:t>
      </w:r>
    </w:p>
    <w:p w14:paraId="65F2E537" w14:textId="2D050960" w:rsidR="00BC6C58" w:rsidRDefault="008B3220" w:rsidP="008C0305">
      <w:pPr>
        <w:pStyle w:val="ListParagraph"/>
        <w:numPr>
          <w:ilvl w:val="0"/>
          <w:numId w:val="4"/>
        </w:numPr>
      </w:pPr>
      <w:r>
        <w:t>the</w:t>
      </w:r>
      <w:r w:rsidR="008C0305">
        <w:t xml:space="preserve"> workflow’s</w:t>
      </w:r>
      <w:r>
        <w:t xml:space="preserve"> </w:t>
      </w:r>
      <w:r w:rsidR="00BC6C58">
        <w:t xml:space="preserve">View data group to </w:t>
      </w:r>
      <w:r w:rsidR="00BC6C58" w:rsidRPr="008C0305">
        <w:rPr>
          <w:b/>
          <w:bCs/>
        </w:rPr>
        <w:t>Councillor casework – View data</w:t>
      </w:r>
      <w:r w:rsidR="002467E6">
        <w:t xml:space="preserve"> permission group</w:t>
      </w:r>
    </w:p>
    <w:p w14:paraId="1F4F8305" w14:textId="31B8B6D7" w:rsidR="008B3220" w:rsidRDefault="002467E6" w:rsidP="008C0305">
      <w:pPr>
        <w:pStyle w:val="ListParagraph"/>
        <w:numPr>
          <w:ilvl w:val="0"/>
          <w:numId w:val="4"/>
        </w:numPr>
      </w:pPr>
      <w:r>
        <w:t xml:space="preserve">the static assigned group for the Triage stage to the </w:t>
      </w:r>
      <w:r w:rsidRPr="008C0305">
        <w:rPr>
          <w:b/>
          <w:bCs/>
        </w:rPr>
        <w:t>Councillor casework – Triage</w:t>
      </w:r>
      <w:r>
        <w:t xml:space="preserve"> permission group</w:t>
      </w:r>
    </w:p>
    <w:p w14:paraId="164B18F2" w14:textId="059C4D76" w:rsidR="002467E6" w:rsidRDefault="008C0305" w:rsidP="008C0305">
      <w:pPr>
        <w:pStyle w:val="ListParagraph"/>
        <w:numPr>
          <w:ilvl w:val="0"/>
          <w:numId w:val="4"/>
        </w:numPr>
      </w:pPr>
      <w:r>
        <w:t>the hidden form logic that controls assignment based on permission USERGROUP IDs to match the ones you’ve created</w:t>
      </w:r>
    </w:p>
    <w:tbl>
      <w:tblPr>
        <w:tblStyle w:val="TableGrid"/>
        <w:tblW w:w="0" w:type="auto"/>
        <w:tblBorders>
          <w:top w:val="single" w:sz="48" w:space="0" w:color="F2F2F2" w:themeColor="background1" w:themeShade="F2"/>
          <w:left w:val="single" w:sz="48" w:space="0" w:color="F2F2F2" w:themeColor="background1" w:themeShade="F2"/>
          <w:bottom w:val="single" w:sz="48" w:space="0" w:color="F2F2F2" w:themeColor="background1" w:themeShade="F2"/>
          <w:right w:val="single" w:sz="48" w:space="0" w:color="F2F2F2" w:themeColor="background1" w:themeShade="F2"/>
          <w:insideH w:val="single" w:sz="48" w:space="0" w:color="F2F2F2" w:themeColor="background1" w:themeShade="F2"/>
          <w:insideV w:val="single" w:sz="48" w:space="0" w:color="F2F2F2" w:themeColor="background1" w:themeShade="F2"/>
        </w:tblBorders>
        <w:shd w:val="clear" w:color="auto" w:fill="F2F2F2" w:themeFill="background1" w:themeFillShade="F2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680"/>
      </w:tblGrid>
      <w:tr w:rsidR="000C3191" w14:paraId="6E998B26" w14:textId="77777777" w:rsidTr="00C453EC">
        <w:tc>
          <w:tcPr>
            <w:tcW w:w="10790" w:type="dxa"/>
            <w:shd w:val="clear" w:color="auto" w:fill="F2F2F2" w:themeFill="background1" w:themeFillShade="F2"/>
          </w:tcPr>
          <w:p w14:paraId="37E88741" w14:textId="4534C39E" w:rsidR="000C3191" w:rsidRDefault="000C3191" w:rsidP="000C3191">
            <w:r w:rsidRPr="000C3191">
              <w:t xml:space="preserve">Depending on the services that your Council provides, you </w:t>
            </w:r>
            <w:r w:rsidR="00331260">
              <w:t xml:space="preserve">will </w:t>
            </w:r>
            <w:r w:rsidRPr="000C3191">
              <w:t xml:space="preserve">need to update the form categories and service types that the Councillor can select within their initial </w:t>
            </w:r>
            <w:r w:rsidRPr="000C3191">
              <w:rPr>
                <w:b/>
                <w:bCs/>
              </w:rPr>
              <w:t>Crease casework</w:t>
            </w:r>
            <w:r w:rsidRPr="000C3191">
              <w:t xml:space="preserve"> form, and any associated logic for this.</w:t>
            </w:r>
          </w:p>
        </w:tc>
      </w:tr>
    </w:tbl>
    <w:p w14:paraId="585448C2" w14:textId="3257C5D5" w:rsidR="008C0305" w:rsidRPr="00E904C5" w:rsidRDefault="008C0305" w:rsidP="00E904C5"/>
    <w:sectPr w:rsidR="008C0305" w:rsidRPr="00E904C5" w:rsidSect="0064170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5D17" w14:textId="77777777" w:rsidR="00250EF2" w:rsidRDefault="00250EF2" w:rsidP="009703BA">
      <w:pPr>
        <w:spacing w:after="0" w:line="240" w:lineRule="auto"/>
      </w:pPr>
      <w:r>
        <w:separator/>
      </w:r>
    </w:p>
  </w:endnote>
  <w:endnote w:type="continuationSeparator" w:id="0">
    <w:p w14:paraId="7E3DA1FA" w14:textId="77777777" w:rsidR="00250EF2" w:rsidRDefault="00250EF2" w:rsidP="009703BA">
      <w:pPr>
        <w:spacing w:after="0" w:line="240" w:lineRule="auto"/>
      </w:pPr>
      <w:r>
        <w:continuationSeparator/>
      </w:r>
    </w:p>
  </w:endnote>
  <w:endnote w:type="continuationNotice" w:id="1">
    <w:p w14:paraId="3633A89A" w14:textId="77777777" w:rsidR="00250EF2" w:rsidRDefault="00250E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2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7B7F3" w14:textId="77777777" w:rsidR="001F4F13" w:rsidRDefault="001F4F13" w:rsidP="001F4F13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78269D" w14:textId="77777777" w:rsidR="009703BA" w:rsidRPr="001F4F13" w:rsidRDefault="009703BA" w:rsidP="001F4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2376" w14:textId="77777777" w:rsidR="00250EF2" w:rsidRDefault="00250EF2" w:rsidP="009703BA">
      <w:pPr>
        <w:spacing w:after="0" w:line="240" w:lineRule="auto"/>
      </w:pPr>
      <w:r>
        <w:separator/>
      </w:r>
    </w:p>
  </w:footnote>
  <w:footnote w:type="continuationSeparator" w:id="0">
    <w:p w14:paraId="134C9E67" w14:textId="77777777" w:rsidR="00250EF2" w:rsidRDefault="00250EF2" w:rsidP="009703BA">
      <w:pPr>
        <w:spacing w:after="0" w:line="240" w:lineRule="auto"/>
      </w:pPr>
      <w:r>
        <w:continuationSeparator/>
      </w:r>
    </w:p>
  </w:footnote>
  <w:footnote w:type="continuationNotice" w:id="1">
    <w:p w14:paraId="3DBFAE27" w14:textId="77777777" w:rsidR="00250EF2" w:rsidRDefault="00250E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5BB"/>
    <w:multiLevelType w:val="hybridMultilevel"/>
    <w:tmpl w:val="085C2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41F04"/>
    <w:multiLevelType w:val="hybridMultilevel"/>
    <w:tmpl w:val="4254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40BC4"/>
    <w:multiLevelType w:val="hybridMultilevel"/>
    <w:tmpl w:val="253CC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2CDB"/>
    <w:multiLevelType w:val="hybridMultilevel"/>
    <w:tmpl w:val="F2D8C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90196">
    <w:abstractNumId w:val="3"/>
  </w:num>
  <w:num w:numId="2" w16cid:durableId="1121729431">
    <w:abstractNumId w:val="2"/>
  </w:num>
  <w:num w:numId="3" w16cid:durableId="1754815657">
    <w:abstractNumId w:val="0"/>
  </w:num>
  <w:num w:numId="4" w16cid:durableId="1988626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50C574"/>
    <w:rsid w:val="00016D18"/>
    <w:rsid w:val="00043B70"/>
    <w:rsid w:val="0005440A"/>
    <w:rsid w:val="00056969"/>
    <w:rsid w:val="000569B1"/>
    <w:rsid w:val="00064876"/>
    <w:rsid w:val="00071FF9"/>
    <w:rsid w:val="00081EFC"/>
    <w:rsid w:val="000854B2"/>
    <w:rsid w:val="000B61F7"/>
    <w:rsid w:val="000C3191"/>
    <w:rsid w:val="000C3561"/>
    <w:rsid w:val="000C4080"/>
    <w:rsid w:val="000C5FF8"/>
    <w:rsid w:val="000D629B"/>
    <w:rsid w:val="000E0B60"/>
    <w:rsid w:val="000E1281"/>
    <w:rsid w:val="000E5692"/>
    <w:rsid w:val="000F0301"/>
    <w:rsid w:val="000F3481"/>
    <w:rsid w:val="0010118C"/>
    <w:rsid w:val="0010557F"/>
    <w:rsid w:val="00105E5A"/>
    <w:rsid w:val="00106BF5"/>
    <w:rsid w:val="0011681F"/>
    <w:rsid w:val="00153FD2"/>
    <w:rsid w:val="00163CBE"/>
    <w:rsid w:val="00181C49"/>
    <w:rsid w:val="00186931"/>
    <w:rsid w:val="00195519"/>
    <w:rsid w:val="001A184D"/>
    <w:rsid w:val="001B2283"/>
    <w:rsid w:val="001F262C"/>
    <w:rsid w:val="001F4F13"/>
    <w:rsid w:val="0022739F"/>
    <w:rsid w:val="002363DE"/>
    <w:rsid w:val="002467E6"/>
    <w:rsid w:val="00250EF2"/>
    <w:rsid w:val="0025580E"/>
    <w:rsid w:val="00281F36"/>
    <w:rsid w:val="00286316"/>
    <w:rsid w:val="00307AFC"/>
    <w:rsid w:val="00322A66"/>
    <w:rsid w:val="00331260"/>
    <w:rsid w:val="00341436"/>
    <w:rsid w:val="0036370C"/>
    <w:rsid w:val="003646BC"/>
    <w:rsid w:val="00384121"/>
    <w:rsid w:val="00396BF8"/>
    <w:rsid w:val="00396D82"/>
    <w:rsid w:val="003A250F"/>
    <w:rsid w:val="003A49F4"/>
    <w:rsid w:val="003C4D96"/>
    <w:rsid w:val="003E3F6B"/>
    <w:rsid w:val="003F58BF"/>
    <w:rsid w:val="004159CB"/>
    <w:rsid w:val="00421C06"/>
    <w:rsid w:val="00445750"/>
    <w:rsid w:val="0045030B"/>
    <w:rsid w:val="00451A27"/>
    <w:rsid w:val="00464981"/>
    <w:rsid w:val="004921F9"/>
    <w:rsid w:val="004D4FF3"/>
    <w:rsid w:val="004F29A3"/>
    <w:rsid w:val="00500843"/>
    <w:rsid w:val="00501541"/>
    <w:rsid w:val="00504FE9"/>
    <w:rsid w:val="00510194"/>
    <w:rsid w:val="005263D8"/>
    <w:rsid w:val="00534D46"/>
    <w:rsid w:val="00550E58"/>
    <w:rsid w:val="00556044"/>
    <w:rsid w:val="005566E9"/>
    <w:rsid w:val="005575BD"/>
    <w:rsid w:val="00582128"/>
    <w:rsid w:val="00591EE1"/>
    <w:rsid w:val="005A0025"/>
    <w:rsid w:val="005B2A82"/>
    <w:rsid w:val="005B4871"/>
    <w:rsid w:val="005C363A"/>
    <w:rsid w:val="00610306"/>
    <w:rsid w:val="006234E8"/>
    <w:rsid w:val="00641705"/>
    <w:rsid w:val="0065726F"/>
    <w:rsid w:val="00664AA3"/>
    <w:rsid w:val="00680B41"/>
    <w:rsid w:val="00697137"/>
    <w:rsid w:val="006C3BB2"/>
    <w:rsid w:val="006E5294"/>
    <w:rsid w:val="00714ECA"/>
    <w:rsid w:val="00744F69"/>
    <w:rsid w:val="007641FC"/>
    <w:rsid w:val="00784275"/>
    <w:rsid w:val="007A6156"/>
    <w:rsid w:val="007A701B"/>
    <w:rsid w:val="007C0573"/>
    <w:rsid w:val="007C7E6A"/>
    <w:rsid w:val="007E3DCF"/>
    <w:rsid w:val="007F48BC"/>
    <w:rsid w:val="007F6443"/>
    <w:rsid w:val="007F659A"/>
    <w:rsid w:val="007F7272"/>
    <w:rsid w:val="008061E5"/>
    <w:rsid w:val="00822E89"/>
    <w:rsid w:val="008554B4"/>
    <w:rsid w:val="008A501B"/>
    <w:rsid w:val="008B3220"/>
    <w:rsid w:val="008C0305"/>
    <w:rsid w:val="008C7FB1"/>
    <w:rsid w:val="008E4F11"/>
    <w:rsid w:val="00912689"/>
    <w:rsid w:val="00932B5A"/>
    <w:rsid w:val="00956278"/>
    <w:rsid w:val="0095762A"/>
    <w:rsid w:val="009703BA"/>
    <w:rsid w:val="00974661"/>
    <w:rsid w:val="00990AC8"/>
    <w:rsid w:val="009917A1"/>
    <w:rsid w:val="00996A68"/>
    <w:rsid w:val="009A1439"/>
    <w:rsid w:val="009A2AC0"/>
    <w:rsid w:val="009B474E"/>
    <w:rsid w:val="009B5B98"/>
    <w:rsid w:val="009C1AAF"/>
    <w:rsid w:val="009E6E12"/>
    <w:rsid w:val="00A01A3E"/>
    <w:rsid w:val="00A066E1"/>
    <w:rsid w:val="00A12C99"/>
    <w:rsid w:val="00A24183"/>
    <w:rsid w:val="00A472DC"/>
    <w:rsid w:val="00A77367"/>
    <w:rsid w:val="00A80CCB"/>
    <w:rsid w:val="00A80D1E"/>
    <w:rsid w:val="00AB0934"/>
    <w:rsid w:val="00AB1BE3"/>
    <w:rsid w:val="00AB52AA"/>
    <w:rsid w:val="00AB778A"/>
    <w:rsid w:val="00AC256C"/>
    <w:rsid w:val="00AE5105"/>
    <w:rsid w:val="00B02DB2"/>
    <w:rsid w:val="00B0331A"/>
    <w:rsid w:val="00B2053C"/>
    <w:rsid w:val="00B23436"/>
    <w:rsid w:val="00B262CC"/>
    <w:rsid w:val="00B82A82"/>
    <w:rsid w:val="00BB0687"/>
    <w:rsid w:val="00BB2435"/>
    <w:rsid w:val="00BB3F77"/>
    <w:rsid w:val="00BC6C58"/>
    <w:rsid w:val="00BD496B"/>
    <w:rsid w:val="00BD7FE8"/>
    <w:rsid w:val="00BE56BF"/>
    <w:rsid w:val="00BF3A8B"/>
    <w:rsid w:val="00C00DAF"/>
    <w:rsid w:val="00C01695"/>
    <w:rsid w:val="00C20F16"/>
    <w:rsid w:val="00C2497D"/>
    <w:rsid w:val="00C3733E"/>
    <w:rsid w:val="00C47E93"/>
    <w:rsid w:val="00C574D0"/>
    <w:rsid w:val="00C804E8"/>
    <w:rsid w:val="00C86363"/>
    <w:rsid w:val="00CB7C19"/>
    <w:rsid w:val="00CC1DA5"/>
    <w:rsid w:val="00CD1F10"/>
    <w:rsid w:val="00CD1F8F"/>
    <w:rsid w:val="00D07371"/>
    <w:rsid w:val="00D12218"/>
    <w:rsid w:val="00D34B39"/>
    <w:rsid w:val="00D3742F"/>
    <w:rsid w:val="00D4223B"/>
    <w:rsid w:val="00D76A94"/>
    <w:rsid w:val="00D9281C"/>
    <w:rsid w:val="00DB3E00"/>
    <w:rsid w:val="00DB793F"/>
    <w:rsid w:val="00DD727D"/>
    <w:rsid w:val="00DE106B"/>
    <w:rsid w:val="00DE1DD3"/>
    <w:rsid w:val="00DE426A"/>
    <w:rsid w:val="00DE5D1B"/>
    <w:rsid w:val="00E16FAF"/>
    <w:rsid w:val="00E172D7"/>
    <w:rsid w:val="00E24ED3"/>
    <w:rsid w:val="00E260F9"/>
    <w:rsid w:val="00E3351F"/>
    <w:rsid w:val="00E451CA"/>
    <w:rsid w:val="00E5173D"/>
    <w:rsid w:val="00E769D1"/>
    <w:rsid w:val="00E904C5"/>
    <w:rsid w:val="00E96400"/>
    <w:rsid w:val="00EA2A4D"/>
    <w:rsid w:val="00EA3CCE"/>
    <w:rsid w:val="00EA4425"/>
    <w:rsid w:val="00EB3EB0"/>
    <w:rsid w:val="00EC721E"/>
    <w:rsid w:val="00F14CC4"/>
    <w:rsid w:val="00F16BCA"/>
    <w:rsid w:val="00F23580"/>
    <w:rsid w:val="00F30BF4"/>
    <w:rsid w:val="00F632A8"/>
    <w:rsid w:val="00F74E9D"/>
    <w:rsid w:val="00F74FFA"/>
    <w:rsid w:val="00F834A3"/>
    <w:rsid w:val="00FF13E0"/>
    <w:rsid w:val="00FF19E3"/>
    <w:rsid w:val="00FF1D92"/>
    <w:rsid w:val="01C29D64"/>
    <w:rsid w:val="1B4E9840"/>
    <w:rsid w:val="1BF09BC6"/>
    <w:rsid w:val="1DF2487E"/>
    <w:rsid w:val="307C1167"/>
    <w:rsid w:val="39D2B04E"/>
    <w:rsid w:val="4150C574"/>
    <w:rsid w:val="437B5853"/>
    <w:rsid w:val="46496B26"/>
    <w:rsid w:val="4990A562"/>
    <w:rsid w:val="5707EDCD"/>
    <w:rsid w:val="6B107715"/>
    <w:rsid w:val="6C4EB3A5"/>
    <w:rsid w:val="721C3DCC"/>
    <w:rsid w:val="7D1B8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0C574"/>
  <w15:chartTrackingRefBased/>
  <w15:docId w15:val="{BC9A072D-8FA0-4D3C-9FB8-818F254A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19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4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7E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05E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1D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82A8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2A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2A8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1268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7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B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BA"/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E6E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10306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921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21F9"/>
    <w:rPr>
      <w:rFonts w:eastAsiaTheme="minorEastAsia"/>
      <w:color w:val="5A5A5A" w:themeColor="text1" w:themeTint="A5"/>
      <w:spacing w:val="15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576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4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28FE6-1866-4162-A5E3-9CF70D7C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Poole</dc:creator>
  <cp:keywords/>
  <dc:description/>
  <cp:lastModifiedBy>Adrian Poole</cp:lastModifiedBy>
  <cp:revision>40</cp:revision>
  <cp:lastPrinted>2023-03-29T13:28:00Z</cp:lastPrinted>
  <dcterms:created xsi:type="dcterms:W3CDTF">2023-02-24T14:46:00Z</dcterms:created>
  <dcterms:modified xsi:type="dcterms:W3CDTF">2023-03-29T13:28:00Z</dcterms:modified>
</cp:coreProperties>
</file>