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ADM32F036 Q A2 A3 差异与 FOC 板级配置说明</w:t>
      </w:r>
    </w:p>
    <w:p>
      <w:pPr>
        <w:spacing w:after="60"/>
      </w:pPr>
      <w:r>
        <w:t>依据当前资料库的 Rev1.0/Rev1.1 Demo 原理图、2026-07-20 低压工程和用户确认的现行应用规则整理｜2026-09-23。本文用于选型与移植核对，具体产品仍以目标板实物、最新版数据手册及实测为准。</w:t>
      </w:r>
    </w:p>
    <w:p>
      <w:pPr>
        <w:pStyle w:val="Heading1"/>
      </w:pPr>
      <w:r>
        <w:t>一  三款器件的应用边界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77"/>
        <w:gridCol w:w="2577"/>
        <w:gridCol w:w="2577"/>
        <w:gridCol w:w="2577"/>
      </w:tblGrid>
      <w:tr>
        <w:tc>
          <w:tcPr>
            <w:tcW w:type="dxa" w:w="1656"/>
            <w:shd w:fill="E9EFF4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b/>
                <w:color w:val="233646"/>
                <w:sz w:val="16"/>
              </w:rPr>
              <w:t>项目</w:t>
            </w:r>
          </w:p>
        </w:tc>
        <w:tc>
          <w:tcPr>
            <w:tcW w:type="dxa" w:w="2707"/>
            <w:shd w:fill="E9EFF4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b/>
                <w:color w:val="233646"/>
                <w:sz w:val="16"/>
              </w:rPr>
              <w:t>ADM32F036Q</w:t>
            </w:r>
          </w:p>
        </w:tc>
        <w:tc>
          <w:tcPr>
            <w:tcW w:type="dxa" w:w="2880"/>
            <w:shd w:fill="E9EFF4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b/>
                <w:color w:val="233646"/>
                <w:sz w:val="16"/>
              </w:rPr>
              <w:t>ADM32F036A2</w:t>
            </w:r>
          </w:p>
        </w:tc>
        <w:tc>
          <w:tcPr>
            <w:tcW w:type="dxa" w:w="2880"/>
            <w:shd w:fill="E9EFF4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b/>
                <w:color w:val="233646"/>
                <w:sz w:val="16"/>
              </w:rPr>
              <w:t>ADM32F036A3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推荐系统母线</w:t>
            </w:r>
          </w:p>
        </w:tc>
        <w:tc>
          <w:tcPr>
            <w:tcW w:type="dxa" w:w="2707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12 V、24 V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12 V、24 V、48 V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仅 12 V 系统</w:t>
            </w:r>
          </w:p>
        </w:tc>
      </w:tr>
      <w:tr>
        <w:tc>
          <w:tcPr>
            <w:tcW w:type="dxa" w:w="1656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供电与高侧驱动</w:t>
            </w:r>
          </w:p>
        </w:tc>
        <w:tc>
          <w:tcPr>
            <w:tcW w:type="dxa" w:w="2707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LDO_IN／VDRV；HBx–HSx 自举高侧，外接 MOS</w:t>
            </w:r>
          </w:p>
        </w:tc>
        <w:tc>
          <w:tcPr>
            <w:tcW w:type="dxa" w:w="2880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LDO_IN／VDRV；HBx–HSx 自举高侧，外接 MOS。高母线可先用外部 DC-DC 降至 12 V 给 LDO_IN</w:t>
            </w:r>
          </w:p>
        </w:tc>
        <w:tc>
          <w:tcPr>
            <w:tcW w:type="dxa" w:w="2880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VM 同时参与片内供电、电荷泵和高侧/VDS 参考；VCP 电荷泵高侧，无需自举，外接 MOS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母线与芯片供电关系</w:t>
            </w:r>
          </w:p>
        </w:tc>
        <w:tc>
          <w:tcPr>
            <w:tcW w:type="dxa" w:w="2707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按 Q 板供电网络和器件额定值设计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48 V 功率母线与约 12 V 芯片供电可分开设计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不能只把高母线经 DC-DC 降为 12 V 送 VM，再让功率桥维持 24/48 V；VM 与驱动/故障检测基准不匹配</w:t>
            </w:r>
          </w:p>
        </w:tc>
      </w:tr>
      <w:tr>
        <w:tc>
          <w:tcPr>
            <w:tcW w:type="dxa" w:w="1656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演示板功率级</w:t>
            </w:r>
          </w:p>
        </w:tc>
        <w:tc>
          <w:tcPr>
            <w:tcW w:type="dxa" w:w="2707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QN56 Rev1.0：六只外接 MOS，标注 12–24 V 输入</w:t>
            </w:r>
          </w:p>
        </w:tc>
        <w:tc>
          <w:tcPr>
            <w:tcW w:type="dxa" w:w="2880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A2Q Rev1.0：六只外接 MOS，标注 12–24 V；另有 48 V Demo</w:t>
            </w:r>
          </w:p>
        </w:tc>
        <w:tc>
          <w:tcPr>
            <w:tcW w:type="dxa" w:w="2880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A3Q 7×7 Rev1.1：六只外接 MOS，VIN 接 VM，12 V 使用边界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软件配置关键</w:t>
            </w:r>
          </w:p>
        </w:tc>
        <w:tc>
          <w:tcPr>
            <w:tcW w:type="dxa" w:w="2707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核实封装引脚、相序、采样和非 A3 预驱路径；工程没有 Q 独立选项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选择 A2 驱动路径；复核 12 V 辅助电源、相序和采样</w:t>
            </w:r>
          </w:p>
        </w:tc>
        <w:tc>
          <w:tcPr>
            <w:tcW w:type="dxa" w:w="2880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选择 A3 驱动路径；初始化电荷泵/VDS 等预驱配置，按 12 V 设保护</w:t>
            </w:r>
          </w:p>
        </w:tc>
      </w:tr>
    </w:tbl>
    <w:p>
      <w:pPr>
        <w:spacing w:after="0"/>
      </w:pPr>
    </w:p>
    <w:p>
      <w:pPr>
        <w:spacing w:after="60"/>
      </w:pPr>
      <w:r>
        <w:t>说明：A3 数据手册中的 VM 极限/工作参数不能直接解释为可在 24/48 V 电机系统使用；当前应用限制按用户确认的“仅 12 V 系统”执行。Q 的 QN56 表示 56 脚封装。</w:t>
      </w:r>
    </w:p>
    <w:p>
      <w:pPr>
        <w:pStyle w:val="Heading1"/>
      </w:pPr>
      <w:r>
        <w:t>二  高压与低压 FOC 程序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37"/>
        <w:gridCol w:w="3437"/>
        <w:gridCol w:w="3437"/>
      </w:tblGrid>
      <w:tr>
        <w:tc>
          <w:tcPr>
            <w:tcW w:type="dxa" w:w="1656"/>
            <w:shd w:fill="E9EFF4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b/>
                <w:color w:val="233646"/>
                <w:sz w:val="16"/>
              </w:rPr>
              <w:t>对比</w:t>
            </w:r>
          </w:p>
        </w:tc>
        <w:tc>
          <w:tcPr>
            <w:tcW w:type="dxa" w:w="4320"/>
            <w:shd w:fill="E9EFF4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b/>
                <w:color w:val="233646"/>
                <w:sz w:val="16"/>
              </w:rPr>
              <w:t>低压 ADM32F036A3DEMO</w:t>
            </w:r>
          </w:p>
        </w:tc>
        <w:tc>
          <w:tcPr>
            <w:tcW w:type="dxa" w:w="4320"/>
            <w:shd w:fill="E9EFF4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b/>
                <w:color w:val="233646"/>
                <w:sz w:val="16"/>
              </w:rPr>
              <w:t>高压 AutoACDrive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适用芯片与工程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ADM32F036Q / A2 / A3；以 2026-07-20 工程为当前分析基线。名称带 A3，不代表仅适用 A3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裸芯 ADP32F036；高压功率板工程。400 V 变体另有板级参数</w:t>
            </w:r>
          </w:p>
        </w:tc>
      </w:tr>
      <w:tr>
        <w:tc>
          <w:tcPr>
            <w:tcW w:type="dxa" w:w="1656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功率级与驱动</w:t>
            </w:r>
          </w:p>
        </w:tc>
        <w:tc>
          <w:tcPr>
            <w:tcW w:type="dxa" w:w="4320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三款 ADM 均集成预驱，外接 MOS；Q/A2 自举，A3 电荷泵；按各自板卡调整</w:t>
            </w:r>
          </w:p>
        </w:tc>
        <w:tc>
          <w:tcPr>
            <w:tcW w:type="dxa" w:w="4320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裸芯配外部栅极驱动与高压功率级；驱动、隔离和保护链由高压板决定</w:t>
            </w:r>
          </w:p>
        </w:tc>
      </w:tr>
      <w:tr>
        <w:tc>
          <w:tcPr>
            <w:tcW w:type="dxa" w:w="1656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采样与控制基线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当前工程为单电阻采样，ePWM2/3/4 三相；PWM 中断推进控制，ADC 与电流重构须匹配板卡</w:t>
            </w:r>
          </w:p>
        </w:tc>
        <w:tc>
          <w:tcPr>
            <w:tcW w:type="dxa" w:w="4320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工程以多电流采样/高压板为基线，ADC 中断推进电机控制；还含高压板制动、保护及电机参数</w:t>
            </w:r>
          </w:p>
        </w:tc>
      </w:tr>
      <w:tr>
        <w:tc>
          <w:tcPr>
            <w:tcW w:type="dxa" w:w="1656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不可直接沿用的量</w:t>
            </w:r>
          </w:p>
        </w:tc>
        <w:tc>
          <w:tcPr>
            <w:tcW w:type="dxa" w:w="4320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电流采样增益、母线/相电压分压、死区、保护门限、电机参数和相序均随板改变</w:t>
            </w:r>
          </w:p>
        </w:tc>
        <w:tc>
          <w:tcPr>
            <w:tcW w:type="dxa" w:w="4320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高压电压/电流标定、外部驱动时序和控制参数不能拷入 Q/A2/A3 低压板</w:t>
            </w:r>
          </w:p>
        </w:tc>
      </w:tr>
    </w:tbl>
    <w:p>
      <w:pPr>
        <w:spacing w:after="0"/>
      </w:pPr>
    </w:p>
    <w:p>
      <w:pPr>
        <w:spacing w:after="60"/>
      </w:pPr>
      <w:r>
        <w:t>两套程序不是只改电压阈值的关系。封装算法 OBJ 的日期可用于选取较新基线，但整套工程仍须以目标硬件重新标定、编译并实测。</w:t>
      </w:r>
    </w:p>
    <w:p>
      <w:r>
        <w:br w:type="page"/>
      </w:r>
    </w:p>
    <w:p>
      <w:pPr>
        <w:pStyle w:val="Heading1"/>
      </w:pPr>
      <w:r>
        <w:t>三  低压工程共用配置入口</w:t>
      </w:r>
    </w:p>
    <w:p>
      <w:pPr>
        <w:spacing w:after="60"/>
      </w:pPr>
      <w:r>
        <w:t>在最新低压工程中，Parameter.h 是采样方式与芯片类型入口；Parameter_Demo_blower.c 放母线/电流量程、保护、PWM/死区和电机参数；HardwareSetup.c 放引脚、ADC、ePWM、时钟与预驱初始化；PreDrive.c / PreDriver.h 放 A3 预驱寄存器配置。以下只列需要核对的配置项，不作为直接复制的参数值。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2016"/>
            <w:shd w:fill="E9EFF4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b/>
                <w:color w:val="233646"/>
                <w:sz w:val="16"/>
              </w:rPr>
              <w:t>配置组</w:t>
            </w:r>
          </w:p>
        </w:tc>
        <w:tc>
          <w:tcPr>
            <w:tcW w:type="dxa" w:w="8280"/>
            <w:shd w:fill="E9EFF4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b/>
                <w:color w:val="233646"/>
                <w:sz w:val="16"/>
              </w:rPr>
              <w:t>与原理图逐项对应的内容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供电与时钟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母线额定/欠压/过压范围；LDO_IN 或 VM 供电网络；外部晶振与 100 MHz CPU、ADC/PWM/LIN 时钟；Flash 4/4/5</w:t>
            </w:r>
          </w:p>
        </w:tc>
      </w:tr>
      <w:tr>
        <w:tc>
          <w:tcPr>
            <w:tcW w:type="dxa" w:w="2016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功率级与 PWM</w:t>
            </w:r>
          </w:p>
        </w:tc>
        <w:tc>
          <w:tcPr>
            <w:tcW w:type="dxa" w:w="8280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U/V/W 接线与高低桥 PWM 对应、有效极性、死区、PWM 频率、Trip 关断状态；上电先保持栅极关闭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电流与电压采样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实际装配的 1/2/3 电阻方式、采样电阻值、放大倍数/零点、ADC 通道、SOC 时刻；VSENVM/VSENVIN 和三相分压比例</w:t>
            </w:r>
          </w:p>
        </w:tc>
      </w:tr>
      <w:tr>
        <w:tc>
          <w:tcPr>
            <w:tcW w:type="dxa" w:w="2016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保护与外设</w:t>
            </w:r>
          </w:p>
        </w:tc>
        <w:tc>
          <w:tcPr>
            <w:tcW w:type="dxa" w:w="8280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硬件 CBC/锁存过流、软件限流、欠/过压、预驱故障和复位时序；LIN EN/TX/RX、eCAN、Hall/电位器等仅按板上实际连接启用</w:t>
            </w:r>
          </w:p>
        </w:tc>
      </w:tr>
      <w:tr>
        <w:tc>
          <w:tcPr>
            <w:tcW w:type="dxa" w:w="2016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电机控制</w:t>
            </w:r>
          </w:p>
        </w:tc>
        <w:tc>
          <w:tcPr>
            <w:tcW w:type="dxa" w:w="8280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电机 Rs/Ld/Lq/反电势、极对数/目标转速、启停、开环切闭环、PI 与限流需用目标电机实测整定</w:t>
            </w:r>
          </w:p>
        </w:tc>
      </w:tr>
    </w:tbl>
    <w:p>
      <w:pPr>
        <w:spacing w:after="0"/>
      </w:pPr>
    </w:p>
    <w:p>
      <w:pPr>
        <w:pStyle w:val="Heading1"/>
      </w:pPr>
      <w:r>
        <w:t>四  按 Demo 原理图配置 Q / A2 / A3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55"/>
        <w:gridCol w:w="5155"/>
      </w:tblGrid>
      <w:tr>
        <w:tc>
          <w:tcPr>
            <w:tcW w:type="dxa" w:w="2232"/>
            <w:shd w:fill="E9EFF4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b/>
                <w:color w:val="233646"/>
                <w:sz w:val="16"/>
              </w:rPr>
              <w:t>目标板</w:t>
            </w:r>
          </w:p>
        </w:tc>
        <w:tc>
          <w:tcPr>
            <w:tcW w:type="dxa" w:w="8064"/>
            <w:shd w:fill="E9EFF4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b/>
                <w:color w:val="233646"/>
                <w:sz w:val="16"/>
              </w:rPr>
              <w:t>需要确认或更改的具体配置项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Q：QN56 BLDC Demo Rev1.0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母线 12/24 V；LDO_IN、VDRV、HBx/HSx 自举供电与六只 MOS。VSENVM 分压 R50=150 kΩ、R58=10 kΩ（约 16:1）；RS3=5 mΩ、RS1/RS2=50 mΩ，必须按实装电阻与采样接线决定单/多电阻算法、ADC 增益和过流门限。QN56 引脚、U/V/W 相序与 LIN/通信连接逐项核对。当前代码无 Q 专用型号选项，需验证 Q 与 A2 的非 A3 预驱路径及引脚映射，不能只改名称。</w:t>
            </w:r>
          </w:p>
        </w:tc>
      </w:tr>
      <w:tr>
        <w:tc>
          <w:tcPr>
            <w:tcW w:type="dxa" w:w="2232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A2：A2Q BLDC Demo Rev1.0／48 V Demo</w:t>
            </w:r>
          </w:p>
        </w:tc>
        <w:tc>
          <w:tcPr>
            <w:tcW w:type="dxa" w:w="8064"/>
            <w:shd w:fill="F7F9FB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Rev1.0 标注 12–24 V；若用 48 V，以 48V-036A2-DEMO-V2.0 原理图与实物为基准，外部 DC-DC 供约 12 V 给 LDO_IN，HBx/HSx 与功率母线匹配。Rev1.0 的 VSENVM 为 150 kΩ/10 kΩ（约 16:1），RS3=5 mΩ、RS1/RS2=50 mΩ；48 V 板电阻和分压须另算。Rev1.0 原理图的 MOS 相网名顺序为 W/V/U，需核实 PWM、相电压采样和电机端 U/V/W 实际映射。选择 A2 预驱路径，并按实际母线重设保护。</w:t>
            </w:r>
          </w:p>
        </w:tc>
      </w:tr>
      <w:tr>
        <w:tc>
          <w:tcPr>
            <w:tcW w:type="dxa" w:w="2232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A3：A3Q 7×7 BLDC Demo Rev1.1</w:t>
            </w:r>
          </w:p>
        </w:tc>
        <w:tc>
          <w:tcPr>
            <w:tcW w:type="dxa" w:w="8064"/>
            <w:vAlign w:val="center"/>
          </w:tcPr>
          <w:p>
            <w:pPr>
              <w:spacing w:after="0" w:before="0" w:line="250" w:lineRule="auto"/>
            </w:pPr>
            <w:r>
              <w:rPr>
                <w:rFonts w:ascii="Microsoft YaHei" w:hAnsi="Microsoft YaHei" w:eastAsia="Microsoft YaHei"/>
                <w:sz w:val="16"/>
              </w:rPr>
              <w:t>仅按 12 V 系统配置；VIN 与 VM 供电关系、VCP/CPH/CPL 电荷泵电容、VDS 故障与预驱使能/复位须核对。VSENVIN 分压 R50=1 MΩ、R58=68 kΩ（约 15.7:1）；RS1/RS2/RS3 均标 2 mΩ。按实装采样通路决定单/多电阻方式与电流系数；核对 W/V/U 桥臂与电机端对应。选择 A3 预驱路径，并按 MOS 和母线重新设驱动、死区、过流/欠压。</w:t>
            </w:r>
          </w:p>
        </w:tc>
      </w:tr>
    </w:tbl>
    <w:p>
      <w:pPr>
        <w:spacing w:after="0"/>
      </w:pPr>
    </w:p>
    <w:p>
      <w:pPr>
        <w:spacing w:after="60"/>
      </w:pPr>
      <w:r>
        <w:t>图纸标值是核对线索，不等于板上全部支路都已装配或当前单电阻工程可直接使用；尤其电流采样方式、相序与保护阈值应先按实物确认。</w:t>
      </w:r>
    </w:p>
    <w:p>
      <w:pPr>
        <w:pStyle w:val="Heading1"/>
      </w:pPr>
      <w:r>
        <w:t>五  使用前必须同步</w:t>
      </w:r>
    </w:p>
    <w:p>
      <w:pPr>
        <w:spacing w:after="60"/>
      </w:pPr>
      <w:r>
        <w:t>2026-07-20 低压工程虽已见 100 MHz 和 Flash 4/4/5，不能视为已同步进芯 V1.1 全部要求。应用前按《036/00_规范与勘误/手工同步清单.md》逐项核查 PIE 向量、保留中断的 RAM/安全关断、Flash API、休眠与 SCL/SDA；BOOT 与 APP 分别检查。全系采用外部晶振；036 CANFD 有已知问题，通信优先 eCAN。最终必须做上电、空载、带载、故障注入与温度测试。</w:t>
      </w:r>
    </w:p>
    <w:p>
      <w:pPr>
        <w:spacing w:after="60"/>
      </w:pPr>
      <w:r>
        <w:rPr>
          <w:sz w:val="15"/>
        </w:rPr>
        <w:t>资料依据  Q 数据手册 v1.3、QN56 Demo Rev1.0；A2 数据手册 v1.4、BLDC Demo Rev1.0、48 V Demo V2.0；A3 数据手册 v1.5、7×7 Demo Rev1.1；低压 ADM32F036A3DEMO_20260720、高压 AutoACDrive；进芯 BOOT/APP 修改指南 V1.1。</w:t>
      </w:r>
    </w:p>
    <w:sectPr w:rsidR="00FC693F" w:rsidRPr="0006063C" w:rsidSect="00034616">
      <w:footerReference w:type="default" r:id="rId9"/>
      <w:pgSz w:w="12240" w:h="15840"/>
      <w:pgMar w:top="835" w:right="965" w:bottom="792" w:left="965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rFonts w:ascii="Microsoft YaHei" w:hAnsi="Microsoft YaHei"/>
        <w:color w:val="7A8691"/>
        <w:sz w:val="16"/>
      </w:rPr>
      <w:t>进芯 036 系列｜板级配置参考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278" w:lineRule="auto" w:after="60"/>
    </w:pPr>
    <w:rPr>
      <w:rFonts w:ascii="Microsoft YaHei" w:hAnsi="Microsoft YaHei" w:eastAsia="Microsoft YaHei"/>
      <w:color w:val="232D36"/>
      <w:sz w:val="17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20" w:after="60"/>
      <w:outlineLvl w:val="0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4967"/>
      <w:sz w:val="2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20" w:after="60"/>
      <w:outlineLvl w:val="1"/>
    </w:pPr>
    <w:rPr>
      <w:rFonts w:asciiTheme="majorHAnsi" w:eastAsiaTheme="majorEastAsia" w:hAnsiTheme="majorHAnsi" w:cstheme="majorBidi" w:ascii="Microsoft YaHei" w:hAnsi="Microsoft YaHei" w:eastAsia="Microsoft YaHei"/>
      <w:b/>
      <w:bCs/>
      <w:color w:val="1E4967"/>
      <w:sz w:val="2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60" w:line="240" w:lineRule="auto" w:before="120"/>
      <w:contextualSpacing/>
    </w:pPr>
    <w:rPr>
      <w:rFonts w:asciiTheme="majorHAnsi" w:eastAsiaTheme="majorEastAsia" w:hAnsiTheme="majorHAnsi" w:cstheme="majorBidi" w:ascii="Microsoft YaHei" w:hAnsi="Microsoft YaHei" w:eastAsia="Microsoft YaHei"/>
      <w:b/>
      <w:color w:val="000000"/>
      <w:spacing w:val="5"/>
      <w:kern w:val="28"/>
      <w:sz w:val="3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