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从F280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025</w:t>
      </w:r>
      <w:r>
        <w:rPr>
          <w:rFonts w:hint="eastAsia" w:ascii="微软雅黑" w:hAnsi="微软雅黑" w:eastAsia="微软雅黑"/>
          <w:sz w:val="44"/>
          <w:szCs w:val="44"/>
        </w:rPr>
        <w:t>移到A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00157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/>
    <w:p w14:paraId="51B1CB3C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748"/>
    <w:p w14:paraId="0FF6DD28"/>
    <w:p w14:paraId="452AFE13"/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2026年7月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本文档将重点阐述F28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0025</w:t>
      </w: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00157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的差异性，以支持客户快速移植。行文将重点介绍两款芯片在应用或测试中关键注意点，如用户对具体功能模块有进一步了解需要，可查阅相应产品规格书。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7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650"/>
        <w:gridCol w:w="3289"/>
      </w:tblGrid>
      <w:tr w14:paraId="3474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4BA42218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650" w:type="dxa"/>
            <w:vAlign w:val="center"/>
          </w:tcPr>
          <w:p w14:paraId="692F0B09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F28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0025</w:t>
            </w:r>
          </w:p>
        </w:tc>
        <w:tc>
          <w:tcPr>
            <w:tcW w:w="3289" w:type="dxa"/>
            <w:vAlign w:val="center"/>
          </w:tcPr>
          <w:p w14:paraId="480F3389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00157</w:t>
            </w:r>
          </w:p>
        </w:tc>
      </w:tr>
      <w:tr w14:paraId="1AFD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3558AB4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650" w:type="dxa"/>
            <w:vAlign w:val="center"/>
          </w:tcPr>
          <w:p w14:paraId="5164BF1F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单核100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Mhz </w:t>
            </w:r>
          </w:p>
        </w:tc>
        <w:tc>
          <w:tcPr>
            <w:tcW w:w="3289" w:type="dxa"/>
            <w:vAlign w:val="center"/>
          </w:tcPr>
          <w:p w14:paraId="4C1D530B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单核120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V</w:t>
            </w:r>
          </w:p>
        </w:tc>
      </w:tr>
      <w:tr w14:paraId="688F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D10143C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片内L</w:t>
            </w:r>
            <w:r>
              <w:rPr>
                <w:rFonts w:ascii="Times New Roman" w:hAnsi="Times New Roman" w:eastAsia="宋体" w:cs="Times New Roman"/>
                <w:sz w:val="22"/>
              </w:rPr>
              <w:t>DO</w:t>
            </w:r>
          </w:p>
        </w:tc>
        <w:tc>
          <w:tcPr>
            <w:tcW w:w="2650" w:type="dxa"/>
            <w:vAlign w:val="center"/>
          </w:tcPr>
          <w:p w14:paraId="0F4A957D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  <w:tc>
          <w:tcPr>
            <w:tcW w:w="3289" w:type="dxa"/>
            <w:vAlign w:val="center"/>
          </w:tcPr>
          <w:p w14:paraId="3F9C71B6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color w:val="FF000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color w:val="auto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color w:val="auto"/>
                <w:sz w:val="22"/>
              </w:rPr>
              <w:t xml:space="preserve"> VREG</w:t>
            </w:r>
          </w:p>
        </w:tc>
      </w:tr>
      <w:tr w14:paraId="0F84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33F2F0CC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RAM</w:t>
            </w:r>
          </w:p>
        </w:tc>
        <w:tc>
          <w:tcPr>
            <w:tcW w:w="2650" w:type="dxa"/>
            <w:vAlign w:val="center"/>
          </w:tcPr>
          <w:p w14:paraId="342F642F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24KB</w:t>
            </w:r>
          </w:p>
        </w:tc>
        <w:tc>
          <w:tcPr>
            <w:tcW w:w="3289" w:type="dxa"/>
            <w:vAlign w:val="center"/>
          </w:tcPr>
          <w:p w14:paraId="6A1DDAC2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36KB</w:t>
            </w:r>
          </w:p>
        </w:tc>
      </w:tr>
      <w:tr w14:paraId="6869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3E1EE12C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FLASH</w:t>
            </w:r>
          </w:p>
        </w:tc>
        <w:tc>
          <w:tcPr>
            <w:tcW w:w="2650" w:type="dxa"/>
            <w:vAlign w:val="center"/>
          </w:tcPr>
          <w:p w14:paraId="71B1E2DD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128B</w:t>
            </w:r>
          </w:p>
        </w:tc>
        <w:tc>
          <w:tcPr>
            <w:tcW w:w="3289" w:type="dxa"/>
            <w:vAlign w:val="center"/>
          </w:tcPr>
          <w:p w14:paraId="76FB030B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256KB</w:t>
            </w:r>
          </w:p>
        </w:tc>
      </w:tr>
    </w:tbl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芯片供电及上、下电时序</w:t>
      </w:r>
    </w:p>
    <w:p w14:paraId="2D62C015">
      <w:pPr>
        <w:spacing w:line="400" w:lineRule="exact"/>
        <w:ind w:firstLine="42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494665</wp:posOffset>
            </wp:positionV>
            <wp:extent cx="5271770" cy="2083435"/>
            <wp:effectExtent l="0" t="0" r="1270" b="4445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8"/>
        </w:rPr>
        <w:t>与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Ti280025相比</w:t>
      </w:r>
      <w:r>
        <w:rPr>
          <w:rFonts w:hint="eastAsia" w:ascii="宋体" w:hAnsi="宋体" w:eastAsia="宋体"/>
          <w:sz w:val="24"/>
          <w:szCs w:val="28"/>
        </w:rPr>
        <w:t>，A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00157</w:t>
      </w:r>
      <w:r>
        <w:rPr>
          <w:rFonts w:hint="eastAsia" w:ascii="宋体" w:hAnsi="宋体" w:eastAsia="宋体"/>
          <w:sz w:val="24"/>
          <w:szCs w:val="28"/>
        </w:rPr>
        <w:t>同样支持板级</w:t>
      </w:r>
      <w:r>
        <w:rPr>
          <w:rFonts w:ascii="宋体" w:hAnsi="宋体" w:eastAsia="宋体"/>
          <w:sz w:val="24"/>
          <w:szCs w:val="28"/>
        </w:rPr>
        <w:t>3.3V</w:t>
      </w:r>
      <w:r>
        <w:rPr>
          <w:rFonts w:hint="eastAsia" w:ascii="宋体" w:hAnsi="宋体" w:eastAsia="宋体"/>
          <w:sz w:val="24"/>
          <w:szCs w:val="28"/>
        </w:rPr>
        <w:t>单电源供电方式。设计上做到供电方式兼容，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如采用双电源供电，则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内核供电官方建议1.2v</w:t>
      </w:r>
    </w:p>
    <w:p w14:paraId="509F58E3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3166B829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37A9E4DD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23998D6B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1B38D030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77EACF0C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750B60DF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247F3C01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6E359745">
      <w:pPr>
        <w:pStyle w:val="4"/>
        <w:numPr>
          <w:numId w:val="0"/>
        </w:numPr>
        <w:ind w:leftChars="0"/>
      </w:pPr>
      <w:r>
        <w:rPr>
          <w:rFonts w:hint="eastAsia"/>
          <w:lang w:val="en-US" w:eastAsia="zh-CN"/>
        </w:rPr>
        <w:t>3.存储差异</w:t>
      </w:r>
    </w:p>
    <w:p w14:paraId="6AB19626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Ti280025与</w:t>
      </w:r>
      <w:r>
        <w:rPr>
          <w:rFonts w:hint="eastAsia" w:ascii="宋体" w:hAnsi="宋体" w:eastAsia="宋体"/>
          <w:sz w:val="24"/>
          <w:szCs w:val="28"/>
        </w:rPr>
        <w:t>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00157相比，RAM和ROM改动异同点如下：</w:t>
      </w:r>
    </w:p>
    <w:p w14:paraId="3EF9D3A9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同：M0,M1 RAM地址相同；用户OTP区域地址相同；</w:t>
      </w:r>
    </w:p>
    <w:p w14:paraId="6A313E44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异：PieVectTable地址0025起始地址与157相同，但是大小是157两倍。</w:t>
      </w:r>
    </w:p>
    <w:p w14:paraId="0A32D3B8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0025的LS4-LS7 RAM 地址从0xA000到0xBFFF，而00157则是LS0,LS1 RAM 地址从0x8000到0xBFFF，相当于00157多了0x8000到0x9FFF的RAM区域</w:t>
      </w:r>
    </w:p>
    <w:p w14:paraId="62C9C242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 xml:space="preserve">0025有一块GS0 RAM和CAN A消息RAM，00157没有。 </w:t>
      </w:r>
    </w:p>
    <w:p w14:paraId="38AA141D">
      <w:pPr>
        <w:spacing w:line="400" w:lineRule="exac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安全ROM 0025是从0x3E8000-0x3EFFFF，00157则是从0x3E4000-0x3E5BFFF</w:t>
      </w:r>
    </w:p>
    <w:p w14:paraId="6C1EE455">
      <w:pPr>
        <w:spacing w:line="400" w:lineRule="exac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引导ROM 0025是从0x3F0000-0x3FFFFF，00157则是从0x3F8000-0x3FFFFF</w:t>
      </w:r>
    </w:p>
    <w:p w14:paraId="234F4D57">
      <w:pPr>
        <w:spacing w:line="400" w:lineRule="exact"/>
      </w:pPr>
    </w:p>
    <w:p w14:paraId="30A941E2">
      <w:pPr>
        <w:spacing w:line="400" w:lineRule="exact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-36830</wp:posOffset>
            </wp:positionH>
            <wp:positionV relativeFrom="paragraph">
              <wp:posOffset>147955</wp:posOffset>
            </wp:positionV>
            <wp:extent cx="5272405" cy="3460750"/>
            <wp:effectExtent l="0" t="0" r="635" b="13970"/>
            <wp:wrapNone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0F3C39">
      <w:pPr>
        <w:spacing w:line="400" w:lineRule="exact"/>
        <w:ind w:firstLine="420" w:firstLineChars="200"/>
      </w:pPr>
    </w:p>
    <w:p w14:paraId="0C38D2EA">
      <w:pPr>
        <w:spacing w:line="400" w:lineRule="exact"/>
        <w:ind w:firstLine="420" w:firstLineChars="200"/>
      </w:pPr>
    </w:p>
    <w:p w14:paraId="510E6978">
      <w:pPr>
        <w:spacing w:line="400" w:lineRule="exact"/>
        <w:ind w:firstLine="420" w:firstLineChars="200"/>
      </w:pPr>
    </w:p>
    <w:p w14:paraId="3711D573">
      <w:pPr>
        <w:spacing w:line="400" w:lineRule="exact"/>
        <w:ind w:firstLine="420" w:firstLineChars="200"/>
      </w:pPr>
    </w:p>
    <w:p w14:paraId="19B20F55">
      <w:pPr>
        <w:spacing w:line="400" w:lineRule="exact"/>
        <w:ind w:firstLine="420" w:firstLineChars="200"/>
      </w:pPr>
    </w:p>
    <w:p w14:paraId="618E5AD6">
      <w:pPr>
        <w:spacing w:line="400" w:lineRule="exact"/>
        <w:ind w:firstLine="420" w:firstLineChars="200"/>
      </w:pPr>
    </w:p>
    <w:p w14:paraId="631AB64A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</w:p>
    <w:p w14:paraId="44BE6D62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3BBF3695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2000D103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5CB24955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5165DE6D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5A3A206A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16F306E3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5F210B9A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109220</wp:posOffset>
                </wp:positionV>
                <wp:extent cx="4522470" cy="215900"/>
                <wp:effectExtent l="0" t="0" r="3810" b="12700"/>
                <wp:wrapTopAndBottom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247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549C">
                            <w:pPr>
                              <w:pStyle w:val="5"/>
                              <w:jc w:val="center"/>
                            </w:pPr>
                            <w:r>
                              <w:t xml:space="preserve">图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图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280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02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5RAM分配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5pt;margin-top:8.6pt;height:17pt;width:356.1pt;mso-wrap-distance-bottom:0pt;mso-wrap-distance-top:0pt;z-index:251659264;mso-width-relative:page;mso-height-relative:page;" fillcolor="#FFFFFF [3201]" filled="t" stroked="f" coordsize="21600,21600" o:gfxdata="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yA6cLbAAAACwEAAA8AAAAAAAAA&#10;AQAgAAAAIgAAAGRycy9kb3ducmV2LnhtbFBLAQIUABQAAAAIAIdO4kBmZt0mRwIAAH8EAAAOAAAA&#10;AAAAAAEAIAAAACo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C01549C">
                      <w:pPr>
                        <w:pStyle w:val="5"/>
                        <w:jc w:val="center"/>
                      </w:pPr>
                      <w:r>
                        <w:t xml:space="preserve">图 </w:t>
                      </w:r>
                      <w:r>
                        <w:fldChar w:fldCharType="begin"/>
                      </w:r>
                      <w:r>
                        <w:instrText xml:space="preserve"> SEQ 图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280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02</w:t>
                      </w:r>
                      <w:r>
                        <w:rPr>
                          <w:rFonts w:hint="eastAsia"/>
                          <w:lang w:eastAsia="zh-CN"/>
                        </w:rPr>
                        <w:t>5RAM分配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925705D"/>
    <w:p w14:paraId="6BE0FBDA">
      <w:r>
        <w:drawing>
          <wp:inline distT="0" distB="0" distL="114300" distR="114300">
            <wp:extent cx="5269865" cy="2309495"/>
            <wp:effectExtent l="0" t="0" r="3175" b="698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DD40">
      <w:pPr>
        <w:pStyle w:val="5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AVP32F</w:t>
      </w:r>
      <w:r>
        <w:rPr>
          <w:rFonts w:hint="eastAsia"/>
          <w:lang w:val="en-US" w:eastAsia="zh-CN"/>
        </w:rPr>
        <w:t>00157</w:t>
      </w:r>
      <w:r>
        <w:rPr>
          <w:rFonts w:hint="eastAsia"/>
          <w:lang w:eastAsia="zh-CN"/>
        </w:rPr>
        <w:t>RAM分配</w:t>
      </w:r>
    </w:p>
    <w:p w14:paraId="7321A481"/>
    <w:p w14:paraId="78054083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Ti280025与</w:t>
      </w:r>
      <w:r>
        <w:rPr>
          <w:rFonts w:hint="eastAsia" w:ascii="宋体" w:hAnsi="宋体" w:eastAsia="宋体"/>
          <w:sz w:val="24"/>
          <w:szCs w:val="28"/>
        </w:rPr>
        <w:t>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00157相比，FLASH改动异同点如下：</w:t>
      </w:r>
    </w:p>
    <w:p w14:paraId="6A2C73E9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TI的280025FLASH大小是128KB，而AVP32F00157FLASH大小是256KB</w:t>
      </w:r>
    </w:p>
    <w:p w14:paraId="4C7FC957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280025的FLASH扇区一共有16块，每一块大小是4KW。地址从0x8000-0x8FFF</w:t>
      </w:r>
    </w:p>
    <w:p w14:paraId="1AFB3D79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AVP32F00157的FLASH扇区一共有128块，每一块大小是1KW。其中扇区0-扇区63和280025的扇区地址一样，都是从0x8000-0x8FFF。扇区64-扇区127，地址从0x9000-0x9FFF。FLASH这一块是完全覆盖的，如果没拓展的需求cmd可以不用更改。</w:t>
      </w:r>
    </w:p>
    <w:p w14:paraId="74CDBABE">
      <w:r>
        <w:drawing>
          <wp:inline distT="0" distB="0" distL="114300" distR="114300">
            <wp:extent cx="4831715" cy="3147060"/>
            <wp:effectExtent l="0" t="0" r="14605" b="762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6D1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图3-280025FLASH扇区分配</w:t>
      </w:r>
    </w:p>
    <w:p w14:paraId="787A3781">
      <w:pPr>
        <w:jc w:val="center"/>
      </w:pPr>
      <w:bookmarkStart w:id="0" w:name="_GoBack"/>
      <w:r>
        <w:drawing>
          <wp:inline distT="0" distB="0" distL="114300" distR="114300">
            <wp:extent cx="4038600" cy="4178935"/>
            <wp:effectExtent l="0" t="0" r="0" b="1206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5E96110">
      <w:pPr>
        <w:jc w:val="center"/>
      </w:pPr>
      <w:r>
        <w:rPr>
          <w:rFonts w:hint="eastAsia"/>
          <w:lang w:val="en-US" w:eastAsia="zh-CN"/>
        </w:rPr>
        <w:t>图4-</w:t>
      </w:r>
      <w:r>
        <w:rPr>
          <w:rFonts w:hint="eastAsia" w:ascii="宋体" w:hAnsi="宋体" w:eastAsia="宋体"/>
          <w:sz w:val="24"/>
          <w:szCs w:val="28"/>
        </w:rPr>
        <w:t>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00157部分FLASH扇区分配</w:t>
      </w:r>
      <w:r>
        <w:br w:type="page"/>
      </w:r>
    </w:p>
    <w:p w14:paraId="046CFDF2">
      <w:pPr>
        <w:jc w:val="center"/>
      </w:pPr>
    </w:p>
    <w:p w14:paraId="0DD88C68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FLASH配置</w:t>
      </w:r>
    </w:p>
    <w:p w14:paraId="1DBF9CF8">
      <w:pPr>
        <w:spacing w:line="400" w:lineRule="exact"/>
        <w:ind w:firstLine="420" w:firstLineChars="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由于Ti的28075单核系列的FLASH执行速度比双核快，我司在FRDCNTL[RWAIT]上面默认+3。标准读取模式和复位后的默认读取模式，每次对闪存的读取访问将在RWAIT+1个时钟周期后返回。Prefetch mode:  提升线性代码的执行效率  Data cache: 提升数据空间读取性能，当RWAIT为零时，预取和数据缓存均被绕过。</w:t>
      </w:r>
    </w:p>
    <w:p w14:paraId="77D07F39"/>
    <w:p w14:paraId="7FFC8421">
      <w:pPr>
        <w:pStyle w:val="5"/>
        <w:jc w:val="center"/>
      </w:pPr>
      <w:r>
        <w:drawing>
          <wp:inline distT="0" distB="0" distL="114300" distR="114300">
            <wp:extent cx="3134360" cy="2535555"/>
            <wp:effectExtent l="0" t="0" r="5080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645A">
      <w:p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使能预取缓冲和数据缓冲提升代码效率</w:t>
      </w:r>
    </w:p>
    <w:p w14:paraId="6127B12A">
      <w:pPr>
        <w:pStyle w:val="5"/>
        <w:rPr>
          <w:rFonts w:hint="eastAsia"/>
          <w:lang w:eastAsia="zh-CN"/>
        </w:rPr>
      </w:pPr>
    </w:p>
    <w:p w14:paraId="280E823B">
      <w:pPr>
        <w:ind w:firstLine="420" w:firstLineChars="0"/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由于FLASH读取时间长，客户在运行FLASH中占用率比较高的程序时可能会出现芯片异常跑飞的情况，</w:t>
      </w:r>
      <w:r>
        <w:rPr>
          <w:rFonts w:hint="eastAsia" w:ascii="宋体" w:hAnsi="宋体" w:eastAsia="宋体" w:cstheme="minorBidi"/>
          <w:b/>
          <w:bCs/>
          <w:kern w:val="2"/>
          <w:sz w:val="24"/>
          <w:szCs w:val="28"/>
          <w:lang w:val="en-US" w:eastAsia="zh-CN" w:bidi="ar-SA"/>
        </w:rPr>
        <w:t>对于该问题需要定位跑飞的函数，并将其Memcpy到RAM中运行，就不会因为flash读取时间长而跑飞，这也是移植的主要工作</w:t>
      </w: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。</w:t>
      </w:r>
    </w:p>
    <w:p w14:paraId="589E348E">
      <w:pPr>
        <w:ind w:firstLine="420" w:firstLineChars="0"/>
        <w:rPr>
          <w:rFonts w:hint="default" w:ascii="宋体" w:hAnsi="宋体" w:eastAsia="宋体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示例如下：</w:t>
      </w:r>
    </w:p>
    <w:p w14:paraId="48AF9BA7">
      <w:r>
        <w:drawing>
          <wp:inline distT="0" distB="0" distL="114300" distR="114300">
            <wp:extent cx="3094990" cy="1600200"/>
            <wp:effectExtent l="0" t="0" r="1397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521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79315" cy="1184910"/>
            <wp:effectExtent l="0" t="0" r="14605" b="381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EA02">
      <w:pPr>
        <w:rPr>
          <w:rFonts w:hint="default"/>
          <w:lang w:val="en-US" w:eastAsia="zh-CN"/>
        </w:rPr>
      </w:pPr>
    </w:p>
    <w:p w14:paraId="1EE2431A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芯片区分</w:t>
      </w:r>
    </w:p>
    <w:p w14:paraId="6DC09467">
      <w:pPr>
        <w:rPr>
          <w:rFonts w:hint="eastAsia"/>
        </w:rPr>
      </w:pPr>
      <w:r>
        <w:rPr>
          <w:rFonts w:hint="eastAsia"/>
        </w:rPr>
        <w:t>通过读取Unique ID 0x700E8地址的数据区分我司芯片和竞品芯片</w:t>
      </w:r>
    </w:p>
    <w:p w14:paraId="384DB801">
      <w:pPr>
        <w:rPr>
          <w:rFonts w:hint="eastAsia"/>
        </w:rPr>
      </w:pPr>
      <w:r>
        <w:rPr>
          <w:rFonts w:hint="eastAsia"/>
        </w:rPr>
        <w:t>TI为固定0xFFFFFFFF          ADVCHIP为非FFFFFFFF</w:t>
      </w:r>
    </w:p>
    <w:p w14:paraId="25310AE9">
      <w:r>
        <w:drawing>
          <wp:inline distT="0" distB="0" distL="114300" distR="114300">
            <wp:extent cx="4838065" cy="1605280"/>
            <wp:effectExtent l="0" t="0" r="825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C03E">
      <w:pPr>
        <w:keepNext/>
        <w:keepLines/>
        <w:widowControl/>
        <w:numPr>
          <w:ilvl w:val="0"/>
          <w:numId w:val="2"/>
        </w:numPr>
        <w:adjustRightInd w:val="0"/>
        <w:snapToGrid w:val="0"/>
        <w:spacing w:line="240" w:lineRule="atLeast"/>
        <w:ind w:left="420" w:leftChars="0" w:hanging="420" w:firstLine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  <w:t>CANFD</w:t>
      </w:r>
    </w:p>
    <w:p w14:paraId="4AB8F2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进芯AVP32F379D系列内部搭载CANFD外设，默认不启用，</w:t>
      </w:r>
      <w:r>
        <w:rPr>
          <w:rFonts w:hint="eastAsia"/>
          <w:b/>
          <w:bCs/>
          <w:lang w:val="en-US" w:eastAsia="zh-CN"/>
        </w:rPr>
        <w:t>与普通CAN共用IO口，因此客户只能选择CAN/CANFD，无法同时满足</w:t>
      </w:r>
      <w:r>
        <w:rPr>
          <w:rFonts w:hint="eastAsia"/>
          <w:lang w:val="en-US" w:eastAsia="zh-CN"/>
        </w:rPr>
        <w:t>。如客户需要CANFD通讯，详情配置参考《AVP32F379 CANFD技术参考手册》</w:t>
      </w:r>
    </w:p>
    <w:p w14:paraId="404D0B3C"/>
    <w:p w14:paraId="30C09C9D">
      <w:pPr>
        <w:keepNext/>
        <w:keepLines/>
        <w:widowControl/>
        <w:numPr>
          <w:ilvl w:val="0"/>
          <w:numId w:val="2"/>
        </w:numPr>
        <w:adjustRightInd w:val="0"/>
        <w:snapToGrid w:val="0"/>
        <w:spacing w:line="240" w:lineRule="atLeast"/>
        <w:ind w:left="420" w:leftChars="0" w:hanging="420" w:firstLine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  <w:t>差异总结</w:t>
      </w:r>
    </w:p>
    <w:p w14:paraId="4844C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进芯AVP32F379D替换2807x系列主要以下方面：</w:t>
      </w:r>
    </w:p>
    <w:p w14:paraId="4D2C3ED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硬件上Pin2Pin，单电源供电兼容，双电源供电需要降低内核为1.1v；</w:t>
      </w:r>
    </w:p>
    <w:p w14:paraId="71FDABD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软件主要烧录选择379D型号，烧录后运行看是否有跑飞情况，如果有则定位函数并搬运RAM运行；</w:t>
      </w:r>
    </w:p>
    <w:p w14:paraId="6C61D03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由于FLASH响应速度慢，按照建议修改flash初始化函数；</w:t>
      </w:r>
    </w:p>
    <w:p w14:paraId="100C844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AVP32F379D特别支持CANFD模块，与普通CAN口共用IO；</w:t>
      </w:r>
    </w:p>
    <w:p w14:paraId="1132383B">
      <w:pPr>
        <w:keepNext/>
        <w:keepLines/>
        <w:widowControl/>
        <w:numPr>
          <w:ilvl w:val="0"/>
          <w:numId w:val="0"/>
        </w:numPr>
        <w:adjustRightInd w:val="0"/>
        <w:snapToGrid w:val="0"/>
        <w:spacing w:line="240" w:lineRule="atLeast"/>
        <w:ind w:left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</w:p>
    <w:p w14:paraId="12EE124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3454D"/>
    <w:multiLevelType w:val="singleLevel"/>
    <w:tmpl w:val="C333454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04EBD"/>
    <w:rsid w:val="02B64B57"/>
    <w:rsid w:val="033A3FD2"/>
    <w:rsid w:val="0383540B"/>
    <w:rsid w:val="04001E75"/>
    <w:rsid w:val="040208F1"/>
    <w:rsid w:val="06A765D7"/>
    <w:rsid w:val="08273E74"/>
    <w:rsid w:val="09532A47"/>
    <w:rsid w:val="0A9C65DA"/>
    <w:rsid w:val="0BF7590B"/>
    <w:rsid w:val="0C41302A"/>
    <w:rsid w:val="0C8F3D96"/>
    <w:rsid w:val="0C905CEC"/>
    <w:rsid w:val="0CA41630"/>
    <w:rsid w:val="0EA37229"/>
    <w:rsid w:val="0F276507"/>
    <w:rsid w:val="0F626428"/>
    <w:rsid w:val="0FED6912"/>
    <w:rsid w:val="11B36C2B"/>
    <w:rsid w:val="13B10A95"/>
    <w:rsid w:val="14694158"/>
    <w:rsid w:val="14ED3D4F"/>
    <w:rsid w:val="19094ED0"/>
    <w:rsid w:val="192166BD"/>
    <w:rsid w:val="195C14A3"/>
    <w:rsid w:val="1A0941FF"/>
    <w:rsid w:val="1AC76DF0"/>
    <w:rsid w:val="1B1C0EEA"/>
    <w:rsid w:val="1D152095"/>
    <w:rsid w:val="1DAF4298"/>
    <w:rsid w:val="1DD17EB9"/>
    <w:rsid w:val="1F0E4FEE"/>
    <w:rsid w:val="22794E74"/>
    <w:rsid w:val="22B1460E"/>
    <w:rsid w:val="23955CDE"/>
    <w:rsid w:val="24741D97"/>
    <w:rsid w:val="25034EC9"/>
    <w:rsid w:val="27315D1D"/>
    <w:rsid w:val="27D668C5"/>
    <w:rsid w:val="29193321"/>
    <w:rsid w:val="29B36EBE"/>
    <w:rsid w:val="2A077209"/>
    <w:rsid w:val="2A4D10C0"/>
    <w:rsid w:val="2B4F2C14"/>
    <w:rsid w:val="2BEE242F"/>
    <w:rsid w:val="2D460049"/>
    <w:rsid w:val="2D8017AD"/>
    <w:rsid w:val="2D8C79DE"/>
    <w:rsid w:val="2DD613CD"/>
    <w:rsid w:val="2FBC45F2"/>
    <w:rsid w:val="31774C75"/>
    <w:rsid w:val="322A7F39"/>
    <w:rsid w:val="32AA2E28"/>
    <w:rsid w:val="33576B0C"/>
    <w:rsid w:val="34C5219B"/>
    <w:rsid w:val="36415851"/>
    <w:rsid w:val="377864C4"/>
    <w:rsid w:val="3CA01523"/>
    <w:rsid w:val="3E8A248B"/>
    <w:rsid w:val="42D57A4D"/>
    <w:rsid w:val="44C3308A"/>
    <w:rsid w:val="462C5DCF"/>
    <w:rsid w:val="464C5330"/>
    <w:rsid w:val="483B3442"/>
    <w:rsid w:val="49867CF3"/>
    <w:rsid w:val="4A821FE5"/>
    <w:rsid w:val="4ABB577A"/>
    <w:rsid w:val="4ABD14F2"/>
    <w:rsid w:val="4C2A0E0A"/>
    <w:rsid w:val="4F994AAB"/>
    <w:rsid w:val="51477D68"/>
    <w:rsid w:val="5165559D"/>
    <w:rsid w:val="51D610EC"/>
    <w:rsid w:val="52090AEC"/>
    <w:rsid w:val="521C2FA3"/>
    <w:rsid w:val="52A91859"/>
    <w:rsid w:val="52FE4D9E"/>
    <w:rsid w:val="548A31C0"/>
    <w:rsid w:val="55F945BC"/>
    <w:rsid w:val="576B119C"/>
    <w:rsid w:val="58847AF3"/>
    <w:rsid w:val="58C93758"/>
    <w:rsid w:val="59396B30"/>
    <w:rsid w:val="59FB52EE"/>
    <w:rsid w:val="5A4A2677"/>
    <w:rsid w:val="5A5B3400"/>
    <w:rsid w:val="5BCB77E7"/>
    <w:rsid w:val="5C0105D6"/>
    <w:rsid w:val="5C0143CB"/>
    <w:rsid w:val="5D635F29"/>
    <w:rsid w:val="5D6677C8"/>
    <w:rsid w:val="5F294F51"/>
    <w:rsid w:val="5F622211"/>
    <w:rsid w:val="5FBF2C42"/>
    <w:rsid w:val="62EC5F8E"/>
    <w:rsid w:val="62F87114"/>
    <w:rsid w:val="66060CAC"/>
    <w:rsid w:val="68F73C7F"/>
    <w:rsid w:val="6949691B"/>
    <w:rsid w:val="69541A4E"/>
    <w:rsid w:val="6A154A4F"/>
    <w:rsid w:val="6C9854C4"/>
    <w:rsid w:val="6CE81DB6"/>
    <w:rsid w:val="6F1928EC"/>
    <w:rsid w:val="70DA42FD"/>
    <w:rsid w:val="72216D65"/>
    <w:rsid w:val="72D815ED"/>
    <w:rsid w:val="73AD7AA7"/>
    <w:rsid w:val="7428537F"/>
    <w:rsid w:val="75E672A0"/>
    <w:rsid w:val="769767EC"/>
    <w:rsid w:val="76FD2AF3"/>
    <w:rsid w:val="772269FE"/>
    <w:rsid w:val="79226841"/>
    <w:rsid w:val="79C142AC"/>
    <w:rsid w:val="7B7C39C7"/>
    <w:rsid w:val="7C2D79D7"/>
    <w:rsid w:val="7C684EB3"/>
    <w:rsid w:val="7CAD2058"/>
    <w:rsid w:val="7EF02F3D"/>
    <w:rsid w:val="7F3E1EFB"/>
    <w:rsid w:val="7FD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844</Words>
  <Characters>1276</Characters>
  <Lines>0</Lines>
  <Paragraphs>0</Paragraphs>
  <TotalTime>2</TotalTime>
  <ScaleCrop>false</ScaleCrop>
  <LinksUpToDate>false</LinksUpToDate>
  <CharactersWithSpaces>1337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2026-05-18T01:15:00Z</dcterms:created>
  <dc:creator>xu_ziyang</dc:creator>
  <cp:lastModifiedBy>Skate</cp:lastModifiedBy>
  <dcterms:modified xsi:type="dcterms:W3CDTF">2026-07-03T06:16:05Z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eyJoZGlkIjoiNWRiN2EzOTIwNTFkMWRjYjlhM2M2MjEwMTAzOTAyMTAiLCJ1c2VySWQiOiI5MzUyMjAzOTAifQ==</vt:lpwstr>
  </property>
  <property fmtid="{D5CDD505-2E9C-101B-9397-08002B2CF9AE}" pid="4" name="ICV">
    <vt:lpwstr>DBE10E2BE37C4D32BC08FF5C4F0F851C_12</vt:lpwstr>
  </property>
</Properties>
</file>