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49338A">
      <w:pPr>
        <w:pStyle w:val="2"/>
        <w:rPr>
          <w:sz w:val="48"/>
          <w:szCs w:val="48"/>
        </w:rPr>
      </w:pPr>
    </w:p>
    <w:p w14:paraId="0D8DF5B1"/>
    <w:p w14:paraId="63E875F6">
      <w:pPr>
        <w:pStyle w:val="2"/>
        <w:spacing w:before="468" w:beforeLines="150" w:after="468" w:afterLines="150" w:line="460" w:lineRule="exact"/>
        <w:rPr>
          <w:rFonts w:ascii="微软雅黑" w:hAnsi="微软雅黑" w:eastAsia="微软雅黑"/>
          <w:sz w:val="44"/>
          <w:szCs w:val="44"/>
        </w:rPr>
      </w:pPr>
      <w:r>
        <w:rPr>
          <w:rFonts w:hint="eastAsia" w:ascii="微软雅黑" w:hAnsi="微软雅黑" w:eastAsia="微软雅黑"/>
          <w:sz w:val="44"/>
          <w:szCs w:val="44"/>
        </w:rPr>
        <w:t>从F280</w:t>
      </w:r>
      <w:r>
        <w:rPr>
          <w:rFonts w:hint="eastAsia" w:ascii="微软雅黑" w:hAnsi="微软雅黑" w:eastAsia="微软雅黑"/>
          <w:sz w:val="44"/>
          <w:szCs w:val="44"/>
          <w:lang w:val="en-US" w:eastAsia="zh-CN"/>
        </w:rPr>
        <w:t>025</w:t>
      </w:r>
      <w:r>
        <w:rPr>
          <w:rFonts w:hint="eastAsia" w:ascii="微软雅黑" w:hAnsi="微软雅黑" w:eastAsia="微软雅黑"/>
          <w:sz w:val="44"/>
          <w:szCs w:val="44"/>
        </w:rPr>
        <w:t>移到A</w:t>
      </w:r>
      <w:r>
        <w:rPr>
          <w:rFonts w:hint="eastAsia" w:ascii="微软雅黑" w:hAnsi="微软雅黑" w:eastAsia="微软雅黑"/>
          <w:sz w:val="44"/>
          <w:szCs w:val="44"/>
          <w:lang w:val="en-US" w:eastAsia="zh-CN"/>
        </w:rPr>
        <w:t>V</w:t>
      </w:r>
      <w:r>
        <w:rPr>
          <w:rFonts w:ascii="微软雅黑" w:hAnsi="微软雅黑" w:eastAsia="微软雅黑"/>
          <w:sz w:val="44"/>
          <w:szCs w:val="44"/>
        </w:rPr>
        <w:t>P32F0</w:t>
      </w:r>
      <w:r>
        <w:rPr>
          <w:rFonts w:hint="eastAsia" w:ascii="微软雅黑" w:hAnsi="微软雅黑" w:eastAsia="微软雅黑"/>
          <w:sz w:val="44"/>
          <w:szCs w:val="44"/>
          <w:lang w:val="en-US" w:eastAsia="zh-CN"/>
        </w:rPr>
        <w:t>03X</w:t>
      </w:r>
      <w:r>
        <w:rPr>
          <w:rFonts w:hint="eastAsia" w:ascii="微软雅黑" w:hAnsi="微软雅黑" w:eastAsia="微软雅黑"/>
          <w:sz w:val="44"/>
          <w:szCs w:val="44"/>
        </w:rPr>
        <w:t>工程概要</w:t>
      </w:r>
    </w:p>
    <w:p w14:paraId="26EDEAF8">
      <w:pPr>
        <w:pStyle w:val="2"/>
        <w:spacing w:before="468" w:beforeLines="150" w:after="468" w:afterLines="150" w:line="460" w:lineRule="exact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 xml:space="preserve">版本 </w:t>
      </w:r>
      <w:r>
        <w:rPr>
          <w:rFonts w:ascii="微软雅黑" w:hAnsi="微软雅黑" w:eastAsia="微软雅黑"/>
        </w:rPr>
        <w:t>V</w:t>
      </w:r>
      <w:r>
        <w:rPr>
          <w:rFonts w:hint="eastAsia" w:ascii="微软雅黑" w:hAnsi="微软雅黑" w:eastAsia="微软雅黑"/>
        </w:rPr>
        <w:t>1.0</w:t>
      </w:r>
    </w:p>
    <w:p w14:paraId="22D686AD">
      <w:pPr>
        <w:pStyle w:val="2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应用指导</w:t>
      </w:r>
    </w:p>
    <w:p w14:paraId="289FB7BC"/>
    <w:p w14:paraId="538DE1FF">
      <w:pPr>
        <w:jc w:val="center"/>
      </w:pPr>
      <w:r>
        <w:drawing>
          <wp:inline distT="0" distB="0" distL="114300" distR="114300">
            <wp:extent cx="3832225" cy="1550670"/>
            <wp:effectExtent l="0" t="0" r="0" b="0"/>
            <wp:docPr id="18" name="图片 17" descr="65f91e9ede8511ff8378a49e0fde4c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7" descr="65f91e9ede8511ff8378a49e0fde4cc"/>
                    <pic:cNvPicPr>
                      <a:picLocks noChangeAspect="1"/>
                    </pic:cNvPicPr>
                  </pic:nvPicPr>
                  <pic:blipFill>
                    <a:blip r:embed="rId4"/>
                    <a:srcRect t="23916" b="22003"/>
                    <a:stretch>
                      <a:fillRect/>
                    </a:stretch>
                  </pic:blipFill>
                  <pic:spPr>
                    <a:xfrm>
                      <a:off x="0" y="0"/>
                      <a:ext cx="3832225" cy="155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5B572"/>
    <w:p w14:paraId="1B83B138"/>
    <w:p w14:paraId="04621122"/>
    <w:p w14:paraId="2E564F44"/>
    <w:p w14:paraId="5833C4AB"/>
    <w:p w14:paraId="11550884"/>
    <w:p w14:paraId="2FFCB9C7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 </w:t>
      </w:r>
      <w:r>
        <w:rPr>
          <w:rFonts w:hint="eastAsia"/>
          <w:b/>
          <w:bCs/>
          <w:sz w:val="32"/>
          <w:szCs w:val="32"/>
          <w:lang w:val="en-US" w:eastAsia="zh-CN"/>
        </w:rPr>
        <w:t>2025年4月</w:t>
      </w:r>
    </w:p>
    <w:p w14:paraId="5EDEACBC"/>
    <w:p w14:paraId="4E62A70D"/>
    <w:p w14:paraId="7E184F4E">
      <w:pPr>
        <w:pStyle w:val="4"/>
        <w:ind w:firstLine="2241" w:firstLineChars="700"/>
        <w:jc w:val="both"/>
        <w:rPr>
          <w:sz w:val="32"/>
          <w:szCs w:val="32"/>
        </w:rPr>
      </w:pPr>
      <w:r>
        <w:rPr>
          <w:rFonts w:hint="eastAsia"/>
          <w:sz w:val="32"/>
          <w:szCs w:val="32"/>
          <w:lang w:val="en-US" w:eastAsia="zh-CN"/>
        </w:rPr>
        <w:t>杭州保威智能</w:t>
      </w:r>
      <w:r>
        <w:rPr>
          <w:rFonts w:hint="eastAsia"/>
          <w:sz w:val="32"/>
          <w:szCs w:val="32"/>
        </w:rPr>
        <w:t>科技有限公司</w:t>
      </w:r>
    </w:p>
    <w:p w14:paraId="2B8603B6"/>
    <w:p w14:paraId="43E71189">
      <w:pPr>
        <w:pStyle w:val="2"/>
        <w:rPr>
          <w:rFonts w:hint="default" w:eastAsiaTheme="minorEastAsia"/>
          <w:lang w:val="en-US" w:eastAsia="zh-CN"/>
        </w:rPr>
      </w:pPr>
      <w:r>
        <w:br w:type="page"/>
      </w:r>
    </w:p>
    <w:p w14:paraId="1BEAAB98">
      <w:pPr>
        <w:pStyle w:val="3"/>
        <w:numPr>
          <w:ilvl w:val="0"/>
          <w:numId w:val="1"/>
        </w:numPr>
        <w:spacing w:before="156" w:beforeLines="50" w:after="156" w:afterLines="50" w:line="400" w:lineRule="exact"/>
        <w:ind w:left="0" w:firstLine="0"/>
        <w:rPr>
          <w:rFonts w:ascii="微软雅黑" w:hAnsi="微软雅黑" w:eastAsia="微软雅黑"/>
          <w:sz w:val="30"/>
          <w:szCs w:val="30"/>
        </w:rPr>
      </w:pPr>
      <w:r>
        <w:rPr>
          <w:rFonts w:hint="eastAsia" w:ascii="微软雅黑" w:hAnsi="微软雅黑" w:eastAsia="微软雅黑"/>
          <w:sz w:val="30"/>
          <w:szCs w:val="30"/>
        </w:rPr>
        <w:t>概述</w:t>
      </w:r>
    </w:p>
    <w:p w14:paraId="7182735C">
      <w:pPr>
        <w:spacing w:line="400" w:lineRule="exact"/>
        <w:ind w:firstLine="480" w:firstLineChars="200"/>
        <w:rPr>
          <w:rFonts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本文档将重点阐述F280</w:t>
      </w:r>
      <w:r>
        <w:rPr>
          <w:rFonts w:hint="eastAsia" w:ascii="宋体" w:hAnsi="宋体" w:eastAsia="宋体"/>
          <w:sz w:val="24"/>
          <w:szCs w:val="28"/>
          <w:lang w:val="en-US" w:eastAsia="zh-CN"/>
        </w:rPr>
        <w:t>025</w:t>
      </w:r>
      <w:r>
        <w:rPr>
          <w:rFonts w:hint="eastAsia" w:ascii="宋体" w:hAnsi="宋体" w:eastAsia="宋体"/>
          <w:sz w:val="24"/>
          <w:szCs w:val="28"/>
        </w:rPr>
        <w:t>与A</w:t>
      </w:r>
      <w:r>
        <w:rPr>
          <w:rFonts w:hint="eastAsia" w:ascii="宋体" w:hAnsi="宋体" w:eastAsia="宋体"/>
          <w:sz w:val="24"/>
          <w:szCs w:val="28"/>
          <w:lang w:val="en-US" w:eastAsia="zh-CN"/>
        </w:rPr>
        <w:t>V</w:t>
      </w:r>
      <w:r>
        <w:rPr>
          <w:rFonts w:ascii="宋体" w:hAnsi="宋体" w:eastAsia="宋体"/>
          <w:sz w:val="24"/>
          <w:szCs w:val="28"/>
        </w:rPr>
        <w:t>P32F0</w:t>
      </w:r>
      <w:r>
        <w:rPr>
          <w:rFonts w:hint="eastAsia" w:ascii="宋体" w:hAnsi="宋体" w:eastAsia="宋体"/>
          <w:sz w:val="24"/>
          <w:szCs w:val="28"/>
          <w:lang w:val="en-US" w:eastAsia="zh-CN"/>
        </w:rPr>
        <w:t>03x</w:t>
      </w:r>
      <w:r>
        <w:rPr>
          <w:rFonts w:hint="eastAsia" w:ascii="宋体" w:hAnsi="宋体" w:eastAsia="宋体"/>
          <w:sz w:val="24"/>
          <w:szCs w:val="28"/>
        </w:rPr>
        <w:t>的差异性，以支持客户快速移植。行文将重点介绍两款芯片在应用或测试中关键注意点，如用户对具体功能模块有进一步了解需要，可查阅相应产品规格书。</w:t>
      </w:r>
    </w:p>
    <w:p w14:paraId="65957008">
      <w:pPr>
        <w:pStyle w:val="3"/>
        <w:numPr>
          <w:ilvl w:val="0"/>
          <w:numId w:val="1"/>
        </w:numPr>
        <w:spacing w:before="156" w:beforeLines="50" w:after="156" w:afterLines="50" w:line="400" w:lineRule="exact"/>
        <w:ind w:left="0" w:firstLine="0"/>
        <w:rPr>
          <w:rFonts w:ascii="微软雅黑" w:hAnsi="微软雅黑" w:eastAsia="微软雅黑"/>
          <w:sz w:val="28"/>
          <w:szCs w:val="28"/>
        </w:rPr>
      </w:pPr>
      <w:r>
        <w:rPr>
          <w:rFonts w:hint="eastAsia" w:ascii="微软雅黑" w:hAnsi="微软雅黑" w:eastAsia="微软雅黑"/>
          <w:sz w:val="28"/>
          <w:szCs w:val="28"/>
        </w:rPr>
        <w:t>移植工程范围</w:t>
      </w:r>
    </w:p>
    <w:p w14:paraId="0DF5AE90">
      <w:pPr>
        <w:pStyle w:val="4"/>
        <w:numPr>
          <w:ilvl w:val="0"/>
          <w:numId w:val="2"/>
        </w:numPr>
      </w:pPr>
      <w:r>
        <w:rPr>
          <w:rFonts w:hint="eastAsia"/>
        </w:rPr>
        <w:t>器件资源差异性对比</w:t>
      </w:r>
    </w:p>
    <w:tbl>
      <w:tblPr>
        <w:tblStyle w:val="10"/>
        <w:tblW w:w="784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5"/>
        <w:gridCol w:w="2650"/>
        <w:gridCol w:w="3289"/>
      </w:tblGrid>
      <w:tr w14:paraId="3474B2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5" w:type="dxa"/>
            <w:vAlign w:val="center"/>
          </w:tcPr>
          <w:p w14:paraId="4BA42218">
            <w:pPr>
              <w:pStyle w:val="18"/>
              <w:ind w:firstLine="0" w:firstLineChars="0"/>
              <w:jc w:val="center"/>
              <w:rPr>
                <w:rFonts w:ascii="Times New Roman" w:hAnsi="Times New Roman" w:eastAsia="宋体" w:cs="Times New Roman"/>
                <w:sz w:val="22"/>
              </w:rPr>
            </w:pPr>
            <w:r>
              <w:rPr>
                <w:rFonts w:hint="eastAsia" w:ascii="Times New Roman" w:hAnsi="Times New Roman" w:eastAsia="宋体" w:cs="Times New Roman"/>
                <w:sz w:val="22"/>
              </w:rPr>
              <w:t>项点</w:t>
            </w:r>
          </w:p>
        </w:tc>
        <w:tc>
          <w:tcPr>
            <w:tcW w:w="2650" w:type="dxa"/>
            <w:vAlign w:val="center"/>
          </w:tcPr>
          <w:p w14:paraId="692F0B09">
            <w:pPr>
              <w:pStyle w:val="18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2"/>
                <w:lang w:eastAsia="zh-CN"/>
              </w:rPr>
            </w:pPr>
            <w:r>
              <w:rPr>
                <w:rFonts w:ascii="Times New Roman" w:hAnsi="Times New Roman" w:eastAsia="宋体" w:cs="Times New Roman"/>
                <w:sz w:val="22"/>
              </w:rPr>
              <w:t>F280</w:t>
            </w:r>
            <w:r>
              <w:rPr>
                <w:rFonts w:hint="eastAsia" w:ascii="Times New Roman" w:hAnsi="Times New Roman" w:eastAsia="宋体" w:cs="Times New Roman"/>
                <w:sz w:val="22"/>
                <w:lang w:val="en-US" w:eastAsia="zh-CN"/>
              </w:rPr>
              <w:t>025</w:t>
            </w:r>
          </w:p>
        </w:tc>
        <w:tc>
          <w:tcPr>
            <w:tcW w:w="3289" w:type="dxa"/>
            <w:vAlign w:val="center"/>
          </w:tcPr>
          <w:p w14:paraId="480F3389">
            <w:pPr>
              <w:pStyle w:val="18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2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2"/>
              </w:rPr>
              <w:t>A</w:t>
            </w:r>
            <w:r>
              <w:rPr>
                <w:rFonts w:hint="eastAsia" w:ascii="Times New Roman" w:hAnsi="Times New Roman" w:eastAsia="宋体" w:cs="Times New Roman"/>
                <w:sz w:val="22"/>
                <w:lang w:val="en-US" w:eastAsia="zh-CN"/>
              </w:rPr>
              <w:t>V</w:t>
            </w:r>
            <w:r>
              <w:rPr>
                <w:rFonts w:ascii="Times New Roman" w:hAnsi="Times New Roman" w:eastAsia="宋体" w:cs="Times New Roman"/>
                <w:sz w:val="22"/>
              </w:rPr>
              <w:t>P32F0</w:t>
            </w:r>
            <w:r>
              <w:rPr>
                <w:rFonts w:hint="eastAsia" w:ascii="Times New Roman" w:hAnsi="Times New Roman" w:eastAsia="宋体" w:cs="Times New Roman"/>
                <w:sz w:val="22"/>
                <w:lang w:val="en-US" w:eastAsia="zh-CN"/>
              </w:rPr>
              <w:t>03x</w:t>
            </w:r>
          </w:p>
        </w:tc>
      </w:tr>
      <w:tr w14:paraId="1AFDA5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8" w:hRule="exact"/>
          <w:jc w:val="center"/>
        </w:trPr>
        <w:tc>
          <w:tcPr>
            <w:tcW w:w="1905" w:type="dxa"/>
            <w:vAlign w:val="center"/>
          </w:tcPr>
          <w:p w14:paraId="53558AB4">
            <w:pPr>
              <w:pStyle w:val="18"/>
              <w:ind w:firstLine="0" w:firstLineChars="0"/>
              <w:jc w:val="center"/>
              <w:rPr>
                <w:rFonts w:ascii="Times New Roman" w:hAnsi="Times New Roman" w:eastAsia="宋体" w:cs="Times New Roman"/>
                <w:sz w:val="22"/>
              </w:rPr>
            </w:pPr>
            <w:r>
              <w:rPr>
                <w:rFonts w:hint="eastAsia" w:ascii="Times New Roman" w:hAnsi="Times New Roman" w:eastAsia="宋体" w:cs="Times New Roman"/>
                <w:sz w:val="22"/>
              </w:rPr>
              <w:t>芯片主频</w:t>
            </w:r>
            <w:r>
              <w:rPr>
                <w:rFonts w:ascii="Times New Roman" w:hAnsi="Times New Roman" w:eastAsia="宋体" w:cs="Times New Roman"/>
                <w:sz w:val="22"/>
              </w:rPr>
              <w:t>（MAX）</w:t>
            </w:r>
          </w:p>
        </w:tc>
        <w:tc>
          <w:tcPr>
            <w:tcW w:w="2650" w:type="dxa"/>
            <w:vAlign w:val="center"/>
          </w:tcPr>
          <w:p w14:paraId="5164BF1F">
            <w:pPr>
              <w:pStyle w:val="18"/>
              <w:ind w:firstLine="0" w:firstLineChars="0"/>
              <w:jc w:val="center"/>
              <w:rPr>
                <w:rFonts w:ascii="Times New Roman" w:hAnsi="Times New Roman" w:eastAsia="宋体" w:cs="Times New Roman"/>
                <w:sz w:val="22"/>
              </w:rPr>
            </w:pPr>
            <w:r>
              <w:rPr>
                <w:rFonts w:hint="eastAsia" w:ascii="Times New Roman" w:hAnsi="Times New Roman" w:eastAsia="宋体" w:cs="Times New Roman"/>
                <w:sz w:val="22"/>
                <w:lang w:val="en-US" w:eastAsia="zh-CN"/>
              </w:rPr>
              <w:t>100</w:t>
            </w:r>
            <w:r>
              <w:rPr>
                <w:rFonts w:ascii="Times New Roman" w:hAnsi="Times New Roman" w:eastAsia="宋体" w:cs="Times New Roman"/>
                <w:sz w:val="22"/>
              </w:rPr>
              <w:t>Mhz @ CORE1.</w:t>
            </w:r>
            <w:r>
              <w:rPr>
                <w:rFonts w:hint="eastAsia" w:ascii="Times New Roman" w:hAnsi="Times New Roman" w:eastAsia="宋体" w:cs="Times New Roman"/>
                <w:sz w:val="22"/>
                <w:lang w:val="en-US" w:eastAsia="zh-CN"/>
              </w:rPr>
              <w:t>2</w:t>
            </w:r>
            <w:r>
              <w:rPr>
                <w:rFonts w:ascii="Times New Roman" w:hAnsi="Times New Roman" w:eastAsia="宋体" w:cs="Times New Roman"/>
                <w:sz w:val="22"/>
              </w:rPr>
              <w:t>V</w:t>
            </w:r>
          </w:p>
        </w:tc>
        <w:tc>
          <w:tcPr>
            <w:tcW w:w="3289" w:type="dxa"/>
            <w:vAlign w:val="center"/>
          </w:tcPr>
          <w:p w14:paraId="4C1D530B">
            <w:pPr>
              <w:pStyle w:val="18"/>
              <w:ind w:firstLine="0" w:firstLineChars="0"/>
              <w:jc w:val="center"/>
              <w:rPr>
                <w:rFonts w:ascii="Times New Roman" w:hAnsi="Times New Roman" w:eastAsia="宋体" w:cs="Times New Roman"/>
                <w:sz w:val="22"/>
              </w:rPr>
            </w:pPr>
            <w:r>
              <w:rPr>
                <w:rFonts w:hint="eastAsia" w:ascii="Times New Roman" w:hAnsi="Times New Roman" w:eastAsia="宋体" w:cs="Times New Roman"/>
                <w:sz w:val="22"/>
                <w:lang w:val="en-US" w:eastAsia="zh-CN"/>
              </w:rPr>
              <w:t>120</w:t>
            </w:r>
            <w:r>
              <w:rPr>
                <w:rFonts w:ascii="Times New Roman" w:hAnsi="Times New Roman" w:eastAsia="宋体" w:cs="Times New Roman"/>
                <w:sz w:val="22"/>
              </w:rPr>
              <w:t>Mhz @ CORE1.</w:t>
            </w:r>
            <w:r>
              <w:rPr>
                <w:rFonts w:hint="eastAsia" w:ascii="Times New Roman" w:hAnsi="Times New Roman" w:eastAsia="宋体" w:cs="Times New Roman"/>
                <w:sz w:val="22"/>
                <w:lang w:val="en-US" w:eastAsia="zh-CN"/>
              </w:rPr>
              <w:t>1</w:t>
            </w:r>
            <w:r>
              <w:rPr>
                <w:rFonts w:ascii="Times New Roman" w:hAnsi="Times New Roman" w:eastAsia="宋体" w:cs="Times New Roman"/>
                <w:sz w:val="22"/>
              </w:rPr>
              <w:t>V</w:t>
            </w:r>
          </w:p>
        </w:tc>
      </w:tr>
      <w:tr w14:paraId="688F75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  <w:jc w:val="center"/>
        </w:trPr>
        <w:tc>
          <w:tcPr>
            <w:tcW w:w="1905" w:type="dxa"/>
            <w:vAlign w:val="center"/>
          </w:tcPr>
          <w:p w14:paraId="4D10143C">
            <w:pPr>
              <w:pStyle w:val="18"/>
              <w:ind w:firstLine="0" w:firstLineChars="0"/>
              <w:jc w:val="center"/>
              <w:rPr>
                <w:rFonts w:ascii="Times New Roman" w:hAnsi="Times New Roman" w:eastAsia="宋体" w:cs="Times New Roman"/>
                <w:sz w:val="22"/>
              </w:rPr>
            </w:pPr>
            <w:r>
              <w:rPr>
                <w:rFonts w:hint="eastAsia" w:ascii="Times New Roman" w:hAnsi="Times New Roman" w:eastAsia="宋体" w:cs="Times New Roman"/>
                <w:sz w:val="22"/>
              </w:rPr>
              <w:t>片内L</w:t>
            </w:r>
            <w:r>
              <w:rPr>
                <w:rFonts w:ascii="Times New Roman" w:hAnsi="Times New Roman" w:eastAsia="宋体" w:cs="Times New Roman"/>
                <w:sz w:val="22"/>
              </w:rPr>
              <w:t>DO</w:t>
            </w:r>
          </w:p>
        </w:tc>
        <w:tc>
          <w:tcPr>
            <w:tcW w:w="2650" w:type="dxa"/>
            <w:vAlign w:val="center"/>
          </w:tcPr>
          <w:p w14:paraId="0F4A957D">
            <w:pPr>
              <w:pStyle w:val="18"/>
              <w:ind w:firstLine="0" w:firstLineChars="0"/>
              <w:jc w:val="center"/>
              <w:rPr>
                <w:rFonts w:ascii="Times New Roman" w:hAnsi="Times New Roman" w:eastAsia="宋体" w:cs="Times New Roman"/>
                <w:sz w:val="22"/>
              </w:rPr>
            </w:pPr>
            <w:r>
              <w:rPr>
                <w:rFonts w:hint="eastAsia" w:ascii="Times New Roman" w:hAnsi="Times New Roman" w:eastAsia="宋体" w:cs="Times New Roman"/>
                <w:sz w:val="22"/>
              </w:rPr>
              <w:t>3</w:t>
            </w:r>
            <w:r>
              <w:rPr>
                <w:rFonts w:ascii="Times New Roman" w:hAnsi="Times New Roman" w:eastAsia="宋体" w:cs="Times New Roman"/>
                <w:sz w:val="22"/>
              </w:rPr>
              <w:t>.3/1.</w:t>
            </w:r>
            <w:r>
              <w:rPr>
                <w:rFonts w:hint="eastAsia" w:ascii="Times New Roman" w:hAnsi="Times New Roman" w:eastAsia="宋体" w:cs="Times New Roman"/>
                <w:sz w:val="22"/>
                <w:lang w:val="en-US" w:eastAsia="zh-CN"/>
              </w:rPr>
              <w:t>2</w:t>
            </w:r>
            <w:r>
              <w:rPr>
                <w:rFonts w:ascii="Times New Roman" w:hAnsi="Times New Roman" w:eastAsia="宋体" w:cs="Times New Roman"/>
                <w:sz w:val="22"/>
              </w:rPr>
              <w:t xml:space="preserve"> VREG</w:t>
            </w:r>
          </w:p>
        </w:tc>
        <w:tc>
          <w:tcPr>
            <w:tcW w:w="3289" w:type="dxa"/>
            <w:vAlign w:val="center"/>
          </w:tcPr>
          <w:p w14:paraId="3F9C71B6">
            <w:pPr>
              <w:pStyle w:val="18"/>
              <w:ind w:firstLine="0" w:firstLineChars="0"/>
              <w:jc w:val="center"/>
              <w:rPr>
                <w:rFonts w:ascii="Times New Roman" w:hAnsi="Times New Roman" w:eastAsia="宋体" w:cs="Times New Roman"/>
                <w:sz w:val="22"/>
              </w:rPr>
            </w:pPr>
            <w:r>
              <w:rPr>
                <w:rFonts w:hint="eastAsia" w:ascii="Times New Roman" w:hAnsi="Times New Roman" w:eastAsia="宋体" w:cs="Times New Roman"/>
                <w:sz w:val="22"/>
              </w:rPr>
              <w:t>3</w:t>
            </w:r>
            <w:r>
              <w:rPr>
                <w:rFonts w:ascii="Times New Roman" w:hAnsi="Times New Roman" w:eastAsia="宋体" w:cs="Times New Roman"/>
                <w:sz w:val="22"/>
              </w:rPr>
              <w:t>.3/1.</w:t>
            </w:r>
            <w:r>
              <w:rPr>
                <w:rFonts w:hint="eastAsia" w:ascii="Times New Roman" w:hAnsi="Times New Roman" w:eastAsia="宋体" w:cs="Times New Roman"/>
                <w:sz w:val="22"/>
                <w:lang w:val="en-US" w:eastAsia="zh-CN"/>
              </w:rPr>
              <w:t>1</w:t>
            </w:r>
            <w:r>
              <w:rPr>
                <w:rFonts w:ascii="Times New Roman" w:hAnsi="Times New Roman" w:eastAsia="宋体" w:cs="Times New Roman"/>
                <w:sz w:val="22"/>
              </w:rPr>
              <w:t xml:space="preserve"> VREG</w:t>
            </w:r>
          </w:p>
        </w:tc>
      </w:tr>
      <w:tr w14:paraId="179809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  <w:jc w:val="center"/>
        </w:trPr>
        <w:tc>
          <w:tcPr>
            <w:tcW w:w="1905" w:type="dxa"/>
            <w:vAlign w:val="center"/>
          </w:tcPr>
          <w:p w14:paraId="799D8961">
            <w:pPr>
              <w:pStyle w:val="18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2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2"/>
                <w:lang w:val="en-US" w:eastAsia="zh-CN"/>
              </w:rPr>
              <w:t>CLA</w:t>
            </w:r>
          </w:p>
        </w:tc>
        <w:tc>
          <w:tcPr>
            <w:tcW w:w="2650" w:type="dxa"/>
            <w:vAlign w:val="center"/>
          </w:tcPr>
          <w:p w14:paraId="50EE323B">
            <w:pPr>
              <w:pStyle w:val="18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22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2"/>
                <w:lang w:val="en-US" w:eastAsia="zh-CN"/>
              </w:rPr>
              <w:t>NA</w:t>
            </w:r>
          </w:p>
        </w:tc>
        <w:tc>
          <w:tcPr>
            <w:tcW w:w="3289" w:type="dxa"/>
            <w:vAlign w:val="center"/>
          </w:tcPr>
          <w:p w14:paraId="15CF232F">
            <w:pPr>
              <w:pStyle w:val="18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22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  <w:sz w:val="22"/>
                <w:lang w:val="en-US" w:eastAsia="zh-CN"/>
              </w:rPr>
              <w:t>0039YES/0036YES/0033NA</w:t>
            </w:r>
          </w:p>
        </w:tc>
      </w:tr>
      <w:tr w14:paraId="7FF0D3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  <w:jc w:val="center"/>
        </w:trPr>
        <w:tc>
          <w:tcPr>
            <w:tcW w:w="1905" w:type="dxa"/>
            <w:vAlign w:val="center"/>
          </w:tcPr>
          <w:p w14:paraId="5BEC6E0A">
            <w:pPr>
              <w:pStyle w:val="18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22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2"/>
                <w:lang w:val="en-US" w:eastAsia="zh-CN"/>
              </w:rPr>
              <w:t>存储</w:t>
            </w:r>
          </w:p>
        </w:tc>
        <w:tc>
          <w:tcPr>
            <w:tcW w:w="2650" w:type="dxa"/>
            <w:vAlign w:val="center"/>
          </w:tcPr>
          <w:p w14:paraId="00700C29">
            <w:pPr>
              <w:pStyle w:val="18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22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2"/>
                <w:lang w:val="en-US" w:eastAsia="zh-CN"/>
              </w:rPr>
              <w:t>128KB</w:t>
            </w:r>
          </w:p>
        </w:tc>
        <w:tc>
          <w:tcPr>
            <w:tcW w:w="3289" w:type="dxa"/>
            <w:vAlign w:val="center"/>
          </w:tcPr>
          <w:p w14:paraId="7040AB82">
            <w:pPr>
              <w:pStyle w:val="18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22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2"/>
                <w:lang w:val="en-US" w:eastAsia="zh-CN"/>
              </w:rPr>
              <w:t>384K</w:t>
            </w:r>
          </w:p>
        </w:tc>
      </w:tr>
      <w:tr w14:paraId="7C9126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  <w:jc w:val="center"/>
        </w:trPr>
        <w:tc>
          <w:tcPr>
            <w:tcW w:w="1905" w:type="dxa"/>
            <w:vAlign w:val="center"/>
          </w:tcPr>
          <w:p w14:paraId="272042CB">
            <w:pPr>
              <w:pStyle w:val="18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22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2"/>
                <w:lang w:val="en-US" w:eastAsia="zh-CN"/>
              </w:rPr>
              <w:t>RAM</w:t>
            </w:r>
          </w:p>
        </w:tc>
        <w:tc>
          <w:tcPr>
            <w:tcW w:w="2650" w:type="dxa"/>
            <w:vAlign w:val="center"/>
          </w:tcPr>
          <w:p w14:paraId="20EA0735">
            <w:pPr>
              <w:pStyle w:val="18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22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2"/>
                <w:lang w:val="en-US" w:eastAsia="zh-CN"/>
              </w:rPr>
              <w:t>24KB</w:t>
            </w:r>
          </w:p>
        </w:tc>
        <w:tc>
          <w:tcPr>
            <w:tcW w:w="3289" w:type="dxa"/>
            <w:vAlign w:val="center"/>
          </w:tcPr>
          <w:p w14:paraId="69356713">
            <w:pPr>
              <w:pStyle w:val="18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22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2"/>
                <w:lang w:val="en-US" w:eastAsia="zh-CN"/>
              </w:rPr>
              <w:t>69KB</w:t>
            </w:r>
          </w:p>
        </w:tc>
      </w:tr>
      <w:tr w14:paraId="383144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  <w:jc w:val="center"/>
        </w:trPr>
        <w:tc>
          <w:tcPr>
            <w:tcW w:w="1905" w:type="dxa"/>
            <w:vAlign w:val="center"/>
          </w:tcPr>
          <w:p w14:paraId="481CD2AE">
            <w:pPr>
              <w:pStyle w:val="18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22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2"/>
                <w:lang w:val="en-US" w:eastAsia="zh-CN"/>
              </w:rPr>
              <w:t>GPIO</w:t>
            </w:r>
          </w:p>
        </w:tc>
        <w:tc>
          <w:tcPr>
            <w:tcW w:w="2650" w:type="dxa"/>
            <w:vAlign w:val="center"/>
          </w:tcPr>
          <w:p w14:paraId="747560A5">
            <w:pPr>
              <w:pStyle w:val="18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22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2"/>
                <w:lang w:val="en-US" w:eastAsia="zh-CN"/>
              </w:rPr>
              <w:t>43/30/20</w:t>
            </w:r>
          </w:p>
        </w:tc>
        <w:tc>
          <w:tcPr>
            <w:tcW w:w="3289" w:type="dxa"/>
            <w:vAlign w:val="center"/>
          </w:tcPr>
          <w:p w14:paraId="6AD532A7">
            <w:pPr>
              <w:pStyle w:val="18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22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  <w:sz w:val="22"/>
                <w:lang w:val="en-US" w:eastAsia="zh-CN"/>
              </w:rPr>
              <w:t>41/26/18</w:t>
            </w:r>
          </w:p>
        </w:tc>
      </w:tr>
      <w:tr w14:paraId="0B9E5C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  <w:jc w:val="center"/>
        </w:trPr>
        <w:tc>
          <w:tcPr>
            <w:tcW w:w="1905" w:type="dxa"/>
            <w:vAlign w:val="center"/>
          </w:tcPr>
          <w:p w14:paraId="3959C2B5">
            <w:pPr>
              <w:pStyle w:val="18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22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2"/>
                <w:lang w:val="en-US" w:eastAsia="zh-CN"/>
              </w:rPr>
              <w:t>EPWM</w:t>
            </w:r>
          </w:p>
        </w:tc>
        <w:tc>
          <w:tcPr>
            <w:tcW w:w="2650" w:type="dxa"/>
            <w:vAlign w:val="center"/>
          </w:tcPr>
          <w:p w14:paraId="40AFF373">
            <w:pPr>
              <w:pStyle w:val="18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22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2"/>
                <w:lang w:val="en-US" w:eastAsia="zh-CN"/>
              </w:rPr>
              <w:t>14</w:t>
            </w:r>
          </w:p>
        </w:tc>
        <w:tc>
          <w:tcPr>
            <w:tcW w:w="3289" w:type="dxa"/>
            <w:vAlign w:val="center"/>
          </w:tcPr>
          <w:p w14:paraId="66EE2367">
            <w:pPr>
              <w:pStyle w:val="18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22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  <w:sz w:val="22"/>
                <w:lang w:val="en-US" w:eastAsia="zh-CN"/>
              </w:rPr>
              <w:t>16</w:t>
            </w:r>
          </w:p>
        </w:tc>
      </w:tr>
    </w:tbl>
    <w:p w14:paraId="2949517D">
      <w:pPr>
        <w:pStyle w:val="4"/>
        <w:numPr>
          <w:ilvl w:val="0"/>
          <w:numId w:val="2"/>
        </w:numPr>
      </w:pPr>
      <w:r>
        <w:rPr>
          <w:rFonts w:hint="eastAsia"/>
        </w:rPr>
        <w:t>芯片供电及上、下电时序</w:t>
      </w:r>
    </w:p>
    <w:p w14:paraId="550C4182">
      <w:pPr>
        <w:spacing w:line="400" w:lineRule="exact"/>
        <w:ind w:firstLine="480" w:firstLineChars="200"/>
        <w:rPr>
          <w:rFonts w:hint="default" w:ascii="宋体" w:hAnsi="宋体" w:eastAsia="宋体"/>
          <w:sz w:val="24"/>
          <w:szCs w:val="28"/>
          <w:lang w:val="en-US" w:eastAsia="zh-CN"/>
        </w:rPr>
      </w:pPr>
      <w:r>
        <w:rPr>
          <w:rFonts w:hint="eastAsia" w:ascii="宋体" w:hAnsi="宋体" w:eastAsia="宋体"/>
          <w:sz w:val="24"/>
          <w:szCs w:val="28"/>
        </w:rPr>
        <w:t>与F</w:t>
      </w:r>
      <w:r>
        <w:rPr>
          <w:rFonts w:ascii="宋体" w:hAnsi="宋体" w:eastAsia="宋体"/>
          <w:sz w:val="24"/>
          <w:szCs w:val="28"/>
        </w:rPr>
        <w:t>280</w:t>
      </w:r>
      <w:r>
        <w:rPr>
          <w:rFonts w:hint="eastAsia" w:ascii="宋体" w:hAnsi="宋体" w:eastAsia="宋体"/>
          <w:sz w:val="24"/>
          <w:szCs w:val="28"/>
          <w:lang w:val="en-US" w:eastAsia="zh-CN"/>
        </w:rPr>
        <w:t>02x</w:t>
      </w:r>
      <w:r>
        <w:rPr>
          <w:rFonts w:hint="eastAsia" w:ascii="宋体" w:hAnsi="宋体" w:eastAsia="宋体"/>
          <w:sz w:val="24"/>
          <w:szCs w:val="28"/>
        </w:rPr>
        <w:t>类似，A</w:t>
      </w:r>
      <w:r>
        <w:rPr>
          <w:rFonts w:hint="eastAsia" w:ascii="宋体" w:hAnsi="宋体" w:eastAsia="宋体"/>
          <w:sz w:val="24"/>
          <w:szCs w:val="28"/>
          <w:lang w:val="en-US" w:eastAsia="zh-CN"/>
        </w:rPr>
        <w:t>V</w:t>
      </w:r>
      <w:r>
        <w:rPr>
          <w:rFonts w:ascii="宋体" w:hAnsi="宋体" w:eastAsia="宋体"/>
          <w:sz w:val="24"/>
          <w:szCs w:val="28"/>
        </w:rPr>
        <w:t>P32F</w:t>
      </w:r>
      <w:r>
        <w:rPr>
          <w:rFonts w:hint="eastAsia" w:ascii="宋体" w:hAnsi="宋体" w:eastAsia="宋体"/>
          <w:sz w:val="24"/>
          <w:szCs w:val="28"/>
        </w:rPr>
        <w:t>0</w:t>
      </w:r>
      <w:r>
        <w:rPr>
          <w:rFonts w:hint="eastAsia" w:ascii="宋体" w:hAnsi="宋体" w:eastAsia="宋体"/>
          <w:sz w:val="24"/>
          <w:szCs w:val="28"/>
          <w:lang w:val="en-US" w:eastAsia="zh-CN"/>
        </w:rPr>
        <w:t>03x</w:t>
      </w:r>
      <w:r>
        <w:rPr>
          <w:rFonts w:hint="eastAsia" w:ascii="宋体" w:hAnsi="宋体" w:eastAsia="宋体"/>
          <w:sz w:val="24"/>
          <w:szCs w:val="28"/>
        </w:rPr>
        <w:t>同样支持板级</w:t>
      </w:r>
      <w:r>
        <w:rPr>
          <w:rFonts w:ascii="宋体" w:hAnsi="宋体" w:eastAsia="宋体"/>
          <w:sz w:val="24"/>
          <w:szCs w:val="28"/>
        </w:rPr>
        <w:t>3.3V</w:t>
      </w:r>
      <w:r>
        <w:rPr>
          <w:rFonts w:hint="eastAsia" w:ascii="宋体" w:hAnsi="宋体" w:eastAsia="宋体"/>
          <w:sz w:val="24"/>
          <w:szCs w:val="28"/>
        </w:rPr>
        <w:t>单电源供电方式。设计上做到供电方式兼容，</w:t>
      </w:r>
      <w:r>
        <w:rPr>
          <w:rFonts w:hint="eastAsia" w:ascii="宋体" w:hAnsi="宋体" w:eastAsia="宋体"/>
          <w:sz w:val="24"/>
          <w:szCs w:val="28"/>
          <w:lang w:val="en-US" w:eastAsia="zh-CN"/>
        </w:rPr>
        <w:t>内部LDO已经调整为3.3V转1.1V，如果采用双电源供电模式，建议内核的供电调整为1.1V供电。</w:t>
      </w:r>
    </w:p>
    <w:p w14:paraId="690B1D16">
      <w:pPr>
        <w:spacing w:line="400" w:lineRule="exact"/>
        <w:ind w:firstLine="480" w:firstLineChars="200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器件的上、下电时序由芯片内部匹配，与原</w:t>
      </w:r>
      <w:r>
        <w:rPr>
          <w:rFonts w:ascii="宋体" w:hAnsi="宋体" w:eastAsia="宋体"/>
          <w:sz w:val="24"/>
          <w:szCs w:val="28"/>
        </w:rPr>
        <w:t>F280</w:t>
      </w:r>
      <w:r>
        <w:rPr>
          <w:rFonts w:hint="eastAsia" w:ascii="宋体" w:hAnsi="宋体" w:eastAsia="宋体"/>
          <w:sz w:val="24"/>
          <w:szCs w:val="28"/>
          <w:lang w:val="en-US" w:eastAsia="zh-CN"/>
        </w:rPr>
        <w:t>02x</w:t>
      </w:r>
      <w:r>
        <w:rPr>
          <w:rFonts w:hint="eastAsia" w:ascii="宋体" w:hAnsi="宋体" w:eastAsia="宋体"/>
          <w:sz w:val="24"/>
          <w:szCs w:val="28"/>
        </w:rPr>
        <w:t>产品设计保持兼容，用户不需要做其它调整。</w:t>
      </w:r>
    </w:p>
    <w:p w14:paraId="1D8703D1">
      <w:r>
        <w:br w:type="page"/>
      </w:r>
    </w:p>
    <w:p w14:paraId="10AAC90C">
      <w:pPr>
        <w:pStyle w:val="4"/>
        <w:numPr>
          <w:ilvl w:val="0"/>
          <w:numId w:val="2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内存分配</w:t>
      </w:r>
    </w:p>
    <w:p w14:paraId="218DA53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280025RAM的LS4-LS7与我司AVP32F003X地址相同，我司额外多了</w:t>
      </w:r>
      <w:r>
        <w:rPr>
          <w:rFonts w:hint="eastAsia"/>
          <w:b/>
          <w:bCs/>
          <w:color w:val="FF0000"/>
          <w:lang w:val="en-US" w:eastAsia="zh-CN"/>
        </w:rPr>
        <w:t>LS0-LS3</w:t>
      </w:r>
      <w:r>
        <w:rPr>
          <w:rFonts w:hint="eastAsia"/>
          <w:lang w:val="en-US" w:eastAsia="zh-CN"/>
        </w:rPr>
        <w:t>区域。</w:t>
      </w:r>
    </w:p>
    <w:p w14:paraId="5E2C42D1">
      <w:r>
        <w:rPr>
          <w:rFonts w:hint="eastAsia"/>
          <w:lang w:val="en-US" w:eastAsia="zh-CN"/>
        </w:rPr>
        <w:t xml:space="preserve">    </w:t>
      </w:r>
      <w:r>
        <w:drawing>
          <wp:inline distT="0" distB="0" distL="114300" distR="114300">
            <wp:extent cx="4843145" cy="3098165"/>
            <wp:effectExtent l="0" t="0" r="14605" b="698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43145" cy="3098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687A6">
      <w:pPr>
        <w:pStyle w:val="6"/>
        <w:jc w:val="center"/>
        <w:rPr>
          <w:rFonts w:hint="eastAsia" w:eastAsiaTheme="minor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eastAsia="zh-CN"/>
        </w:rPr>
        <w:t xml:space="preserve"> 280025内存映射</w:t>
      </w:r>
    </w:p>
    <w:p w14:paraId="6C390967">
      <w:pPr>
        <w:jc w:val="center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180975</wp:posOffset>
                </wp:positionH>
                <wp:positionV relativeFrom="paragraph">
                  <wp:posOffset>758825</wp:posOffset>
                </wp:positionV>
                <wp:extent cx="4932680" cy="516890"/>
                <wp:effectExtent l="14605" t="13970" r="24765" b="21590"/>
                <wp:wrapNone/>
                <wp:docPr id="9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323975" y="5544185"/>
                          <a:ext cx="4932680" cy="51689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4.25pt;margin-top:59.75pt;height:40.7pt;width:388.4pt;z-index:251659264;v-text-anchor:middle;mso-width-relative:page;mso-height-relative:page;" filled="f" stroked="t" coordsize="21600,21600" o:gfxdata="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q+fSMdgAAAAKAQAADwAAAAAAAAABACAAAAAiAAAA&#10;ZHJzL2Rvd25yZXYueG1sUEsBAhQAFAAAAAgAh07iQI5tqVt5AgAA1wQAAA4AAAAAAAAAAQAgAAAA&#10;JwEAAGRycy9lMm9Eb2MueG1sUEsFBgAAAAAGAAYAWQEAABIGAAAAAA==&#10;">
                <v:fill on="f" focussize="0,0"/>
                <v:stroke weight="2.25pt" color="#FF0000 [2404]" miterlimit="8" joinstyle="miter"/>
                <v:imagedata o:title=""/>
                <o:lock v:ext="edit" aspectratio="f"/>
              </v:rect>
            </w:pict>
          </mc:Fallback>
        </mc:AlternateContent>
      </w:r>
      <w:r>
        <w:drawing>
          <wp:inline distT="0" distB="0" distL="114300" distR="114300">
            <wp:extent cx="4886325" cy="4077335"/>
            <wp:effectExtent l="0" t="0" r="9525" b="1841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407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B8C81">
      <w:pPr>
        <w:pStyle w:val="6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  <w:lang w:eastAsia="zh-CN"/>
        </w:rPr>
        <w:t xml:space="preserve"> AVP32F003X</w:t>
      </w:r>
    </w:p>
    <w:p w14:paraId="3F9CE460">
      <w:pPr>
        <w:rPr>
          <w:rFonts w:hint="eastAsia"/>
          <w:lang w:eastAsia="zh-CN"/>
        </w:rPr>
      </w:pPr>
    </w:p>
    <w:p w14:paraId="1D299B72">
      <w:pPr>
        <w:rPr>
          <w:rFonts w:hint="eastAsia"/>
          <w:lang w:eastAsia="zh-CN"/>
        </w:rPr>
      </w:pPr>
    </w:p>
    <w:p w14:paraId="36102DE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br w:type="textWrapping"/>
      </w:r>
      <w:r>
        <w:rPr>
          <w:rFonts w:hint="eastAsia"/>
          <w:b/>
          <w:bCs/>
          <w:lang w:val="en-US" w:eastAsia="zh-CN"/>
        </w:rPr>
        <w:t>Flash部分我司003x系列DSP全系348KB，地址包含BANK0-BANK2三个BANK，覆盖ti的280025FLSH地址，用户无需更改原有CMD文件</w:t>
      </w:r>
      <w:r>
        <w:rPr>
          <w:rFonts w:hint="eastAsia"/>
          <w:lang w:val="en-US" w:eastAsia="zh-CN"/>
        </w:rPr>
        <w:t>，我们额外赠送客户两个bank256K的FLASH以供使用，可以看到下图FLASH均从0x80000-0x8ffff，完全覆盖。</w:t>
      </w:r>
    </w:p>
    <w:p w14:paraId="182D5A1A">
      <w:r>
        <w:drawing>
          <wp:inline distT="0" distB="0" distL="114300" distR="114300">
            <wp:extent cx="5270500" cy="3451225"/>
            <wp:effectExtent l="0" t="0" r="6350" b="15875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45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75B7AC">
      <w:pPr>
        <w:pStyle w:val="6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  <w:lang w:eastAsia="zh-CN"/>
        </w:rPr>
        <w:t xml:space="preserve"> 280025FLASH</w:t>
      </w:r>
    </w:p>
    <w:p w14:paraId="2026531F">
      <w:r>
        <w:drawing>
          <wp:inline distT="0" distB="0" distL="114300" distR="114300">
            <wp:extent cx="5271135" cy="2882265"/>
            <wp:effectExtent l="0" t="0" r="5715" b="13335"/>
            <wp:docPr id="1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882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2EC29A"/>
    <w:p w14:paraId="66519E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65D24BD7">
      <w:pPr>
        <w:rPr>
          <w:rFonts w:hint="eastAsia"/>
          <w:lang w:val="en-US" w:eastAsia="zh-CN"/>
        </w:rPr>
      </w:pPr>
    </w:p>
    <w:p w14:paraId="0DD88C68">
      <w:pPr>
        <w:pStyle w:val="4"/>
        <w:numPr>
          <w:ilvl w:val="0"/>
          <w:numId w:val="2"/>
        </w:numPr>
      </w:pPr>
      <w:r>
        <w:rPr>
          <w:rFonts w:hint="eastAsia"/>
          <w:lang w:val="en-US" w:eastAsia="zh-CN"/>
        </w:rPr>
        <w:t>封装对比</w:t>
      </w:r>
    </w:p>
    <w:p w14:paraId="603A0874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我司的AVP32F003X系列，硬件封装均可以替代ti280025：</w:t>
      </w:r>
    </w:p>
    <w:p w14:paraId="2D4067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（1）80PIN封装下：280025的33、34脚位FLT（flash测试脚）在我司003x上为GPIO20/GPIO21，实际情况这两个脚位客户不会去设计外围电路，不会对GPIO造成影响，可以做到替代。</w:t>
      </w:r>
    </w:p>
    <w:p w14:paraId="54A4721E">
      <w:r>
        <w:drawing>
          <wp:inline distT="0" distB="0" distL="114300" distR="114300">
            <wp:extent cx="4404360" cy="2233295"/>
            <wp:effectExtent l="0" t="0" r="15240" b="14605"/>
            <wp:docPr id="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04360" cy="2233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4F5C5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（2）64PIN封装下：280025只有工业级，也就是不带Q的型号，</w:t>
      </w:r>
      <w:r>
        <w:rPr>
          <w:rFonts w:hint="eastAsia"/>
          <w:b/>
          <w:bCs/>
          <w:lang w:val="en-US" w:eastAsia="zh-CN"/>
        </w:rPr>
        <w:t>我们003x也有非Q型号，硬件上可以做到PIN2PIN完全兼容，46引脚都是GPIO39。</w:t>
      </w:r>
      <w:r>
        <w:rPr>
          <w:rFonts w:hint="eastAsia"/>
          <w:b w:val="0"/>
          <w:bCs w:val="0"/>
          <w:lang w:val="en-US" w:eastAsia="zh-CN"/>
        </w:rPr>
        <w:t>但</w:t>
      </w:r>
      <w:r>
        <w:rPr>
          <w:rFonts w:hint="eastAsia"/>
          <w:lang w:val="en-US" w:eastAsia="zh-CN"/>
        </w:rPr>
        <w:t>如果用我们003x的Q系列，那么这个引脚就变成了线性稳压使能脚VREGENZ，需要注意配置。</w:t>
      </w:r>
    </w:p>
    <w:p w14:paraId="238F6D14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4344035" cy="4004310"/>
            <wp:effectExtent l="0" t="0" r="18415" b="15240"/>
            <wp:docPr id="1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44035" cy="400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90F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1B2185F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（3）48PIN封装下：</w:t>
      </w:r>
      <w:r>
        <w:rPr>
          <w:rFonts w:hint="eastAsia"/>
          <w:b/>
          <w:bCs/>
          <w:lang w:val="en-US" w:eastAsia="zh-CN"/>
        </w:rPr>
        <w:t>我司的0033特别推出0025P封装硬件完全兼容48pin的0025。</w:t>
      </w:r>
      <w:bookmarkStart w:id="0" w:name="_GoBack"/>
      <w:bookmarkEnd w:id="0"/>
    </w:p>
    <w:p w14:paraId="78725401">
      <w:pPr>
        <w:jc w:val="center"/>
      </w:pPr>
      <w:r>
        <w:drawing>
          <wp:inline distT="0" distB="0" distL="114300" distR="114300">
            <wp:extent cx="4504055" cy="3648710"/>
            <wp:effectExtent l="0" t="0" r="10795" b="889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04055" cy="3648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0D1092">
      <w:pPr>
        <w:pStyle w:val="6"/>
        <w:jc w:val="center"/>
        <w:rPr>
          <w:rFonts w:hint="eastAsia" w:eastAsiaTheme="minor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  <w:lang w:eastAsia="zh-CN"/>
        </w:rPr>
        <w:t>AVP32F00</w:t>
      </w:r>
      <w:r>
        <w:rPr>
          <w:rFonts w:hint="eastAsia"/>
          <w:lang w:val="en-US" w:eastAsia="zh-CN"/>
        </w:rPr>
        <w:t>25P</w:t>
      </w:r>
      <w:r>
        <w:rPr>
          <w:rFonts w:hint="eastAsia"/>
          <w:lang w:eastAsia="zh-CN"/>
        </w:rPr>
        <w:t>QP48</w:t>
      </w:r>
    </w:p>
    <w:p w14:paraId="7FA45B0A">
      <w:pPr>
        <w:jc w:val="center"/>
      </w:pPr>
      <w:r>
        <w:drawing>
          <wp:inline distT="0" distB="0" distL="114300" distR="114300">
            <wp:extent cx="4599940" cy="3680460"/>
            <wp:effectExtent l="0" t="0" r="10160" b="1524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99940" cy="3680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296610">
      <w:pPr>
        <w:pStyle w:val="6"/>
        <w:jc w:val="center"/>
        <w:rPr>
          <w:rFonts w:hint="eastAsia" w:eastAsiaTheme="minor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  <w:lang w:eastAsia="zh-CN"/>
        </w:rPr>
        <w:t>TMS280025QP48</w:t>
      </w:r>
    </w:p>
    <w:p w14:paraId="26E9F7B6">
      <w:pPr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br w:type="page"/>
      </w:r>
    </w:p>
    <w:p w14:paraId="694A290D">
      <w:pPr>
        <w:pStyle w:val="4"/>
        <w:numPr>
          <w:ilvl w:val="0"/>
          <w:numId w:val="2"/>
        </w:numPr>
      </w:pPr>
      <w:r>
        <w:rPr>
          <w:rFonts w:hint="eastAsia"/>
          <w:lang w:val="en-US" w:eastAsia="zh-CN"/>
        </w:rPr>
        <w:t>FLASHAPI在线编程</w:t>
      </w:r>
    </w:p>
    <w:p w14:paraId="6B362B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AVP32F0033的FLASHAPI库与0025不同，需要更换lib文件以及配套声明头文件。</w:t>
      </w:r>
    </w:p>
    <w:p w14:paraId="6A578537">
      <w:r>
        <w:drawing>
          <wp:inline distT="0" distB="0" distL="114300" distR="114300">
            <wp:extent cx="5269865" cy="982980"/>
            <wp:effectExtent l="0" t="0" r="6985" b="7620"/>
            <wp:docPr id="1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98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4795E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2400300" cy="1390650"/>
            <wp:effectExtent l="0" t="0" r="0" b="0"/>
            <wp:docPr id="1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5AE67B4"/>
    <w:multiLevelType w:val="multilevel"/>
    <w:tmpl w:val="15AE67B4"/>
    <w:lvl w:ilvl="0" w:tentative="0">
      <w:start w:val="1"/>
      <w:numFmt w:val="chineseCountingThousand"/>
      <w:lvlText w:val="%1、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543B2767"/>
    <w:multiLevelType w:val="multilevel"/>
    <w:tmpl w:val="543B2767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NmMmIxYjBkYmU0NzhmZjg5ZjJiYTAyOTgzNWQzNDQifQ=="/>
  </w:docVars>
  <w:rsids>
    <w:rsidRoot w:val="00172A27"/>
    <w:rsid w:val="000200FA"/>
    <w:rsid w:val="00042322"/>
    <w:rsid w:val="00056EAC"/>
    <w:rsid w:val="00082EBE"/>
    <w:rsid w:val="000A71B5"/>
    <w:rsid w:val="001357C7"/>
    <w:rsid w:val="001460B7"/>
    <w:rsid w:val="00203666"/>
    <w:rsid w:val="00233C15"/>
    <w:rsid w:val="002362A1"/>
    <w:rsid w:val="0027003C"/>
    <w:rsid w:val="00291E9D"/>
    <w:rsid w:val="002C17FE"/>
    <w:rsid w:val="00302C9D"/>
    <w:rsid w:val="00311C2D"/>
    <w:rsid w:val="003501FE"/>
    <w:rsid w:val="00386D61"/>
    <w:rsid w:val="00402782"/>
    <w:rsid w:val="004A0573"/>
    <w:rsid w:val="004E3F89"/>
    <w:rsid w:val="004F6A34"/>
    <w:rsid w:val="0055387C"/>
    <w:rsid w:val="0058282F"/>
    <w:rsid w:val="005C6B96"/>
    <w:rsid w:val="00687FD3"/>
    <w:rsid w:val="006B1660"/>
    <w:rsid w:val="006C4A50"/>
    <w:rsid w:val="006E27E5"/>
    <w:rsid w:val="0073181F"/>
    <w:rsid w:val="00751F4C"/>
    <w:rsid w:val="00775E47"/>
    <w:rsid w:val="00784E7D"/>
    <w:rsid w:val="007C0779"/>
    <w:rsid w:val="00856271"/>
    <w:rsid w:val="008E03F8"/>
    <w:rsid w:val="009654C1"/>
    <w:rsid w:val="00977B27"/>
    <w:rsid w:val="009C25C8"/>
    <w:rsid w:val="009F7D7A"/>
    <w:rsid w:val="00A12EC2"/>
    <w:rsid w:val="00A2610D"/>
    <w:rsid w:val="00A636B9"/>
    <w:rsid w:val="00A744C0"/>
    <w:rsid w:val="00AA0490"/>
    <w:rsid w:val="00AA2EF0"/>
    <w:rsid w:val="00AC2C78"/>
    <w:rsid w:val="00AD690B"/>
    <w:rsid w:val="00B2775B"/>
    <w:rsid w:val="00B667FA"/>
    <w:rsid w:val="00BA24F2"/>
    <w:rsid w:val="00BB13F3"/>
    <w:rsid w:val="00C3163A"/>
    <w:rsid w:val="00C37758"/>
    <w:rsid w:val="00C45EB0"/>
    <w:rsid w:val="00C96F35"/>
    <w:rsid w:val="00CA098B"/>
    <w:rsid w:val="00CF5C73"/>
    <w:rsid w:val="00D37514"/>
    <w:rsid w:val="00D955F0"/>
    <w:rsid w:val="00E3593C"/>
    <w:rsid w:val="00E36F51"/>
    <w:rsid w:val="00E422AC"/>
    <w:rsid w:val="00EB4DA0"/>
    <w:rsid w:val="00EE1D12"/>
    <w:rsid w:val="00F1731E"/>
    <w:rsid w:val="00F43861"/>
    <w:rsid w:val="00F54E1D"/>
    <w:rsid w:val="00F64A3F"/>
    <w:rsid w:val="00F965B0"/>
    <w:rsid w:val="06090E6B"/>
    <w:rsid w:val="076646E5"/>
    <w:rsid w:val="08493DEA"/>
    <w:rsid w:val="08724613"/>
    <w:rsid w:val="08D115D5"/>
    <w:rsid w:val="0AC20208"/>
    <w:rsid w:val="0AD57BB7"/>
    <w:rsid w:val="0BE31C2B"/>
    <w:rsid w:val="0D482AAA"/>
    <w:rsid w:val="0D735465"/>
    <w:rsid w:val="0E5350B0"/>
    <w:rsid w:val="0F361C13"/>
    <w:rsid w:val="0F5E153A"/>
    <w:rsid w:val="0FCA65E4"/>
    <w:rsid w:val="12821325"/>
    <w:rsid w:val="13FD7247"/>
    <w:rsid w:val="155D1D45"/>
    <w:rsid w:val="187973BB"/>
    <w:rsid w:val="18C66D91"/>
    <w:rsid w:val="1B570174"/>
    <w:rsid w:val="1B7E3953"/>
    <w:rsid w:val="1DA065E5"/>
    <w:rsid w:val="1DAB29F9"/>
    <w:rsid w:val="1E01326C"/>
    <w:rsid w:val="1E083FE5"/>
    <w:rsid w:val="1E744143"/>
    <w:rsid w:val="1EA140EE"/>
    <w:rsid w:val="1F176598"/>
    <w:rsid w:val="1F1C07A4"/>
    <w:rsid w:val="22CF2CE6"/>
    <w:rsid w:val="241F2DEA"/>
    <w:rsid w:val="2895052E"/>
    <w:rsid w:val="297C402E"/>
    <w:rsid w:val="2BE617CC"/>
    <w:rsid w:val="2D8E397D"/>
    <w:rsid w:val="2EB97B04"/>
    <w:rsid w:val="31054B7D"/>
    <w:rsid w:val="332951E6"/>
    <w:rsid w:val="344C4D18"/>
    <w:rsid w:val="34CA4BB0"/>
    <w:rsid w:val="356C4689"/>
    <w:rsid w:val="366A124C"/>
    <w:rsid w:val="37F54B45"/>
    <w:rsid w:val="3C6D55F2"/>
    <w:rsid w:val="3E7D1157"/>
    <w:rsid w:val="3FC81DD7"/>
    <w:rsid w:val="3FF40503"/>
    <w:rsid w:val="409F1AF2"/>
    <w:rsid w:val="41334E88"/>
    <w:rsid w:val="444430DC"/>
    <w:rsid w:val="47072ED7"/>
    <w:rsid w:val="474878A2"/>
    <w:rsid w:val="4AE36CC1"/>
    <w:rsid w:val="4D44414D"/>
    <w:rsid w:val="4F287879"/>
    <w:rsid w:val="4F457D08"/>
    <w:rsid w:val="52DB1DCC"/>
    <w:rsid w:val="53114AD1"/>
    <w:rsid w:val="54F46459"/>
    <w:rsid w:val="559F4616"/>
    <w:rsid w:val="56674A08"/>
    <w:rsid w:val="5BF44F90"/>
    <w:rsid w:val="5C6F4617"/>
    <w:rsid w:val="5C891B7C"/>
    <w:rsid w:val="5D7760D6"/>
    <w:rsid w:val="5EC33BE0"/>
    <w:rsid w:val="60493074"/>
    <w:rsid w:val="60CB2537"/>
    <w:rsid w:val="636F254E"/>
    <w:rsid w:val="64B41760"/>
    <w:rsid w:val="64E21E2A"/>
    <w:rsid w:val="65D31826"/>
    <w:rsid w:val="66860EDB"/>
    <w:rsid w:val="66D17FF3"/>
    <w:rsid w:val="68747A6D"/>
    <w:rsid w:val="695B1C3F"/>
    <w:rsid w:val="6A3F387A"/>
    <w:rsid w:val="6B9C3535"/>
    <w:rsid w:val="709F5900"/>
    <w:rsid w:val="72C139C6"/>
    <w:rsid w:val="74D23BD5"/>
    <w:rsid w:val="74DA0703"/>
    <w:rsid w:val="764566BC"/>
    <w:rsid w:val="769767EC"/>
    <w:rsid w:val="7A8303BA"/>
    <w:rsid w:val="7B2C39A7"/>
    <w:rsid w:val="7B584FE0"/>
    <w:rsid w:val="7BF66804"/>
    <w:rsid w:val="7C3F4A57"/>
    <w:rsid w:val="7C7F3FAA"/>
    <w:rsid w:val="7D3C570F"/>
    <w:rsid w:val="7D747887"/>
    <w:rsid w:val="7E066CCC"/>
    <w:rsid w:val="7EDD1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3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7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14"/>
    <w:unhideWhenUsed/>
    <w:qFormat/>
    <w:uiPriority w:val="9"/>
    <w:pPr>
      <w:keepNext/>
      <w:keepLines/>
      <w:widowControl/>
      <w:adjustRightInd w:val="0"/>
      <w:snapToGrid w:val="0"/>
      <w:spacing w:line="240" w:lineRule="atLeast"/>
      <w:jc w:val="left"/>
      <w:outlineLvl w:val="2"/>
    </w:pPr>
    <w:rPr>
      <w:rFonts w:ascii="Tahoma" w:hAnsi="Tahoma" w:eastAsia="微软雅黑" w:cs="Tahoma"/>
      <w:b/>
      <w:bCs/>
      <w:kern w:val="0"/>
      <w:sz w:val="28"/>
      <w:szCs w:val="28"/>
    </w:rPr>
  </w:style>
  <w:style w:type="paragraph" w:styleId="5">
    <w:name w:val="heading 4"/>
    <w:basedOn w:val="1"/>
    <w:next w:val="1"/>
    <w:unhideWhenUsed/>
    <w:qFormat/>
    <w:uiPriority w:val="9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caption"/>
    <w:basedOn w:val="1"/>
    <w:next w:val="1"/>
    <w:semiHidden/>
    <w:unhideWhenUsed/>
    <w:qFormat/>
    <w:uiPriority w:val="35"/>
    <w:rPr>
      <w:rFonts w:ascii="Arial" w:hAnsi="Arial" w:eastAsia="黑体"/>
      <w:sz w:val="20"/>
    </w:rPr>
  </w:style>
  <w:style w:type="paragraph" w:styleId="7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10">
    <w:name w:val="Table Grid"/>
    <w:basedOn w:val="9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3">
    <w:name w:val="标题 1 字符"/>
    <w:basedOn w:val="11"/>
    <w:link w:val="2"/>
    <w:qFormat/>
    <w:uiPriority w:val="9"/>
    <w:rPr>
      <w:b/>
      <w:bCs/>
      <w:kern w:val="44"/>
      <w:sz w:val="44"/>
      <w:szCs w:val="44"/>
    </w:rPr>
  </w:style>
  <w:style w:type="character" w:customStyle="1" w:styleId="14">
    <w:name w:val="标题 3 字符"/>
    <w:basedOn w:val="11"/>
    <w:link w:val="4"/>
    <w:qFormat/>
    <w:uiPriority w:val="9"/>
    <w:rPr>
      <w:rFonts w:ascii="Tahoma" w:hAnsi="Tahoma" w:eastAsia="微软雅黑" w:cs="Tahoma"/>
      <w:b/>
      <w:bCs/>
      <w:kern w:val="0"/>
      <w:sz w:val="28"/>
      <w:szCs w:val="28"/>
    </w:rPr>
  </w:style>
  <w:style w:type="character" w:customStyle="1" w:styleId="15">
    <w:name w:val="页眉 字符"/>
    <w:basedOn w:val="11"/>
    <w:link w:val="8"/>
    <w:qFormat/>
    <w:uiPriority w:val="99"/>
    <w:rPr>
      <w:sz w:val="18"/>
      <w:szCs w:val="18"/>
    </w:rPr>
  </w:style>
  <w:style w:type="character" w:customStyle="1" w:styleId="16">
    <w:name w:val="页脚 字符"/>
    <w:basedOn w:val="11"/>
    <w:link w:val="7"/>
    <w:qFormat/>
    <w:uiPriority w:val="99"/>
    <w:rPr>
      <w:sz w:val="18"/>
      <w:szCs w:val="18"/>
    </w:rPr>
  </w:style>
  <w:style w:type="character" w:customStyle="1" w:styleId="17">
    <w:name w:val="标题 2 字符"/>
    <w:basedOn w:val="11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18">
    <w:name w:val="List Paragraph"/>
    <w:basedOn w:val="1"/>
    <w:qFormat/>
    <w:uiPriority w:val="34"/>
    <w:pPr>
      <w:ind w:firstLine="420" w:firstLineChars="200"/>
    </w:pPr>
  </w:style>
  <w:style w:type="table" w:customStyle="1" w:styleId="19">
    <w:name w:val="Table Normal"/>
    <w:semiHidden/>
    <w:unhideWhenUsed/>
    <w:qFormat/>
    <w:uiPriority w:val="2"/>
    <w:pPr>
      <w:widowControl w:val="0"/>
    </w:pPr>
    <w:rPr>
      <w:kern w:val="0"/>
      <w:sz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0">
    <w:name w:val="Table Paragraph"/>
    <w:basedOn w:val="1"/>
    <w:qFormat/>
    <w:uiPriority w:val="1"/>
    <w:pPr>
      <w:jc w:val="left"/>
    </w:pPr>
    <w:rPr>
      <w:kern w:val="0"/>
      <w:sz w:val="22"/>
      <w:lang w:eastAsia="en-US"/>
    </w:rPr>
  </w:style>
  <w:style w:type="character" w:customStyle="1" w:styleId="21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22">
    <w:name w:val="无间隔1"/>
    <w:link w:val="23"/>
    <w:qFormat/>
    <w:uiPriority w:val="1"/>
    <w:rPr>
      <w:rFonts w:ascii="Calibri" w:hAnsi="Calibri" w:eastAsia="宋体" w:cs="Times New Roman"/>
      <w:kern w:val="0"/>
      <w:sz w:val="22"/>
      <w:szCs w:val="22"/>
      <w:lang w:val="en-US" w:eastAsia="zh-CN" w:bidi="ar-SA"/>
    </w:rPr>
  </w:style>
  <w:style w:type="character" w:customStyle="1" w:styleId="23">
    <w:name w:val="无间隔 Char"/>
    <w:basedOn w:val="11"/>
    <w:link w:val="22"/>
    <w:qFormat/>
    <w:uiPriority w:val="1"/>
    <w:rPr>
      <w:rFonts w:ascii="Calibri" w:hAnsi="Calibri" w:eastAsia="宋体" w:cs="Times New Roman"/>
      <w:kern w:val="0"/>
      <w:sz w:val="22"/>
    </w:rPr>
  </w:style>
  <w:style w:type="table" w:customStyle="1" w:styleId="24">
    <w:name w:val="浅色网格 - 强调文字颜色 12"/>
    <w:basedOn w:val="9"/>
    <w:qFormat/>
    <w:uiPriority w:val="62"/>
    <w:tblPr>
      <w:tblBorders>
        <w:top w:val="single" w:color="4472C4" w:themeColor="accent1" w:sz="8" w:space="0"/>
        <w:left w:val="single" w:color="4472C4" w:themeColor="accent1" w:sz="8" w:space="0"/>
        <w:bottom w:val="single" w:color="4472C4" w:themeColor="accent1" w:sz="8" w:space="0"/>
        <w:right w:val="single" w:color="4472C4" w:themeColor="accent1" w:sz="8" w:space="0"/>
        <w:insideH w:val="single" w:color="4472C4" w:themeColor="accent1" w:sz="8" w:space="0"/>
        <w:insideV w:val="single" w:color="4472C4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472C4" w:themeColor="accent1" w:sz="8" w:space="0"/>
          <w:left w:val="single" w:color="4472C4" w:themeColor="accent1" w:sz="8" w:space="0"/>
          <w:bottom w:val="single" w:color="4472C4" w:themeColor="accent1" w:sz="18" w:space="0"/>
          <w:right w:val="single" w:color="4472C4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472C4" w:themeColor="accent1" w:sz="6" w:space="0"/>
          <w:left w:val="single" w:color="4472C4" w:themeColor="accent1" w:sz="8" w:space="0"/>
          <w:bottom w:val="single" w:color="4472C4" w:themeColor="accent1" w:sz="8" w:space="0"/>
          <w:right w:val="single" w:color="4472C4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472C4" w:themeColor="accent1" w:sz="8" w:space="0"/>
          <w:left w:val="single" w:color="4472C4" w:themeColor="accent1" w:sz="8" w:space="0"/>
          <w:bottom w:val="single" w:color="4472C4" w:themeColor="accent1" w:sz="8" w:space="0"/>
          <w:right w:val="single" w:color="4472C4" w:themeColor="accent1" w:sz="8" w:space="0"/>
        </w:tcBorders>
      </w:tcPr>
    </w:tblStylePr>
    <w:tblStylePr w:type="band1Vert">
      <w:tcPr>
        <w:tcBorders>
          <w:top w:val="single" w:color="4472C4" w:themeColor="accent1" w:sz="8" w:space="0"/>
          <w:left w:val="single" w:color="4472C4" w:themeColor="accent1" w:sz="8" w:space="0"/>
          <w:bottom w:val="single" w:color="4472C4" w:themeColor="accent1" w:sz="8" w:space="0"/>
          <w:right w:val="single" w:color="4472C4" w:themeColor="accent1" w:sz="8" w:space="0"/>
        </w:tcBorders>
        <w:shd w:val="clear" w:color="auto" w:fill="D0DCF0" w:themeFill="accent1" w:themeFillTint="3F"/>
      </w:tcPr>
    </w:tblStylePr>
    <w:tblStylePr w:type="band1Horz">
      <w:tcPr>
        <w:tcBorders>
          <w:top w:val="single" w:color="4472C4" w:themeColor="accent1" w:sz="8" w:space="0"/>
          <w:left w:val="single" w:color="4472C4" w:themeColor="accent1" w:sz="8" w:space="0"/>
          <w:bottom w:val="single" w:color="4472C4" w:themeColor="accent1" w:sz="8" w:space="0"/>
          <w:right w:val="single" w:color="4472C4" w:themeColor="accent1" w:sz="8" w:space="0"/>
          <w:insideV w:val="single" w:sz="8" w:space="0"/>
        </w:tcBorders>
        <w:shd w:val="clear" w:color="auto" w:fill="D0DCF0" w:themeFill="accent1" w:themeFillTint="3F"/>
      </w:tcPr>
    </w:tblStylePr>
    <w:tblStylePr w:type="band2Horz">
      <w:tcPr>
        <w:tcBorders>
          <w:top w:val="single" w:color="4472C4" w:themeColor="accent1" w:sz="8" w:space="0"/>
          <w:left w:val="single" w:color="4472C4" w:themeColor="accent1" w:sz="8" w:space="0"/>
          <w:bottom w:val="single" w:color="4472C4" w:themeColor="accent1" w:sz="8" w:space="0"/>
          <w:right w:val="single" w:color="4472C4" w:themeColor="accent1" w:sz="8" w:space="0"/>
          <w:insideV w:val="single" w:sz="8" w:space="0"/>
        </w:tcBorders>
      </w:tcPr>
    </w:tblStylePr>
  </w:style>
  <w:style w:type="paragraph" w:styleId="25">
    <w:name w:val="No Spacing"/>
    <w:qFormat/>
    <w:uiPriority w:val="1"/>
    <w:pPr>
      <w:widowControl w:val="0"/>
      <w:spacing w:line="240" w:lineRule="auto"/>
      <w:ind w:firstLine="0" w:firstLineChars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customXml" Target="../customXml/item1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652</Words>
  <Characters>1123</Characters>
  <Lines>17</Lines>
  <Paragraphs>4</Paragraphs>
  <TotalTime>3</TotalTime>
  <ScaleCrop>false</ScaleCrop>
  <LinksUpToDate>false</LinksUpToDate>
  <CharactersWithSpaces>1173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2021-01-21T01:18:00Z</dcterms:created>
  <dc:creator>Tang Jeffrey</dc:creator>
  <cp:lastModifiedBy>Biy</cp:lastModifiedBy>
  <dcterms:modified xsi:type="dcterms:W3CDTF">2025-05-30T02:33:34Z</dcterms:modified>
  <cp:revision>51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967E505287DB4665A86995305EE24CCC_13</vt:lpwstr>
  </property>
  <property fmtid="{D5CDD505-2E9C-101B-9397-08002B2CF9AE}" pid="4" name="KSOTemplateDocerSaveRecord">
    <vt:lpwstr>eyJoZGlkIjoiMjNmMmIxYjBkYmU0NzhmZjg5ZjJiYTAyOTgzNWQzNDQiLCJ1c2VySWQiOiIzOTY0OTQ5MzQifQ==</vt:lpwstr>
  </property>
</Properties>
</file>