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9338A">
      <w:pPr>
        <w:pStyle w:val="2"/>
        <w:rPr>
          <w:sz w:val="48"/>
          <w:szCs w:val="48"/>
        </w:rPr>
      </w:pPr>
    </w:p>
    <w:p w14:paraId="0D8DF5B1"/>
    <w:p w14:paraId="63E875F6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  <w:sz w:val="44"/>
          <w:szCs w:val="44"/>
        </w:rPr>
      </w:pPr>
      <w:r>
        <w:rPr>
          <w:rFonts w:hint="eastAsia" w:ascii="微软雅黑" w:hAnsi="微软雅黑" w:eastAsia="微软雅黑"/>
          <w:sz w:val="44"/>
          <w:szCs w:val="44"/>
        </w:rPr>
        <w:t>从F280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03X</w:t>
      </w:r>
      <w:r>
        <w:rPr>
          <w:rFonts w:hint="eastAsia" w:ascii="微软雅黑" w:hAnsi="微软雅黑" w:eastAsia="微软雅黑"/>
          <w:sz w:val="44"/>
          <w:szCs w:val="44"/>
        </w:rPr>
        <w:t>移到A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V</w:t>
      </w:r>
      <w:r>
        <w:rPr>
          <w:rFonts w:ascii="微软雅黑" w:hAnsi="微软雅黑" w:eastAsia="微软雅黑"/>
          <w:sz w:val="44"/>
          <w:szCs w:val="44"/>
        </w:rPr>
        <w:t>P32F0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03X</w:t>
      </w:r>
      <w:r>
        <w:rPr>
          <w:rFonts w:hint="eastAsia" w:ascii="微软雅黑" w:hAnsi="微软雅黑" w:eastAsia="微软雅黑"/>
          <w:sz w:val="44"/>
          <w:szCs w:val="44"/>
        </w:rPr>
        <w:t>工程概要</w:t>
      </w:r>
    </w:p>
    <w:p w14:paraId="26EDEAF8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版本 </w:t>
      </w:r>
      <w:r>
        <w:rPr>
          <w:rFonts w:ascii="微软雅黑" w:hAnsi="微软雅黑" w:eastAsia="微软雅黑"/>
        </w:rPr>
        <w:t>V</w:t>
      </w:r>
      <w:r>
        <w:rPr>
          <w:rFonts w:hint="eastAsia" w:ascii="微软雅黑" w:hAnsi="微软雅黑" w:eastAsia="微软雅黑"/>
        </w:rPr>
        <w:t>1.0</w:t>
      </w:r>
    </w:p>
    <w:p w14:paraId="22D686AD">
      <w:pPr>
        <w:pStyle w:val="2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应用指导</w:t>
      </w:r>
    </w:p>
    <w:p w14:paraId="289FB7BC"/>
    <w:p w14:paraId="538DE1FF"/>
    <w:p w14:paraId="51B1CB3C">
      <w:pPr>
        <w:jc w:val="center"/>
      </w:pPr>
      <w:r>
        <w:drawing>
          <wp:inline distT="0" distB="0" distL="114300" distR="114300">
            <wp:extent cx="3832225" cy="1550670"/>
            <wp:effectExtent l="0" t="0" r="0" b="0"/>
            <wp:docPr id="18" name="图片 17" descr="65f91e9ede8511ff8378a49e0fde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65f91e9ede8511ff8378a49e0fde4cc"/>
                    <pic:cNvPicPr>
                      <a:picLocks noChangeAspect="1"/>
                    </pic:cNvPicPr>
                  </pic:nvPicPr>
                  <pic:blipFill>
                    <a:blip r:embed="rId4"/>
                    <a:srcRect t="23916" b="22003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1748"/>
    <w:p w14:paraId="0FF6DD28"/>
    <w:p w14:paraId="452AFE13"/>
    <w:p w14:paraId="7D35B572"/>
    <w:p w14:paraId="1B83B138"/>
    <w:p w14:paraId="04621122"/>
    <w:p w14:paraId="2E564F44"/>
    <w:p w14:paraId="5833C4AB"/>
    <w:p w14:paraId="11550884"/>
    <w:p w14:paraId="2FFCB9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/>
          <w:b/>
          <w:bCs/>
          <w:sz w:val="32"/>
          <w:szCs w:val="32"/>
          <w:lang w:val="en-US" w:eastAsia="zh-CN"/>
        </w:rPr>
        <w:t>2024年4月</w:t>
      </w:r>
    </w:p>
    <w:p w14:paraId="5EDEACBC"/>
    <w:p w14:paraId="4E62A70D"/>
    <w:p w14:paraId="7E184F4E">
      <w:pPr>
        <w:pStyle w:val="4"/>
        <w:ind w:firstLine="2241" w:firstLineChars="700"/>
        <w:jc w:val="both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杭州保威智能</w:t>
      </w:r>
      <w:r>
        <w:rPr>
          <w:rFonts w:hint="eastAsia"/>
          <w:sz w:val="32"/>
          <w:szCs w:val="32"/>
        </w:rPr>
        <w:t>科技有限公司</w:t>
      </w:r>
    </w:p>
    <w:p w14:paraId="2B8603B6"/>
    <w:p w14:paraId="43E71189">
      <w:pPr>
        <w:pStyle w:val="2"/>
        <w:rPr>
          <w:rFonts w:hint="default" w:eastAsiaTheme="minorEastAsia"/>
          <w:lang w:val="en-US" w:eastAsia="zh-CN"/>
        </w:rPr>
      </w:pPr>
      <w:r>
        <w:br w:type="page"/>
      </w:r>
    </w:p>
    <w:p w14:paraId="1BEAAB9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概述</w:t>
      </w:r>
    </w:p>
    <w:p w14:paraId="7182735C">
      <w:pPr>
        <w:spacing w:line="400" w:lineRule="exact"/>
        <w:ind w:firstLine="480" w:firstLineChars="20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本文档将重点阐述F280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03</w:t>
      </w:r>
      <w:r>
        <w:rPr>
          <w:rFonts w:hint="eastAsia" w:ascii="宋体" w:hAnsi="宋体" w:eastAsia="宋体"/>
          <w:sz w:val="24"/>
          <w:szCs w:val="28"/>
        </w:rPr>
        <w:t>x与A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03x</w:t>
      </w:r>
      <w:r>
        <w:rPr>
          <w:rFonts w:hint="eastAsia" w:ascii="宋体" w:hAnsi="宋体" w:eastAsia="宋体"/>
          <w:sz w:val="24"/>
          <w:szCs w:val="28"/>
        </w:rPr>
        <w:t>的差异性，以支持客户快速移植。行文将重点介绍两款芯片在应用或测试中关键注意点，如用户对具体功能模块有进一步了解需要，可查阅相应产品规格书。</w:t>
      </w:r>
    </w:p>
    <w:p w14:paraId="6595700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移植工程范围</w:t>
      </w:r>
    </w:p>
    <w:p w14:paraId="0DF5AE90">
      <w:pPr>
        <w:pStyle w:val="4"/>
        <w:numPr>
          <w:ilvl w:val="0"/>
          <w:numId w:val="2"/>
        </w:numPr>
      </w:pPr>
      <w:r>
        <w:rPr>
          <w:rFonts w:hint="eastAsia"/>
        </w:rPr>
        <w:t>器件资源差异性对比</w:t>
      </w:r>
    </w:p>
    <w:tbl>
      <w:tblPr>
        <w:tblStyle w:val="9"/>
        <w:tblW w:w="78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2650"/>
        <w:gridCol w:w="3289"/>
      </w:tblGrid>
      <w:tr w14:paraId="3474B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05" w:type="dxa"/>
            <w:vAlign w:val="center"/>
          </w:tcPr>
          <w:p w14:paraId="4BA42218">
            <w:pPr>
              <w:pStyle w:val="17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项点</w:t>
            </w:r>
          </w:p>
        </w:tc>
        <w:tc>
          <w:tcPr>
            <w:tcW w:w="2650" w:type="dxa"/>
            <w:vAlign w:val="center"/>
          </w:tcPr>
          <w:p w14:paraId="692F0B09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F280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03x</w:t>
            </w:r>
          </w:p>
        </w:tc>
        <w:tc>
          <w:tcPr>
            <w:tcW w:w="3289" w:type="dxa"/>
            <w:vAlign w:val="center"/>
          </w:tcPr>
          <w:p w14:paraId="480F3389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A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V</w:t>
            </w:r>
            <w:r>
              <w:rPr>
                <w:rFonts w:ascii="Times New Roman" w:hAnsi="Times New Roman" w:eastAsia="宋体" w:cs="Times New Roman"/>
                <w:sz w:val="22"/>
              </w:rPr>
              <w:t>P32F0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03x</w:t>
            </w:r>
          </w:p>
        </w:tc>
      </w:tr>
      <w:tr w14:paraId="1AFDA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53558AB4">
            <w:pPr>
              <w:pStyle w:val="17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芯片主频</w:t>
            </w:r>
            <w:r>
              <w:rPr>
                <w:rFonts w:ascii="Times New Roman" w:hAnsi="Times New Roman" w:eastAsia="宋体" w:cs="Times New Roman"/>
                <w:sz w:val="22"/>
              </w:rPr>
              <w:t>（MAX）</w:t>
            </w:r>
          </w:p>
        </w:tc>
        <w:tc>
          <w:tcPr>
            <w:tcW w:w="2650" w:type="dxa"/>
            <w:vAlign w:val="center"/>
          </w:tcPr>
          <w:p w14:paraId="5164BF1F">
            <w:pPr>
              <w:pStyle w:val="17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120</w:t>
            </w:r>
            <w:r>
              <w:rPr>
                <w:rFonts w:ascii="Times New Roman" w:hAnsi="Times New Roman" w:eastAsia="宋体" w:cs="Times New Roman"/>
                <w:sz w:val="22"/>
              </w:rPr>
              <w:t>Mhz @ CORE1.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sz w:val="22"/>
              </w:rPr>
              <w:t>V</w:t>
            </w:r>
          </w:p>
        </w:tc>
        <w:tc>
          <w:tcPr>
            <w:tcW w:w="3289" w:type="dxa"/>
            <w:vAlign w:val="center"/>
          </w:tcPr>
          <w:p w14:paraId="4C1D530B">
            <w:pPr>
              <w:pStyle w:val="17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120</w:t>
            </w:r>
            <w:r>
              <w:rPr>
                <w:rFonts w:ascii="Times New Roman" w:hAnsi="Times New Roman" w:eastAsia="宋体" w:cs="Times New Roman"/>
                <w:sz w:val="22"/>
              </w:rPr>
              <w:t>Mhz @ CORE1.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sz w:val="22"/>
              </w:rPr>
              <w:t>V</w:t>
            </w:r>
          </w:p>
        </w:tc>
      </w:tr>
      <w:tr w14:paraId="688F7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4D10143C">
            <w:pPr>
              <w:pStyle w:val="17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片内L</w:t>
            </w:r>
            <w:r>
              <w:rPr>
                <w:rFonts w:ascii="Times New Roman" w:hAnsi="Times New Roman" w:eastAsia="宋体" w:cs="Times New Roman"/>
                <w:sz w:val="22"/>
              </w:rPr>
              <w:t>DO</w:t>
            </w:r>
          </w:p>
        </w:tc>
        <w:tc>
          <w:tcPr>
            <w:tcW w:w="2650" w:type="dxa"/>
            <w:vAlign w:val="center"/>
          </w:tcPr>
          <w:p w14:paraId="0F4A957D">
            <w:pPr>
              <w:pStyle w:val="17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3</w:t>
            </w:r>
            <w:r>
              <w:rPr>
                <w:rFonts w:ascii="Times New Roman" w:hAnsi="Times New Roman" w:eastAsia="宋体" w:cs="Times New Roman"/>
                <w:sz w:val="22"/>
              </w:rPr>
              <w:t>.3/1.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 VREG</w:t>
            </w:r>
          </w:p>
        </w:tc>
        <w:tc>
          <w:tcPr>
            <w:tcW w:w="3289" w:type="dxa"/>
            <w:vAlign w:val="center"/>
          </w:tcPr>
          <w:p w14:paraId="3F9C71B6">
            <w:pPr>
              <w:pStyle w:val="17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3</w:t>
            </w:r>
            <w:r>
              <w:rPr>
                <w:rFonts w:ascii="Times New Roman" w:hAnsi="Times New Roman" w:eastAsia="宋体" w:cs="Times New Roman"/>
                <w:sz w:val="22"/>
              </w:rPr>
              <w:t>.3/1.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 VREG</w:t>
            </w:r>
          </w:p>
        </w:tc>
      </w:tr>
    </w:tbl>
    <w:p w14:paraId="2949517D">
      <w:pPr>
        <w:pStyle w:val="4"/>
        <w:numPr>
          <w:ilvl w:val="0"/>
          <w:numId w:val="2"/>
        </w:numPr>
      </w:pPr>
      <w:r>
        <w:rPr>
          <w:rFonts w:hint="eastAsia"/>
        </w:rPr>
        <w:t>芯片供电及上、下电时序</w:t>
      </w:r>
    </w:p>
    <w:p w14:paraId="550C4182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</w:rPr>
        <w:t>与F</w:t>
      </w:r>
      <w:r>
        <w:rPr>
          <w:rFonts w:ascii="宋体" w:hAnsi="宋体" w:eastAsia="宋体"/>
          <w:sz w:val="24"/>
          <w:szCs w:val="28"/>
        </w:rPr>
        <w:t>280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03x</w:t>
      </w:r>
      <w:r>
        <w:rPr>
          <w:rFonts w:hint="eastAsia" w:ascii="宋体" w:hAnsi="宋体" w:eastAsia="宋体"/>
          <w:sz w:val="24"/>
          <w:szCs w:val="28"/>
        </w:rPr>
        <w:t>类似，A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</w:t>
      </w:r>
      <w:r>
        <w:rPr>
          <w:rFonts w:hint="eastAsia" w:ascii="宋体" w:hAnsi="宋体" w:eastAsia="宋体"/>
          <w:sz w:val="24"/>
          <w:szCs w:val="28"/>
        </w:rPr>
        <w:t>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03x</w:t>
      </w:r>
      <w:r>
        <w:rPr>
          <w:rFonts w:hint="eastAsia" w:ascii="宋体" w:hAnsi="宋体" w:eastAsia="宋体"/>
          <w:sz w:val="24"/>
          <w:szCs w:val="28"/>
        </w:rPr>
        <w:t>同样支持板级</w:t>
      </w:r>
      <w:r>
        <w:rPr>
          <w:rFonts w:ascii="宋体" w:hAnsi="宋体" w:eastAsia="宋体"/>
          <w:sz w:val="24"/>
          <w:szCs w:val="28"/>
        </w:rPr>
        <w:t>3.3V</w:t>
      </w:r>
      <w:r>
        <w:rPr>
          <w:rFonts w:hint="eastAsia" w:ascii="宋体" w:hAnsi="宋体" w:eastAsia="宋体"/>
          <w:sz w:val="24"/>
          <w:szCs w:val="28"/>
        </w:rPr>
        <w:t>单电源供电方式。设计上做到供电方式兼容，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内部LDO已经调整为3.3V转1.1V，如果采用双电源供电模式，建议内核的供电调整为1.1V供电。</w:t>
      </w:r>
    </w:p>
    <w:p w14:paraId="690B1D16">
      <w:pPr>
        <w:spacing w:line="400" w:lineRule="exact"/>
        <w:ind w:firstLine="480" w:firstLineChars="20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器件的上、下电时序由芯片内部匹配，与原</w:t>
      </w:r>
      <w:r>
        <w:rPr>
          <w:rFonts w:ascii="宋体" w:hAnsi="宋体" w:eastAsia="宋体"/>
          <w:sz w:val="24"/>
          <w:szCs w:val="28"/>
        </w:rPr>
        <w:t>F280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03x</w:t>
      </w:r>
      <w:r>
        <w:rPr>
          <w:rFonts w:hint="eastAsia" w:ascii="宋体" w:hAnsi="宋体" w:eastAsia="宋体"/>
          <w:sz w:val="24"/>
          <w:szCs w:val="28"/>
        </w:rPr>
        <w:t>产品设计保持兼容，用户不需要做其它调整。</w:t>
      </w:r>
    </w:p>
    <w:p w14:paraId="6E359745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Flash 编程</w:t>
      </w:r>
    </w:p>
    <w:p w14:paraId="138BCC20">
      <w:pPr>
        <w:ind w:firstLine="480" w:firstLineChars="200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请勿在FLASH某一个BANK里运行FLASH擦除编程本BANK和另外一个BANK的代码，如有此类使用请将FLASH API搬移到RAM中运行，搬移只需改动CMD文件，具体改动如下：</w:t>
      </w:r>
    </w:p>
    <w:p w14:paraId="6A25EB53">
      <w:pPr>
        <w:ind w:firstLine="420"/>
      </w:pPr>
      <w:r>
        <w:drawing>
          <wp:inline distT="0" distB="0" distL="114300" distR="114300">
            <wp:extent cx="3618230" cy="2196465"/>
            <wp:effectExtent l="0" t="0" r="1270" b="133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823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703D1">
      <w:pPr>
        <w:ind w:firstLine="420"/>
      </w:pPr>
    </w:p>
    <w:p w14:paraId="4D769C9D">
      <w:pPr>
        <w:ind w:firstLine="420"/>
      </w:pPr>
    </w:p>
    <w:p w14:paraId="57AEB082">
      <w:pPr>
        <w:ind w:firstLine="420"/>
      </w:pPr>
    </w:p>
    <w:p w14:paraId="64192F5E">
      <w:pPr>
        <w:ind w:firstLine="420"/>
      </w:pPr>
    </w:p>
    <w:p w14:paraId="00386A5E">
      <w:pPr>
        <w:ind w:firstLine="420"/>
      </w:pPr>
    </w:p>
    <w:p w14:paraId="27D19F90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ADC特性</w:t>
      </w:r>
    </w:p>
    <w:p w14:paraId="7D78195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不同于上一代我司DSP的模拟部分，AVP32F003X系列ADC模块特性与28003x一致。</w:t>
      </w:r>
    </w:p>
    <w:p w14:paraId="459790FF">
      <w:r>
        <w:drawing>
          <wp:inline distT="0" distB="0" distL="114300" distR="114300">
            <wp:extent cx="5265420" cy="2997835"/>
            <wp:effectExtent l="0" t="0" r="1143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8B74C">
      <w:pPr>
        <w:pStyle w:val="5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AVP32F003xADC特性</w:t>
      </w:r>
    </w:p>
    <w:p w14:paraId="39EFEB77">
      <w:pPr>
        <w:jc w:val="center"/>
      </w:pPr>
      <w:r>
        <w:drawing>
          <wp:inline distT="0" distB="0" distL="114300" distR="114300">
            <wp:extent cx="4927600" cy="2840355"/>
            <wp:effectExtent l="0" t="0" r="6350" b="171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C29F5">
      <w:pPr>
        <w:pStyle w:val="5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28003xADC特性</w:t>
      </w:r>
      <w:bookmarkStart w:id="0" w:name="_GoBack"/>
      <w:bookmarkEnd w:id="0"/>
    </w:p>
    <w:p w14:paraId="7321A481"/>
    <w:p w14:paraId="0DD88C68">
      <w:pPr>
        <w:pStyle w:val="4"/>
        <w:numPr>
          <w:ilvl w:val="0"/>
          <w:numId w:val="2"/>
        </w:numPr>
      </w:pPr>
      <w:r>
        <w:rPr>
          <w:rFonts w:hint="eastAsia"/>
        </w:rPr>
        <w:t>器件开发</w:t>
      </w:r>
    </w:p>
    <w:p w14:paraId="26E9F7B6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  <w:r>
        <w:rPr>
          <w:rFonts w:ascii="宋体" w:hAnsi="宋体" w:eastAsia="宋体"/>
          <w:sz w:val="24"/>
          <w:szCs w:val="28"/>
        </w:rPr>
        <w:t>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03X器件</w:t>
      </w:r>
      <w:r>
        <w:rPr>
          <w:rFonts w:hint="eastAsia" w:ascii="宋体" w:hAnsi="宋体" w:eastAsia="宋体"/>
          <w:sz w:val="24"/>
          <w:szCs w:val="28"/>
        </w:rPr>
        <w:t>开发支持C</w:t>
      </w:r>
      <w:r>
        <w:rPr>
          <w:rFonts w:ascii="宋体" w:hAnsi="宋体" w:eastAsia="宋体"/>
          <w:sz w:val="24"/>
          <w:szCs w:val="28"/>
        </w:rPr>
        <w:t>CS</w:t>
      </w:r>
      <w:r>
        <w:rPr>
          <w:rFonts w:hint="eastAsia" w:ascii="宋体" w:hAnsi="宋体" w:eastAsia="宋体"/>
          <w:sz w:val="24"/>
          <w:szCs w:val="28"/>
        </w:rPr>
        <w:t>仿真代码工程环境，工程创建、调试可参照F280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03x</w:t>
      </w:r>
      <w:r>
        <w:rPr>
          <w:rFonts w:hint="eastAsia" w:ascii="宋体" w:hAnsi="宋体" w:eastAsia="宋体"/>
          <w:sz w:val="24"/>
          <w:szCs w:val="28"/>
        </w:rPr>
        <w:t>配置方式</w:t>
      </w:r>
      <w:r>
        <w:rPr>
          <w:rFonts w:hint="eastAsia" w:ascii="宋体" w:hAnsi="宋体" w:eastAsia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仿真器同样支持Ti的XDS系列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AE67B4"/>
    <w:multiLevelType w:val="multilevel"/>
    <w:tmpl w:val="15AE67B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43B2767"/>
    <w:multiLevelType w:val="multilevel"/>
    <w:tmpl w:val="543B276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NmMmIxYjBkYmU0NzhmZjg5ZjJiYTAyOTgzNWQzNDQifQ=="/>
  </w:docVars>
  <w:rsids>
    <w:rsidRoot w:val="00172A27"/>
    <w:rsid w:val="000200FA"/>
    <w:rsid w:val="00042322"/>
    <w:rsid w:val="00056EAC"/>
    <w:rsid w:val="00082EBE"/>
    <w:rsid w:val="000A71B5"/>
    <w:rsid w:val="001357C7"/>
    <w:rsid w:val="001460B7"/>
    <w:rsid w:val="00203666"/>
    <w:rsid w:val="00233C15"/>
    <w:rsid w:val="002362A1"/>
    <w:rsid w:val="0027003C"/>
    <w:rsid w:val="00291E9D"/>
    <w:rsid w:val="002C17FE"/>
    <w:rsid w:val="00302C9D"/>
    <w:rsid w:val="00311C2D"/>
    <w:rsid w:val="003501FE"/>
    <w:rsid w:val="00386D61"/>
    <w:rsid w:val="00402782"/>
    <w:rsid w:val="004A0573"/>
    <w:rsid w:val="004E3F89"/>
    <w:rsid w:val="004F6A34"/>
    <w:rsid w:val="0055387C"/>
    <w:rsid w:val="0058282F"/>
    <w:rsid w:val="005C6B96"/>
    <w:rsid w:val="00687FD3"/>
    <w:rsid w:val="006B1660"/>
    <w:rsid w:val="006C4A50"/>
    <w:rsid w:val="006E27E5"/>
    <w:rsid w:val="0073181F"/>
    <w:rsid w:val="00751F4C"/>
    <w:rsid w:val="00775E47"/>
    <w:rsid w:val="00784E7D"/>
    <w:rsid w:val="007C0779"/>
    <w:rsid w:val="00856271"/>
    <w:rsid w:val="008E03F8"/>
    <w:rsid w:val="009654C1"/>
    <w:rsid w:val="00977B27"/>
    <w:rsid w:val="009C25C8"/>
    <w:rsid w:val="009F7D7A"/>
    <w:rsid w:val="00A12EC2"/>
    <w:rsid w:val="00A2610D"/>
    <w:rsid w:val="00A636B9"/>
    <w:rsid w:val="00A744C0"/>
    <w:rsid w:val="00AA0490"/>
    <w:rsid w:val="00AA2EF0"/>
    <w:rsid w:val="00AC2C78"/>
    <w:rsid w:val="00AD690B"/>
    <w:rsid w:val="00B2775B"/>
    <w:rsid w:val="00B667FA"/>
    <w:rsid w:val="00BA24F2"/>
    <w:rsid w:val="00BB13F3"/>
    <w:rsid w:val="00C3163A"/>
    <w:rsid w:val="00C37758"/>
    <w:rsid w:val="00C45EB0"/>
    <w:rsid w:val="00CA098B"/>
    <w:rsid w:val="00CF5C73"/>
    <w:rsid w:val="00D37514"/>
    <w:rsid w:val="00D955F0"/>
    <w:rsid w:val="00E3593C"/>
    <w:rsid w:val="00E36F51"/>
    <w:rsid w:val="00E422AC"/>
    <w:rsid w:val="00EB4DA0"/>
    <w:rsid w:val="00EE1D12"/>
    <w:rsid w:val="00F1731E"/>
    <w:rsid w:val="00F43861"/>
    <w:rsid w:val="00F54E1D"/>
    <w:rsid w:val="00F64A3F"/>
    <w:rsid w:val="00F965B0"/>
    <w:rsid w:val="01C0753F"/>
    <w:rsid w:val="053578FC"/>
    <w:rsid w:val="06B331CE"/>
    <w:rsid w:val="07726BF9"/>
    <w:rsid w:val="08471E20"/>
    <w:rsid w:val="08724613"/>
    <w:rsid w:val="0967021B"/>
    <w:rsid w:val="09AD2157"/>
    <w:rsid w:val="0AC20208"/>
    <w:rsid w:val="0BE31C2B"/>
    <w:rsid w:val="0C1E10EA"/>
    <w:rsid w:val="0C4A6383"/>
    <w:rsid w:val="0C767178"/>
    <w:rsid w:val="0CB87790"/>
    <w:rsid w:val="0D482AAA"/>
    <w:rsid w:val="0E5350B0"/>
    <w:rsid w:val="0F361C13"/>
    <w:rsid w:val="0F5E153A"/>
    <w:rsid w:val="0FCA65E4"/>
    <w:rsid w:val="10284C2D"/>
    <w:rsid w:val="120668A8"/>
    <w:rsid w:val="1226519C"/>
    <w:rsid w:val="12821325"/>
    <w:rsid w:val="154716B1"/>
    <w:rsid w:val="155D1D45"/>
    <w:rsid w:val="159D7523"/>
    <w:rsid w:val="15C9656A"/>
    <w:rsid w:val="188B5D59"/>
    <w:rsid w:val="1B570174"/>
    <w:rsid w:val="1C8E406A"/>
    <w:rsid w:val="1D5A3F4C"/>
    <w:rsid w:val="1DA065E5"/>
    <w:rsid w:val="1E01326C"/>
    <w:rsid w:val="1E083FE5"/>
    <w:rsid w:val="1E744143"/>
    <w:rsid w:val="1F1C07A4"/>
    <w:rsid w:val="1F881244"/>
    <w:rsid w:val="211D776A"/>
    <w:rsid w:val="21BA76AF"/>
    <w:rsid w:val="22556012"/>
    <w:rsid w:val="241F2DEA"/>
    <w:rsid w:val="261800D8"/>
    <w:rsid w:val="26D0619C"/>
    <w:rsid w:val="274041B2"/>
    <w:rsid w:val="297C402E"/>
    <w:rsid w:val="2A3E2317"/>
    <w:rsid w:val="2BE617CC"/>
    <w:rsid w:val="2C44527B"/>
    <w:rsid w:val="2CEE36DD"/>
    <w:rsid w:val="2D8E397D"/>
    <w:rsid w:val="2E450300"/>
    <w:rsid w:val="2EB97B04"/>
    <w:rsid w:val="30D15517"/>
    <w:rsid w:val="31054B7D"/>
    <w:rsid w:val="31717D8A"/>
    <w:rsid w:val="332951E6"/>
    <w:rsid w:val="34CA4BB0"/>
    <w:rsid w:val="356C4689"/>
    <w:rsid w:val="3AD9074E"/>
    <w:rsid w:val="3C60131B"/>
    <w:rsid w:val="3C6D55F2"/>
    <w:rsid w:val="3DA175BC"/>
    <w:rsid w:val="3E412892"/>
    <w:rsid w:val="3FAC4683"/>
    <w:rsid w:val="40CB0B39"/>
    <w:rsid w:val="41202C33"/>
    <w:rsid w:val="41334E88"/>
    <w:rsid w:val="43AC070B"/>
    <w:rsid w:val="447A6AFE"/>
    <w:rsid w:val="453A628D"/>
    <w:rsid w:val="457277D5"/>
    <w:rsid w:val="45AA6F6F"/>
    <w:rsid w:val="46E841F3"/>
    <w:rsid w:val="47072ED7"/>
    <w:rsid w:val="474878A2"/>
    <w:rsid w:val="47EB386F"/>
    <w:rsid w:val="483D6B6B"/>
    <w:rsid w:val="4CE74F4D"/>
    <w:rsid w:val="4D930C30"/>
    <w:rsid w:val="4F287879"/>
    <w:rsid w:val="50F6575E"/>
    <w:rsid w:val="5268268C"/>
    <w:rsid w:val="559F4616"/>
    <w:rsid w:val="55A82D9F"/>
    <w:rsid w:val="57B974E6"/>
    <w:rsid w:val="583D1EC5"/>
    <w:rsid w:val="58633C2C"/>
    <w:rsid w:val="59AD6BD6"/>
    <w:rsid w:val="5C891B7C"/>
    <w:rsid w:val="5D9C768D"/>
    <w:rsid w:val="5DB26EB1"/>
    <w:rsid w:val="5E2A4C99"/>
    <w:rsid w:val="5E7423B8"/>
    <w:rsid w:val="5EC33BE0"/>
    <w:rsid w:val="5EDC6E6B"/>
    <w:rsid w:val="5F9521D5"/>
    <w:rsid w:val="60493074"/>
    <w:rsid w:val="60CB2537"/>
    <w:rsid w:val="61546593"/>
    <w:rsid w:val="64D911C7"/>
    <w:rsid w:val="654725D5"/>
    <w:rsid w:val="65D31826"/>
    <w:rsid w:val="65D5373C"/>
    <w:rsid w:val="666D606B"/>
    <w:rsid w:val="66D17FF3"/>
    <w:rsid w:val="66E709E7"/>
    <w:rsid w:val="69E2467A"/>
    <w:rsid w:val="6B0912EB"/>
    <w:rsid w:val="6B6D2669"/>
    <w:rsid w:val="6C18431D"/>
    <w:rsid w:val="6CBE13CE"/>
    <w:rsid w:val="6DAC56CB"/>
    <w:rsid w:val="6DE8029B"/>
    <w:rsid w:val="70CB5E68"/>
    <w:rsid w:val="74DA0703"/>
    <w:rsid w:val="75FC4D15"/>
    <w:rsid w:val="764566BC"/>
    <w:rsid w:val="76487F5B"/>
    <w:rsid w:val="772C5186"/>
    <w:rsid w:val="777F348A"/>
    <w:rsid w:val="794669D3"/>
    <w:rsid w:val="7A8303BA"/>
    <w:rsid w:val="7B584FE0"/>
    <w:rsid w:val="7BF66804"/>
    <w:rsid w:val="7C06069C"/>
    <w:rsid w:val="7C3F4A57"/>
    <w:rsid w:val="7E06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3"/>
    <w:unhideWhenUsed/>
    <w:qFormat/>
    <w:uiPriority w:val="9"/>
    <w:pPr>
      <w:keepNext/>
      <w:keepLines/>
      <w:widowControl/>
      <w:adjustRightInd w:val="0"/>
      <w:snapToGrid w:val="0"/>
      <w:spacing w:line="240" w:lineRule="atLeast"/>
      <w:jc w:val="left"/>
      <w:outlineLvl w:val="2"/>
    </w:pPr>
    <w:rPr>
      <w:rFonts w:ascii="Tahoma" w:hAnsi="Tahoma" w:eastAsia="微软雅黑" w:cs="Tahoma"/>
      <w:b/>
      <w:bCs/>
      <w:kern w:val="0"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3">
    <w:name w:val="标题 3 字符"/>
    <w:basedOn w:val="10"/>
    <w:link w:val="4"/>
    <w:qFormat/>
    <w:uiPriority w:val="9"/>
    <w:rPr>
      <w:rFonts w:ascii="Tahoma" w:hAnsi="Tahoma" w:eastAsia="微软雅黑" w:cs="Tahoma"/>
      <w:b/>
      <w:bCs/>
      <w:kern w:val="0"/>
      <w:sz w:val="28"/>
      <w:szCs w:val="28"/>
    </w:rPr>
  </w:style>
  <w:style w:type="character" w:customStyle="1" w:styleId="14">
    <w:name w:val="页眉 字符"/>
    <w:basedOn w:val="10"/>
    <w:link w:val="7"/>
    <w:qFormat/>
    <w:uiPriority w:val="99"/>
    <w:rPr>
      <w:sz w:val="18"/>
      <w:szCs w:val="18"/>
    </w:rPr>
  </w:style>
  <w:style w:type="character" w:customStyle="1" w:styleId="15">
    <w:name w:val="页脚 字符"/>
    <w:basedOn w:val="10"/>
    <w:link w:val="6"/>
    <w:qFormat/>
    <w:uiPriority w:val="99"/>
    <w:rPr>
      <w:sz w:val="18"/>
      <w:szCs w:val="18"/>
    </w:rPr>
  </w:style>
  <w:style w:type="character" w:customStyle="1" w:styleId="16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table" w:customStyle="1" w:styleId="18">
    <w:name w:val="Table Normal"/>
    <w:semiHidden/>
    <w:unhideWhenUsed/>
    <w:qFormat/>
    <w:uiPriority w:val="2"/>
    <w:pPr>
      <w:widowControl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9">
    <w:name w:val="Table Paragraph"/>
    <w:basedOn w:val="1"/>
    <w:qFormat/>
    <w:uiPriority w:val="1"/>
    <w:pPr>
      <w:jc w:val="left"/>
    </w:pPr>
    <w:rPr>
      <w:kern w:val="0"/>
      <w:sz w:val="22"/>
      <w:lang w:eastAsia="en-US"/>
    </w:rPr>
  </w:style>
  <w:style w:type="character" w:customStyle="1" w:styleId="20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1">
    <w:name w:val="无间隔1"/>
    <w:link w:val="22"/>
    <w:qFormat/>
    <w:uiPriority w:val="1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character" w:customStyle="1" w:styleId="22">
    <w:name w:val="无间隔 Char"/>
    <w:basedOn w:val="10"/>
    <w:link w:val="21"/>
    <w:qFormat/>
    <w:uiPriority w:val="1"/>
    <w:rPr>
      <w:rFonts w:ascii="Calibri" w:hAnsi="Calibri" w:eastAsia="宋体" w:cs="Times New Roman"/>
      <w:kern w:val="0"/>
      <w:sz w:val="22"/>
    </w:rPr>
  </w:style>
  <w:style w:type="table" w:customStyle="1" w:styleId="23">
    <w:name w:val="浅色网格 - 强调文字颜色 12"/>
    <w:basedOn w:val="8"/>
    <w:qFormat/>
    <w:uiPriority w:val="62"/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CF0" w:themeFill="accent1" w:themeFillTint="3F"/>
      </w:tcPr>
    </w:tblStylePr>
    <w:tblStylePr w:type="band1Horz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  <w:shd w:val="clear" w:color="auto" w:fill="D0DCF0" w:themeFill="accent1" w:themeFillTint="3F"/>
      </w:tcPr>
    </w:tblStylePr>
    <w:tblStylePr w:type="band2Horz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</w:tcPr>
    </w:tblStylePr>
  </w:style>
  <w:style w:type="paragraph" w:styleId="24">
    <w:name w:val="No Spacing"/>
    <w:qFormat/>
    <w:uiPriority w:val="1"/>
    <w:pPr>
      <w:widowControl w:val="0"/>
      <w:spacing w:line="240" w:lineRule="auto"/>
      <w:ind w:firstLine="0" w:firstLineChars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390</Words>
  <Characters>573</Characters>
  <Lines>17</Lines>
  <Paragraphs>4</Paragraphs>
  <TotalTime>1</TotalTime>
  <ScaleCrop>false</ScaleCrop>
  <LinksUpToDate>false</LinksUpToDate>
  <CharactersWithSpaces>613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2021-01-21T01:18:00Z</dcterms:created>
  <dc:creator>Tang Jeffrey</dc:creator>
  <cp:lastModifiedBy>Biy</cp:lastModifiedBy>
  <dcterms:modified xsi:type="dcterms:W3CDTF">2025-04-14T02:14:24Z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6724560349044229B3050352AA06F568_12</vt:lpwstr>
  </property>
  <property fmtid="{D5CDD505-2E9C-101B-9397-08002B2CF9AE}" pid="4" name="KSOTemplateDocerSaveRecord">
    <vt:lpwstr>eyJoZGlkIjoiMjNmMmIxYjBkYmU0NzhmZjg5ZjJiYTAyOTgzNWQzNDQiLCJ1c2VySWQiOiIzOTY0OTQ5MzQifQ==</vt:lpwstr>
  </property>
</Properties>
</file>