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C21B3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AVP32F0039与0036资源对比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23"/>
        <w:gridCol w:w="1008"/>
        <w:gridCol w:w="1038"/>
        <w:gridCol w:w="1038"/>
        <w:gridCol w:w="2076"/>
      </w:tblGrid>
      <w:tr w14:paraId="002E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</w:tcPr>
          <w:p w14:paraId="78975C15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特性</w:t>
            </w:r>
          </w:p>
        </w:tc>
        <w:tc>
          <w:tcPr>
            <w:tcW w:w="2076" w:type="dxa"/>
            <w:gridSpan w:val="2"/>
          </w:tcPr>
          <w:p w14:paraId="62F323F7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AVP32F0039</w:t>
            </w:r>
          </w:p>
        </w:tc>
        <w:tc>
          <w:tcPr>
            <w:tcW w:w="2076" w:type="dxa"/>
          </w:tcPr>
          <w:p w14:paraId="4686988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AVP32F0036</w:t>
            </w:r>
          </w:p>
        </w:tc>
      </w:tr>
      <w:tr w14:paraId="6A1C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2"/>
            <w:vMerge w:val="restart"/>
            <w:vAlign w:val="center"/>
          </w:tcPr>
          <w:p w14:paraId="482AE8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C28x/A2000</w:t>
            </w:r>
          </w:p>
        </w:tc>
        <w:tc>
          <w:tcPr>
            <w:tcW w:w="1008" w:type="dxa"/>
            <w:vAlign w:val="center"/>
          </w:tcPr>
          <w:p w14:paraId="08D5FA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频率（MHz）</w:t>
            </w:r>
          </w:p>
        </w:tc>
        <w:tc>
          <w:tcPr>
            <w:tcW w:w="2076" w:type="dxa"/>
            <w:gridSpan w:val="2"/>
          </w:tcPr>
          <w:p w14:paraId="46E19C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  <w:tc>
          <w:tcPr>
            <w:tcW w:w="2076" w:type="dxa"/>
            <w:shd w:val="clear"/>
            <w:vAlign w:val="top"/>
          </w:tcPr>
          <w:p w14:paraId="5A44C35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  <w:tr w14:paraId="47868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2"/>
            <w:vMerge w:val="continue"/>
          </w:tcPr>
          <w:p w14:paraId="3B01CE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08" w:type="dxa"/>
          </w:tcPr>
          <w:p w14:paraId="0923CE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FPU</w:t>
            </w:r>
          </w:p>
        </w:tc>
        <w:tc>
          <w:tcPr>
            <w:tcW w:w="2076" w:type="dxa"/>
            <w:gridSpan w:val="2"/>
          </w:tcPr>
          <w:p w14:paraId="044F10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shd w:val="clear"/>
            <w:vAlign w:val="top"/>
          </w:tcPr>
          <w:p w14:paraId="4FA1A09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08CB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2"/>
            <w:vMerge w:val="continue"/>
          </w:tcPr>
          <w:p w14:paraId="57BCD1A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08" w:type="dxa"/>
          </w:tcPr>
          <w:p w14:paraId="0EE2B0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VCRC</w:t>
            </w:r>
          </w:p>
        </w:tc>
        <w:tc>
          <w:tcPr>
            <w:tcW w:w="2076" w:type="dxa"/>
            <w:gridSpan w:val="2"/>
          </w:tcPr>
          <w:p w14:paraId="56AC7A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shd w:val="clear"/>
            <w:vAlign w:val="top"/>
          </w:tcPr>
          <w:p w14:paraId="4DB9B83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3263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3" w:type="dxa"/>
            <w:gridSpan w:val="2"/>
            <w:vMerge w:val="continue"/>
          </w:tcPr>
          <w:p w14:paraId="6E2FA5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08" w:type="dxa"/>
          </w:tcPr>
          <w:p w14:paraId="0B2019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TMU</w:t>
            </w:r>
          </w:p>
        </w:tc>
        <w:tc>
          <w:tcPr>
            <w:tcW w:w="2076" w:type="dxa"/>
            <w:gridSpan w:val="2"/>
          </w:tcPr>
          <w:p w14:paraId="06AE74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shd w:val="clear"/>
            <w:vAlign w:val="top"/>
          </w:tcPr>
          <w:p w14:paraId="5C725C8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7F9B9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1253" w:type="dxa"/>
            <w:gridSpan w:val="2"/>
            <w:vMerge w:val="restart"/>
            <w:vAlign w:val="center"/>
          </w:tcPr>
          <w:p w14:paraId="24CA80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CLA-Type-2</w:t>
            </w:r>
          </w:p>
        </w:tc>
        <w:tc>
          <w:tcPr>
            <w:tcW w:w="1008" w:type="dxa"/>
          </w:tcPr>
          <w:p w14:paraId="09C630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可提供</w:t>
            </w:r>
          </w:p>
        </w:tc>
        <w:tc>
          <w:tcPr>
            <w:tcW w:w="2076" w:type="dxa"/>
            <w:gridSpan w:val="2"/>
            <w:vAlign w:val="center"/>
          </w:tcPr>
          <w:p w14:paraId="375BA7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shd w:val="clear"/>
            <w:vAlign w:val="top"/>
          </w:tcPr>
          <w:p w14:paraId="444B0ED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0049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1253" w:type="dxa"/>
            <w:gridSpan w:val="2"/>
            <w:vMerge w:val="continue"/>
          </w:tcPr>
          <w:p w14:paraId="003DC5CD"/>
        </w:tc>
        <w:tc>
          <w:tcPr>
            <w:tcW w:w="1008" w:type="dxa"/>
          </w:tcPr>
          <w:p w14:paraId="0DD99D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频率（MHz）</w:t>
            </w:r>
          </w:p>
        </w:tc>
        <w:tc>
          <w:tcPr>
            <w:tcW w:w="2076" w:type="dxa"/>
            <w:gridSpan w:val="2"/>
          </w:tcPr>
          <w:p w14:paraId="0CD50D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  <w:tc>
          <w:tcPr>
            <w:tcW w:w="2076" w:type="dxa"/>
            <w:shd w:val="clear"/>
            <w:vAlign w:val="top"/>
          </w:tcPr>
          <w:p w14:paraId="07BF42D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  <w:tr w14:paraId="4939B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</w:tcPr>
          <w:p w14:paraId="50217B4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6通道DMA-Type-0</w:t>
            </w:r>
          </w:p>
        </w:tc>
        <w:tc>
          <w:tcPr>
            <w:tcW w:w="2076" w:type="dxa"/>
            <w:gridSpan w:val="2"/>
          </w:tcPr>
          <w:p w14:paraId="2FA427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shd w:val="clear"/>
            <w:vAlign w:val="top"/>
          </w:tcPr>
          <w:p w14:paraId="7AD4F7F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47C0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</w:tcPr>
          <w:p w14:paraId="366433D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外部中断</w:t>
            </w:r>
          </w:p>
        </w:tc>
        <w:tc>
          <w:tcPr>
            <w:tcW w:w="2076" w:type="dxa"/>
            <w:gridSpan w:val="2"/>
          </w:tcPr>
          <w:p w14:paraId="2F48F2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076" w:type="dxa"/>
            <w:shd w:val="clear"/>
            <w:vAlign w:val="top"/>
          </w:tcPr>
          <w:p w14:paraId="0C1FCCD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69D4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</w:tcPr>
          <w:p w14:paraId="5B96FF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闪存</w:t>
            </w:r>
          </w:p>
        </w:tc>
        <w:tc>
          <w:tcPr>
            <w:tcW w:w="2076" w:type="dxa"/>
            <w:gridSpan w:val="2"/>
          </w:tcPr>
          <w:p w14:paraId="727D67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384KB</w:t>
            </w:r>
          </w:p>
        </w:tc>
        <w:tc>
          <w:tcPr>
            <w:tcW w:w="2076" w:type="dxa"/>
          </w:tcPr>
          <w:p w14:paraId="106896C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256KB</w:t>
            </w:r>
          </w:p>
        </w:tc>
      </w:tr>
      <w:tr w14:paraId="463A9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130" w:type="dxa"/>
            <w:vMerge w:val="restart"/>
            <w:vAlign w:val="center"/>
          </w:tcPr>
          <w:p w14:paraId="25098C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RAM</w:t>
            </w:r>
          </w:p>
        </w:tc>
        <w:tc>
          <w:tcPr>
            <w:tcW w:w="1131" w:type="dxa"/>
            <w:gridSpan w:val="2"/>
            <w:vAlign w:val="center"/>
          </w:tcPr>
          <w:p w14:paraId="4C03A9BC">
            <w:pPr>
              <w:jc w:val="both"/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专用和本地共享</w:t>
            </w:r>
          </w:p>
          <w:p w14:paraId="53A99CCF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消息</w:t>
            </w:r>
          </w:p>
        </w:tc>
        <w:tc>
          <w:tcPr>
            <w:tcW w:w="2076" w:type="dxa"/>
            <w:gridSpan w:val="2"/>
            <w:vAlign w:val="center"/>
          </w:tcPr>
          <w:p w14:paraId="6E7DF3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37KB</w:t>
            </w:r>
          </w:p>
        </w:tc>
        <w:tc>
          <w:tcPr>
            <w:tcW w:w="2076" w:type="dxa"/>
            <w:shd w:val="clear"/>
            <w:vAlign w:val="center"/>
          </w:tcPr>
          <w:p w14:paraId="53D2F34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37KB</w:t>
            </w:r>
          </w:p>
        </w:tc>
      </w:tr>
      <w:tr w14:paraId="15BE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130" w:type="dxa"/>
            <w:vMerge w:val="continue"/>
            <w:vAlign w:val="center"/>
          </w:tcPr>
          <w:p w14:paraId="6D368D06"/>
        </w:tc>
        <w:tc>
          <w:tcPr>
            <w:tcW w:w="1131" w:type="dxa"/>
            <w:gridSpan w:val="2"/>
            <w:vAlign w:val="center"/>
          </w:tcPr>
          <w:p w14:paraId="3392DDB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全局共享</w:t>
            </w:r>
          </w:p>
        </w:tc>
        <w:tc>
          <w:tcPr>
            <w:tcW w:w="2076" w:type="dxa"/>
            <w:gridSpan w:val="2"/>
            <w:vAlign w:val="center"/>
          </w:tcPr>
          <w:p w14:paraId="76FA5A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32KB</w:t>
            </w:r>
          </w:p>
        </w:tc>
        <w:tc>
          <w:tcPr>
            <w:tcW w:w="2076" w:type="dxa"/>
            <w:shd w:val="clear"/>
            <w:vAlign w:val="center"/>
          </w:tcPr>
          <w:p w14:paraId="4DB4903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32KB</w:t>
            </w:r>
          </w:p>
        </w:tc>
      </w:tr>
      <w:tr w14:paraId="23C3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1130" w:type="dxa"/>
            <w:vMerge w:val="continue"/>
            <w:vAlign w:val="center"/>
          </w:tcPr>
          <w:p w14:paraId="52C4A19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0B772A36">
            <w:pPr>
              <w:jc w:val="both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总计</w:t>
            </w:r>
          </w:p>
        </w:tc>
        <w:tc>
          <w:tcPr>
            <w:tcW w:w="2076" w:type="dxa"/>
            <w:gridSpan w:val="2"/>
            <w:vAlign w:val="center"/>
          </w:tcPr>
          <w:p w14:paraId="276C95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69KB</w:t>
            </w:r>
          </w:p>
        </w:tc>
        <w:tc>
          <w:tcPr>
            <w:tcW w:w="2076" w:type="dxa"/>
            <w:shd w:val="clear"/>
            <w:vAlign w:val="center"/>
          </w:tcPr>
          <w:p w14:paraId="09D3527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69KB</w:t>
            </w:r>
          </w:p>
        </w:tc>
      </w:tr>
      <w:tr w14:paraId="62881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41FAC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片上闪存和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RAM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的代码安全性</w:t>
            </w:r>
          </w:p>
        </w:tc>
        <w:tc>
          <w:tcPr>
            <w:tcW w:w="2076" w:type="dxa"/>
            <w:gridSpan w:val="2"/>
          </w:tcPr>
          <w:p w14:paraId="215E7E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</w:tcPr>
          <w:p w14:paraId="0331BEA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1FEF9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F2A3AFA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可配置逻辑块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(CLB)</w:t>
            </w:r>
          </w:p>
        </w:tc>
        <w:tc>
          <w:tcPr>
            <w:tcW w:w="2076" w:type="dxa"/>
            <w:gridSpan w:val="2"/>
          </w:tcPr>
          <w:p w14:paraId="283353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4个逻辑块</w:t>
            </w:r>
          </w:p>
        </w:tc>
        <w:tc>
          <w:tcPr>
            <w:tcW w:w="2076" w:type="dxa"/>
            <w:shd w:val="clear"/>
            <w:vAlign w:val="top"/>
          </w:tcPr>
          <w:p w14:paraId="726831B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4个逻辑块</w:t>
            </w:r>
          </w:p>
        </w:tc>
      </w:tr>
      <w:tr w14:paraId="6241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4670CC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神经网络处理单元（NPU）</w:t>
            </w:r>
          </w:p>
        </w:tc>
        <w:tc>
          <w:tcPr>
            <w:tcW w:w="2076" w:type="dxa"/>
            <w:gridSpan w:val="2"/>
          </w:tcPr>
          <w:p w14:paraId="3A5224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  <w:tc>
          <w:tcPr>
            <w:tcW w:w="2076" w:type="dxa"/>
            <w:shd w:val="clear"/>
            <w:vAlign w:val="top"/>
          </w:tcPr>
          <w:p w14:paraId="30FCF34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</w:t>
            </w:r>
          </w:p>
        </w:tc>
      </w:tr>
      <w:tr w14:paraId="79F1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20F1EEA2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嵌入式图形发生器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(EPG)</w:t>
            </w:r>
          </w:p>
        </w:tc>
        <w:tc>
          <w:tcPr>
            <w:tcW w:w="2076" w:type="dxa"/>
            <w:gridSpan w:val="2"/>
          </w:tcPr>
          <w:p w14:paraId="3ED805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34E9964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0600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357EBC6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32 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位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CPU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定时器</w:t>
            </w:r>
          </w:p>
        </w:tc>
        <w:tc>
          <w:tcPr>
            <w:tcW w:w="2076" w:type="dxa"/>
            <w:gridSpan w:val="2"/>
          </w:tcPr>
          <w:p w14:paraId="1FBAF3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7DAD469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1C50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1D370F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高级加密标准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(AES)</w:t>
            </w:r>
          </w:p>
        </w:tc>
        <w:tc>
          <w:tcPr>
            <w:tcW w:w="2076" w:type="dxa"/>
            <w:gridSpan w:val="2"/>
          </w:tcPr>
          <w:p w14:paraId="718A03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0E8FFC5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5CC10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19D32C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后台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CRC (BGCRC)</w:t>
            </w:r>
          </w:p>
        </w:tc>
        <w:tc>
          <w:tcPr>
            <w:tcW w:w="2076" w:type="dxa"/>
            <w:gridSpan w:val="2"/>
          </w:tcPr>
          <w:p w14:paraId="6EE246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786F2E8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1DC7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19E3597C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实时固件更新（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LFU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）支持</w:t>
            </w:r>
          </w:p>
        </w:tc>
        <w:tc>
          <w:tcPr>
            <w:tcW w:w="2076" w:type="dxa"/>
            <w:gridSpan w:val="2"/>
          </w:tcPr>
          <w:p w14:paraId="2E69EA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5569F7C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1F41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152F040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sz w:val="13"/>
                <w:szCs w:val="13"/>
              </w:rPr>
              <w:t>硬件内置自检 (HWBIST)</w:t>
            </w:r>
          </w:p>
        </w:tc>
        <w:tc>
          <w:tcPr>
            <w:tcW w:w="2076" w:type="dxa"/>
            <w:gridSpan w:val="2"/>
          </w:tcPr>
          <w:p w14:paraId="5E99B9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24AA34C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23A5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1024C3B1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ascii="微软雅黑" w:hAnsi="微软雅黑" w:eastAsia="微软雅黑" w:cs="微软雅黑"/>
                <w:color w:val="000000"/>
                <w:kern w:val="0"/>
                <w:sz w:val="11"/>
                <w:szCs w:val="11"/>
                <w:lang w:val="en-US" w:eastAsia="zh-CN" w:bidi="ar"/>
              </w:rPr>
              <w:t xml:space="preserve">非可屏蔽中断看门狗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1"/>
                <w:szCs w:val="11"/>
                <w:lang w:val="en-US" w:eastAsia="zh-CN" w:bidi="ar"/>
              </w:rPr>
              <w:t xml:space="preserve">(NMIWD)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1"/>
                <w:szCs w:val="11"/>
                <w:lang w:val="en-US" w:eastAsia="zh-CN" w:bidi="ar"/>
              </w:rPr>
              <w:t>定时器</w:t>
            </w:r>
          </w:p>
        </w:tc>
        <w:tc>
          <w:tcPr>
            <w:tcW w:w="2076" w:type="dxa"/>
            <w:gridSpan w:val="2"/>
          </w:tcPr>
          <w:p w14:paraId="37E930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5DC3DFA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45C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E40E6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看门狗计数器</w:t>
            </w:r>
          </w:p>
        </w:tc>
        <w:tc>
          <w:tcPr>
            <w:tcW w:w="2076" w:type="dxa"/>
            <w:gridSpan w:val="2"/>
          </w:tcPr>
          <w:p w14:paraId="3BA4B7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1FCA27E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18B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1CBA7F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晶体振荡器/外部时钟输入</w:t>
            </w:r>
          </w:p>
        </w:tc>
        <w:tc>
          <w:tcPr>
            <w:tcW w:w="2076" w:type="dxa"/>
            <w:gridSpan w:val="2"/>
          </w:tcPr>
          <w:p w14:paraId="330A21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5819164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BF23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038FD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内部振荡器</w:t>
            </w:r>
          </w:p>
        </w:tc>
        <w:tc>
          <w:tcPr>
            <w:tcW w:w="2076" w:type="dxa"/>
            <w:gridSpan w:val="2"/>
          </w:tcPr>
          <w:p w14:paraId="3AE47D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shd w:val="clear" w:color="auto" w:fill="auto"/>
            <w:vAlign w:val="top"/>
          </w:tcPr>
          <w:p w14:paraId="212B4FF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23B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restart"/>
            <w:vAlign w:val="center"/>
          </w:tcPr>
          <w:p w14:paraId="2F118E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GPIO</w:t>
            </w:r>
          </w:p>
        </w:tc>
        <w:tc>
          <w:tcPr>
            <w:tcW w:w="1038" w:type="dxa"/>
          </w:tcPr>
          <w:p w14:paraId="58C9E4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64Q</w:t>
            </w:r>
          </w:p>
        </w:tc>
        <w:tc>
          <w:tcPr>
            <w:tcW w:w="1038" w:type="dxa"/>
          </w:tcPr>
          <w:p w14:paraId="282331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2076" w:type="dxa"/>
          </w:tcPr>
          <w:p w14:paraId="3EC6276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</w:tr>
      <w:tr w14:paraId="39732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Merge w:val="continue"/>
            <w:tcBorders/>
            <w:vAlign w:val="center"/>
          </w:tcPr>
          <w:p w14:paraId="3BE9E369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038" w:type="dxa"/>
          </w:tcPr>
          <w:p w14:paraId="798B4DC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附加GPIO</w:t>
            </w:r>
          </w:p>
        </w:tc>
        <w:tc>
          <w:tcPr>
            <w:tcW w:w="1038" w:type="dxa"/>
          </w:tcPr>
          <w:p w14:paraId="1EC3D5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076" w:type="dxa"/>
          </w:tcPr>
          <w:p w14:paraId="327172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2551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581EE17F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AIO(具有数字输入的模拟)</w:t>
            </w:r>
          </w:p>
        </w:tc>
        <w:tc>
          <w:tcPr>
            <w:tcW w:w="1038" w:type="dxa"/>
          </w:tcPr>
          <w:p w14:paraId="62F3FD99">
            <w:pPr>
              <w:jc w:val="center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64Q</w:t>
            </w:r>
          </w:p>
        </w:tc>
        <w:tc>
          <w:tcPr>
            <w:tcW w:w="1038" w:type="dxa"/>
          </w:tcPr>
          <w:p w14:paraId="0E4E67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076" w:type="dxa"/>
          </w:tcPr>
          <w:p w14:paraId="7DC5939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20FCC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Merge w:val="restart"/>
            <w:vAlign w:val="center"/>
          </w:tcPr>
          <w:p w14:paraId="3164E5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ADC 12位</w:t>
            </w:r>
          </w:p>
        </w:tc>
        <w:tc>
          <w:tcPr>
            <w:tcW w:w="1131" w:type="dxa"/>
            <w:gridSpan w:val="2"/>
            <w:vAlign w:val="center"/>
          </w:tcPr>
          <w:p w14:paraId="533328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ADC数量</w:t>
            </w:r>
          </w:p>
        </w:tc>
        <w:tc>
          <w:tcPr>
            <w:tcW w:w="2076" w:type="dxa"/>
            <w:gridSpan w:val="2"/>
          </w:tcPr>
          <w:p w14:paraId="0EC1A6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076" w:type="dxa"/>
          </w:tcPr>
          <w:p w14:paraId="57A0FE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507B7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Merge w:val="continue"/>
            <w:tcBorders/>
            <w:vAlign w:val="center"/>
          </w:tcPr>
          <w:p w14:paraId="6BA10155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522D0B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MSPS</w:t>
            </w:r>
          </w:p>
        </w:tc>
        <w:tc>
          <w:tcPr>
            <w:tcW w:w="2076" w:type="dxa"/>
            <w:gridSpan w:val="2"/>
          </w:tcPr>
          <w:p w14:paraId="105D48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076" w:type="dxa"/>
          </w:tcPr>
          <w:p w14:paraId="5153D9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6B9EE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Merge w:val="continue"/>
            <w:tcBorders/>
            <w:vAlign w:val="center"/>
          </w:tcPr>
          <w:p w14:paraId="66C66229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3B0CD0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转换时间(ns)</w:t>
            </w:r>
          </w:p>
        </w:tc>
        <w:tc>
          <w:tcPr>
            <w:tcW w:w="2076" w:type="dxa"/>
            <w:gridSpan w:val="2"/>
          </w:tcPr>
          <w:p w14:paraId="21353A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250</w:t>
            </w:r>
          </w:p>
        </w:tc>
        <w:tc>
          <w:tcPr>
            <w:tcW w:w="2076" w:type="dxa"/>
          </w:tcPr>
          <w:p w14:paraId="0FDE32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250</w:t>
            </w:r>
          </w:p>
        </w:tc>
      </w:tr>
      <w:tr w14:paraId="1C42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dxa"/>
            <w:vAlign w:val="center"/>
          </w:tcPr>
          <w:p w14:paraId="4CEC051D">
            <w:pPr>
              <w:keepNext w:val="0"/>
              <w:keepLines w:val="0"/>
              <w:widowControl/>
              <w:suppressLineNumbers w:val="0"/>
              <w:jc w:val="center"/>
              <w:rPr>
                <w:rFonts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ADC通道</w:t>
            </w:r>
          </w:p>
        </w:tc>
        <w:tc>
          <w:tcPr>
            <w:tcW w:w="1131" w:type="dxa"/>
            <w:gridSpan w:val="2"/>
            <w:vAlign w:val="center"/>
          </w:tcPr>
          <w:p w14:paraId="628E3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64Q</w:t>
            </w:r>
          </w:p>
        </w:tc>
        <w:tc>
          <w:tcPr>
            <w:tcW w:w="2076" w:type="dxa"/>
            <w:gridSpan w:val="2"/>
          </w:tcPr>
          <w:p w14:paraId="6E62F2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076" w:type="dxa"/>
          </w:tcPr>
          <w:p w14:paraId="1BBA81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5A45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8A1DF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温度传感器</w:t>
            </w:r>
          </w:p>
        </w:tc>
        <w:tc>
          <w:tcPr>
            <w:tcW w:w="2076" w:type="dxa"/>
            <w:gridSpan w:val="2"/>
          </w:tcPr>
          <w:p w14:paraId="7EF936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</w:tcPr>
          <w:p w14:paraId="797D75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46C0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C91F1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缓冲DAC</w:t>
            </w:r>
          </w:p>
        </w:tc>
        <w:tc>
          <w:tcPr>
            <w:tcW w:w="2076" w:type="dxa"/>
            <w:gridSpan w:val="2"/>
          </w:tcPr>
          <w:p w14:paraId="309FEB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</w:tcPr>
          <w:p w14:paraId="2D178F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53E6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1A3DE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CMPSS</w:t>
            </w:r>
          </w:p>
        </w:tc>
        <w:tc>
          <w:tcPr>
            <w:tcW w:w="2076" w:type="dxa"/>
            <w:gridSpan w:val="2"/>
          </w:tcPr>
          <w:p w14:paraId="1D7FEA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076" w:type="dxa"/>
          </w:tcPr>
          <w:p w14:paraId="064D7D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1D2DD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5F9775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eCAP</w:t>
            </w:r>
          </w:p>
        </w:tc>
        <w:tc>
          <w:tcPr>
            <w:tcW w:w="2076" w:type="dxa"/>
            <w:gridSpan w:val="2"/>
          </w:tcPr>
          <w:p w14:paraId="51AA7B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3（一个具有HRCAP功能）</w:t>
            </w:r>
          </w:p>
        </w:tc>
        <w:tc>
          <w:tcPr>
            <w:tcW w:w="2076" w:type="dxa"/>
          </w:tcPr>
          <w:p w14:paraId="73C8107F">
            <w:pPr>
              <w:jc w:val="center"/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3（一个具有HRCAP功能）</w:t>
            </w:r>
          </w:p>
        </w:tc>
      </w:tr>
      <w:tr w14:paraId="480CD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25EE0B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ePWM/HRPWM</w:t>
            </w:r>
          </w:p>
        </w:tc>
        <w:tc>
          <w:tcPr>
            <w:tcW w:w="2076" w:type="dxa"/>
            <w:gridSpan w:val="2"/>
          </w:tcPr>
          <w:p w14:paraId="7C4930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16（8路有高分辨功能）</w:t>
            </w:r>
          </w:p>
        </w:tc>
        <w:tc>
          <w:tcPr>
            <w:tcW w:w="2076" w:type="dxa"/>
          </w:tcPr>
          <w:p w14:paraId="13E9D18A">
            <w:pPr>
              <w:jc w:val="center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16（8路有高分辨功能）</w:t>
            </w:r>
          </w:p>
        </w:tc>
      </w:tr>
      <w:tr w14:paraId="13D4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06E37A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eQEP</w:t>
            </w:r>
          </w:p>
        </w:tc>
        <w:tc>
          <w:tcPr>
            <w:tcW w:w="2076" w:type="dxa"/>
            <w:gridSpan w:val="2"/>
          </w:tcPr>
          <w:p w14:paraId="0DBFE6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</w:tcPr>
          <w:p w14:paraId="7FB7EB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5262A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4DEF18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SDFM</w:t>
            </w:r>
          </w:p>
        </w:tc>
        <w:tc>
          <w:tcPr>
            <w:tcW w:w="2076" w:type="dxa"/>
            <w:gridSpan w:val="2"/>
          </w:tcPr>
          <w:p w14:paraId="06A038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076" w:type="dxa"/>
          </w:tcPr>
          <w:p w14:paraId="795356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565E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7F2862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CAN(DCAN)</w:t>
            </w:r>
          </w:p>
        </w:tc>
        <w:tc>
          <w:tcPr>
            <w:tcW w:w="2076" w:type="dxa"/>
            <w:gridSpan w:val="2"/>
          </w:tcPr>
          <w:p w14:paraId="13AF67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shd w:val="clear"/>
            <w:vAlign w:val="top"/>
          </w:tcPr>
          <w:p w14:paraId="7EF5FB9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83E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0C8B67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CAN FD(MCAN)</w:t>
            </w:r>
          </w:p>
        </w:tc>
        <w:tc>
          <w:tcPr>
            <w:tcW w:w="2076" w:type="dxa"/>
            <w:gridSpan w:val="2"/>
          </w:tcPr>
          <w:p w14:paraId="4DE136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shd w:val="clear"/>
            <w:vAlign w:val="top"/>
          </w:tcPr>
          <w:p w14:paraId="2368826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A0E4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4A8631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快速串行接口（FSI）</w:t>
            </w:r>
          </w:p>
        </w:tc>
        <w:tc>
          <w:tcPr>
            <w:tcW w:w="2076" w:type="dxa"/>
            <w:gridSpan w:val="2"/>
          </w:tcPr>
          <w:p w14:paraId="12561C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shd w:val="clear"/>
            <w:vAlign w:val="top"/>
          </w:tcPr>
          <w:p w14:paraId="55DD02A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47D6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52960F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I2C</w:t>
            </w:r>
          </w:p>
        </w:tc>
        <w:tc>
          <w:tcPr>
            <w:tcW w:w="2076" w:type="dxa"/>
            <w:gridSpan w:val="2"/>
          </w:tcPr>
          <w:p w14:paraId="4E9D99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shd w:val="clear"/>
            <w:vAlign w:val="top"/>
          </w:tcPr>
          <w:p w14:paraId="4001B88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B2E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562E58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LIN</w:t>
            </w:r>
          </w:p>
        </w:tc>
        <w:tc>
          <w:tcPr>
            <w:tcW w:w="2076" w:type="dxa"/>
            <w:gridSpan w:val="2"/>
          </w:tcPr>
          <w:p w14:paraId="34E660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shd w:val="clear"/>
            <w:vAlign w:val="top"/>
          </w:tcPr>
          <w:p w14:paraId="6F2EE6F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14DC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A4CF4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主机接口控制器（HIC）</w:t>
            </w:r>
          </w:p>
        </w:tc>
        <w:tc>
          <w:tcPr>
            <w:tcW w:w="2076" w:type="dxa"/>
            <w:gridSpan w:val="2"/>
          </w:tcPr>
          <w:p w14:paraId="03BFD1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shd w:val="clear"/>
            <w:vAlign w:val="top"/>
          </w:tcPr>
          <w:p w14:paraId="2E0B06F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4F571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6FD4DE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PMBus</w:t>
            </w:r>
          </w:p>
        </w:tc>
        <w:tc>
          <w:tcPr>
            <w:tcW w:w="2076" w:type="dxa"/>
            <w:gridSpan w:val="2"/>
          </w:tcPr>
          <w:p w14:paraId="670FE6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76" w:type="dxa"/>
            <w:shd w:val="clear"/>
            <w:vAlign w:val="top"/>
          </w:tcPr>
          <w:p w14:paraId="46C8E1D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AFF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2AC978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SCI</w:t>
            </w:r>
          </w:p>
        </w:tc>
        <w:tc>
          <w:tcPr>
            <w:tcW w:w="2076" w:type="dxa"/>
            <w:gridSpan w:val="2"/>
          </w:tcPr>
          <w:p w14:paraId="32927C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shd w:val="clear"/>
            <w:vAlign w:val="top"/>
          </w:tcPr>
          <w:p w14:paraId="6F7D9B9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7468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1" w:type="dxa"/>
            <w:gridSpan w:val="3"/>
            <w:vAlign w:val="center"/>
          </w:tcPr>
          <w:p w14:paraId="562277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3"/>
                <w:szCs w:val="13"/>
                <w:lang w:val="en-US" w:eastAsia="zh-CN" w:bidi="ar"/>
              </w:rPr>
              <w:t>SPI</w:t>
            </w:r>
          </w:p>
        </w:tc>
        <w:tc>
          <w:tcPr>
            <w:tcW w:w="2076" w:type="dxa"/>
            <w:gridSpan w:val="2"/>
          </w:tcPr>
          <w:p w14:paraId="57EB6F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shd w:val="clear"/>
            <w:vAlign w:val="top"/>
          </w:tcPr>
          <w:p w14:paraId="00421E0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 w14:paraId="04F73E74">
      <w:pPr>
        <w:jc w:val="both"/>
        <w:rPr>
          <w:rFonts w:hint="default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3386D"/>
    <w:rsid w:val="1D0919DF"/>
    <w:rsid w:val="338E1955"/>
    <w:rsid w:val="3497508A"/>
    <w:rsid w:val="3BDB07BA"/>
    <w:rsid w:val="4C0D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441</Words>
  <Characters>807</Characters>
  <Lines>0</Lines>
  <Paragraphs>0</Paragraphs>
  <TotalTime>7</TotalTime>
  <ScaleCrop>false</ScaleCrop>
  <LinksUpToDate>false</LinksUpToDate>
  <CharactersWithSpaces>822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2025-08-05T05:12:00Z</dcterms:created>
  <dc:creator>Allen1</dc:creator>
  <cp:lastModifiedBy>Skate</cp:lastModifiedBy>
  <dcterms:modified xsi:type="dcterms:W3CDTF">2026-07-10T05:21:57Z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eyJoZGlkIjoiNWRiN2EzOTIwNTFkMWRjYjlhM2M2MjEwMTAzOTAyMTAiLCJ1c2VySWQiOiI5MzUyMjAzOTAifQ==</vt:lpwstr>
  </property>
  <property fmtid="{D5CDD505-2E9C-101B-9397-08002B2CF9AE}" pid="4" name="ICV">
    <vt:lpwstr>48B632AAF1924BD59EB633C99AFA6203_12</vt:lpwstr>
  </property>
</Properties>
</file>