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</w:p>
    <w:p>
      <w:pPr>
        <w:numPr>
          <w:ilvl w:val="0"/>
          <w:numId w:val="1003"/>
        </w:numPr>
        <w:pStyle w:val="Compact"/>
      </w:pPr>
      <w:r>
        <w:t xml:space="preserve">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</w:p>
    <w:p>
      <w:pPr>
        <w:numPr>
          <w:ilvl w:val="0"/>
          <w:numId w:val="1004"/>
        </w:numPr>
        <w:pStyle w:val="Compact"/>
      </w:pPr>
      <w:r>
        <w:t xml:space="preserve">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Пошта → тікети</w:t>
      </w:r>
    </w:p>
    <w:p>
      <w:pPr>
        <w:numPr>
          <w:ilvl w:val="0"/>
          <w:numId w:val="1004"/>
        </w:numPr>
        <w:pStyle w:val="Compact"/>
      </w:pPr>
      <w:r>
        <w:t xml:space="preserve">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Кожна невдала спроба надсилання (SMTP недоступний тощо) фіксується в журналі аудиту з адресою й причиною, а не губиться мовчки</w:t>
      </w:r>
    </w:p>
    <w:p>
      <w:pPr>
        <w:numPr>
          <w:ilvl w:val="0"/>
          <w:numId w:val="1004"/>
        </w:numPr>
        <w:pStyle w:val="Compact"/>
      </w:pPr>
      <w:r>
        <w:t xml:space="preserve">Видимість черги непризначених тікетів — оператор служби підтримки й керівник ІТ-підрозділу бачать у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 </w:t>
      </w:r>
      <w:r>
        <w:t xml:space="preserve">і на сторінці «Архів» не лише свої тікети, а й усі ще нікому не призначені (бейдж «Непризначено»), щоб було з чого обирати роботу; звичайного заявника це не стосується</w:t>
      </w:r>
    </w:p>
    <w:p>
      <w:pPr>
        <w:numPr>
          <w:ilvl w:val="0"/>
          <w:numId w:val="1004"/>
        </w:numPr>
        <w:pStyle w:val="Compact"/>
      </w:pPr>
      <w:r>
        <w:t xml:space="preserve">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Черги тікетів, зміни фіксуються в журналі аудиту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Вебхуки, REST API</w:t>
      </w:r>
      <w:r>
        <w:t xml:space="preserve"> </w:t>
      </w:r>
      <w:r>
        <w:t xml:space="preserve">(email-сповіщення та автовідповідь заявнику вже реалізовані)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6–8; після цього — збереження вкладень з листів)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Гранульовані перемикачі email-сповіщень (окремо тікети/проєкти/задачі/нагадування) — зараз одна спільна галочка на все</w:t>
      </w:r>
    </w:p>
    <w:p>
      <w:pPr>
        <w:numPr>
          <w:ilvl w:val="0"/>
          <w:numId w:val="1008"/>
        </w:numPr>
        <w:pStyle w:val="Compact"/>
      </w:pPr>
      <w:r>
        <w:t xml:space="preserve">CSP-заголовки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9"/>
        </w:numPr>
        <w:pStyle w:val="Compact"/>
      </w:pPr>
      <w:r>
        <w:t xml:space="preserve">Для email-to-ticket (необов'язково):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9"/>
        </w:numPr>
        <w:pStyle w:val="Compact"/>
      </w:pPr>
      <w:r>
        <w:t xml:space="preserve">Для автовідповіді та email-сповіщень (необов'язково,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 і налаштування email-сповіщень,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вкладення не виконуються й не зберігаються.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прив'язано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</w:p>
    <w:p>
      <w:pPr>
        <w:numPr>
          <w:ilvl w:val="0"/>
          <w:numId w:val="1014"/>
        </w:numPr>
        <w:pStyle w:val="Compact"/>
      </w:pPr>
      <w:r>
        <w:t xml:space="preserve">Немає обмеження частоти запитів (rate limiting) на публічну форму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— лише пастка для найпростіших ботів; захисту від цілеспрямованого спаму людиною чи складнішим ботом поки немає.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ImapClient/MimeParser (email-to-ticket), SmtpClient (вихідна пошта)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└──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└── 013_add_email_notifications.sql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2026-10-01T03:17:35Z</dcterms:created>
  <dcterms:modified xsi:type="dcterms:W3CDTF">2026-10-01T03:17:35Z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