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9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bookmarkStart w:id="38" w:name="sla-для-задач-і-проєктів"/>
    <w:p>
      <w:pPr>
        <w:pStyle w:val="Heading3"/>
      </w:pPr>
      <w:r>
        <w:t xml:space="preserve">SLA для задач і проєктів</w:t>
      </w:r>
    </w:p>
    <w:p>
      <w:pPr>
        <w:pStyle w:val="FirstParagraph"/>
      </w:pPr>
      <w:r>
        <w:t xml:space="preserve">Прострочення визначається автоматично, без окремих налаштувань: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термін виконання (</w:t>
      </w:r>
      <w:r>
        <w:rPr>
          <w:rStyle w:val="VerbatimChar"/>
        </w:rPr>
        <w:t xml:space="preserve">due_date</w:t>
      </w:r>
      <w:r>
        <w:t xml:space="preserve">) у минулому, а задача ще не закрита. Бейдж «⚠️» видно в таблиці задач проєкту, на Канбан-картці (і проєктній, і загальній адмінській — червона рамка зліва), на сторінці самої задачі (червоний алерт) і на дашборді користувача, якому задачу призначено.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має хоча б один етап дорожньої карти з цільовою датою в минулому й статусом, відмінним від «завершено». Бейдж «⚠️ Прострочено етап» видно на картці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, на сторінці самого проєкту (алерт з переліком прострочених етапів) і безпосередньо на дорожній карті біля цільової дати етапу.</w:t>
      </w:r>
    </w:p>
    <w:p>
      <w:pPr>
        <w:pStyle w:val="FirstParagraph"/>
      </w:pPr>
      <w:r>
        <w:t xml:space="preserve">В обох випадках позначка</w:t>
      </w:r>
      <w:r>
        <w:t xml:space="preserve"> </w:t>
      </w:r>
      <w:r>
        <w:rPr>
          <w:bCs/>
          <w:b/>
        </w:rPr>
        <w:t xml:space="preserve">не мутує жодних даних</w:t>
      </w:r>
      <w:r>
        <w:t xml:space="preserve"> </w:t>
      </w:r>
      <w:r>
        <w:t xml:space="preserve">(не змінює статус задачі чи етапу) — рахується наживо при кожному відкритті сторінки і зникає одразу, щойно задачу закрито або етап позначено «завершено».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40"/>
    <w:bookmarkStart w:id="41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1"/>
    <w:bookmarkStart w:id="44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4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4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4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bookmarkStart w:id="42" w:name="X195d8fcf4c05567695203c9ab936e1a6884a274"/>
    <w:p>
      <w:pPr>
        <w:pStyle w:val="Heading3"/>
      </w:pPr>
      <w:r>
        <w:t xml:space="preserve">Портал самообслуговування (без входу в систему)</w:t>
      </w:r>
    </w:p>
    <w:p>
      <w:pPr>
        <w:pStyle w:val="FirstParagraph"/>
      </w:pPr>
      <w:r>
        <w:t xml:space="preserve">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«Подати звернення до ІТ-підтримки» на сторінці логіну) дозволяє</w:t>
      </w:r>
      <w:r>
        <w:t xml:space="preserve"> </w:t>
      </w:r>
      <w:r>
        <w:rPr>
          <w:bCs/>
          <w:b/>
        </w:rPr>
        <w:t xml:space="preserve">будь-кому без облікового запису</w:t>
      </w:r>
      <w:r>
        <w:t xml:space="preserve"> </w:t>
      </w:r>
      <w:r>
        <w:t xml:space="preserve">подати звернення: ім'я, email, черга, тема, опис. Після відправлення людина одразу потрапляє на сторінку відстеження за унікальним посиланням (токен у URL) з підтвердженням «Звернення успішно надіслано!» — це посилання</w:t>
      </w:r>
      <w:r>
        <w:t xml:space="preserve"> </w:t>
      </w:r>
      <w:r>
        <w:rPr>
          <w:bCs/>
          <w:b/>
        </w:rPr>
        <w:t xml:space="preserve">єдиний спосіб</w:t>
      </w:r>
      <w:r>
        <w:t xml:space="preserve"> </w:t>
      </w:r>
      <w:r>
        <w:t xml:space="preserve">повернутись до звернення, оскільки входу в систему немає. На сторінці відстеження — статус, листування (можна дописати повідомлення) і, після переходу тікета в статус «Вирішено»/«Закрито», форма оцінки якості обслуговування (CSAT, 1–5 — можна оцінити лише один раз).</w:t>
      </w:r>
    </w:p>
    <w:p>
      <w:pPr>
        <w:pStyle w:val="BodyText"/>
      </w:pPr>
      <w:r>
        <w:t xml:space="preserve">Для вас як адміністратора чи оператора такий тікет виглядає</w:t>
      </w:r>
      <w:r>
        <w:t xml:space="preserve"> </w:t>
      </w:r>
      <w:r>
        <w:rPr>
          <w:bCs/>
          <w:b/>
        </w:rPr>
        <w:t xml:space="preserve">без жодних відмінностей</w:t>
      </w:r>
      <w:r>
        <w:t xml:space="preserve"> </w:t>
      </w:r>
      <w:r>
        <w:t xml:space="preserve">від звичайного — та сама сторінка</w:t>
      </w:r>
      <w:r>
        <w:t xml:space="preserve"> </w:t>
      </w:r>
      <w:r>
        <w:rPr>
          <w:rStyle w:val="VerbatimChar"/>
        </w:rPr>
        <w:t xml:space="preserve">/tickets/{id}</w:t>
      </w:r>
      <w:r>
        <w:t xml:space="preserve">, ті самі дії (призначення оператора, зміна статусу, коментар). Коментар від анонімного заявника позначається як «Requester» так само, як і від залогіненого. У формі подання є проста пастка для ботів (приховане поле) — реального захисту від цілеспрямованого спаму (rate limiting, CAPTCHA) поки немає.</w:t>
      </w:r>
    </w:p>
    <w:p>
      <w:pPr>
        <w:pStyle w:val="BlockText"/>
      </w:pPr>
      <w:r>
        <w:t xml:space="preserve">Це розширює базову версію модуля: email-to-ticket (створення тікета з вхідного листа) — запланований наступний крок (див. розділ 12). SLA-ескалація вже реалізована — дивіться нижче.</w:t>
      </w:r>
    </w:p>
    <w:bookmarkEnd w:id="42"/>
    <w:bookmarkStart w:id="43" w:name="sla-ескалація"/>
    <w:p>
      <w:pPr>
        <w:pStyle w:val="Heading3"/>
      </w:pPr>
      <w:r>
        <w:t xml:space="preserve">SLA-ескалація</w:t>
      </w:r>
    </w:p>
    <w:p>
      <w:pPr>
        <w:pStyle w:val="FirstParagraph"/>
      </w:pPr>
      <w:r>
        <w:t xml:space="preserve">Кожна черга тікетів має нормативи в таблиці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(час першої відповіді й час вирішення, у хвилинах — редагуються напряму в базі даних, окремої сторінки в інтерфейсі поки немає). Коли норматив прострочено, це показується:</w:t>
      </w:r>
    </w:p>
    <w:p>
      <w:pPr>
        <w:numPr>
          <w:ilvl w:val="0"/>
          <w:numId w:val="1015"/>
        </w:numPr>
        <w:pStyle w:val="Compact"/>
      </w:pPr>
      <w:r>
        <w:t xml:space="preserve">у списку тікетів — колонка «SLA», бейджем «⚠️ Прострочено»; прострочені тікети автоматично піднімаються</w:t>
      </w:r>
      <w:r>
        <w:t xml:space="preserve"> </w:t>
      </w:r>
      <w:r>
        <w:rPr>
          <w:bCs/>
          <w:b/>
        </w:rPr>
        <w:t xml:space="preserve">вгору списку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на сторінці самого тікета — окремо для першої відповіді й окремо для вирішення, з точним часом нормативу;</w:t>
      </w:r>
    </w:p>
    <w:p>
      <w:pPr>
        <w:numPr>
          <w:ilvl w:val="0"/>
          <w:numId w:val="1015"/>
        </w:numPr>
        <w:pStyle w:val="Compact"/>
      </w:pPr>
      <w:r>
        <w:t xml:space="preserve">на публічній сторінці відстеження — та сама інформація для заявника без облікового запису.</w:t>
      </w:r>
    </w:p>
    <w:p>
      <w:pPr>
        <w:pStyle w:val="FirstParagraph"/>
      </w:pPr>
      <w:r>
        <w:t xml:space="preserve">Прострочення першої відповіді знімається, щойно оператор залишає коментар на тікеті. Обидва прапорці зникають, як тільки тікет переходить у статус «Вирішено» чи «Закрито» — минулі прострочення заднім числом не показуються.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5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6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6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7"/>
        </w:numPr>
        <w:pStyle w:val="Compact"/>
      </w:pPr>
      <w:r>
        <w:t xml:space="preserve">Email-to-ticket (створення тікета з вхідного листа); подання без облікового запису, оцінка CSAT і SLA-ескалація вже реалізовані (розділ 10).</w:t>
      </w:r>
    </w:p>
    <w:p>
      <w:pPr>
        <w:numPr>
          <w:ilvl w:val="0"/>
          <w:numId w:val="1017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7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7"/>
        </w:numPr>
        <w:pStyle w:val="Compact"/>
      </w:pPr>
      <w:r>
        <w:t xml:space="preserve">Email-сповіщення, вебхуки, REST API.</w:t>
      </w:r>
    </w:p>
    <w:p>
      <w:r>
        <w:pict>
          <v:rect style="width:0;height:1.5pt" o:hralign="center" o:hrstd="t" o:hr="t"/>
        </w:pict>
      </w:r>
    </w:p>
    <w:bookmarkEnd w:id="47"/>
    <w:bookmarkStart w:id="48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2026-09-27T11:03:16Z</dcterms:created>
  <dcterms:modified xsi:type="dcterms:W3CDTF">2026-09-27T11:03:16Z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