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 та через Active Directory,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Інтеграція з Active Directory — вхід AD-користувачів під доменним паролем (перевіряється напряму в каталозі через bind; копія пароля в системі не зберігається; те саме блокування після невдалих спроб, що й для локальних акаунтів), фонова синхронізація користувачів (</w:t>
      </w:r>
      <w:r>
        <w:rPr>
          <w:rStyle w:val="VerbatimChar"/>
        </w:rPr>
        <w:t xml:space="preserve">bin/sync-ad-users.php</w:t>
      </w:r>
      <w:r>
        <w:t xml:space="preserve">, cron): створення, оновлення, прив'язка до організаційного підрозділу (OU) з DN користувача, роль за відповідністю груп AD ролям, деактивація зниклих з каталогу. Локальні акаунти синхронізація не чіпає ніколи. Підключення налаштовується формою в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(сервер, домен, службовий акаунт, пароль, шифрування, перевірка сертифіката) — форма сама записує значення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Потребує розширення</w:t>
      </w:r>
      <w:r>
        <w:t xml:space="preserve"> </w:t>
      </w:r>
      <w:r>
        <w:rPr>
          <w:rStyle w:val="VerbatimChar"/>
        </w:rPr>
        <w:t xml:space="preserve">ext-ldap</w:t>
      </w:r>
      <w:r>
        <w:t xml:space="preserve"> </w:t>
      </w:r>
      <w:r>
        <w:t xml:space="preserve">(власного LDAP-протоколу, на відміну від IMAP/SMTP, не реалізовано свідомо). Безпарольний SSO (Kerberos/NTLM) не реалізовано — вхід лише формою</w:t>
      </w:r>
    </w:p>
    <w:p>
      <w:pPr>
        <w:numPr>
          <w:ilvl w:val="0"/>
          <w:numId w:val="1002"/>
        </w:numPr>
        <w:pStyle w:val="Compact"/>
      </w:pPr>
      <w:r>
        <w:t xml:space="preserve">Content-Security-Policy — суворий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(одноразовий nonce на запит,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; дозволені лише власні скрипти та два CDN — jsdelivr і cdnjs), заборона вбудовування в чужі iframe,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. Усі вбудовані обробники подій (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тощо) замінено двома делегованими:</w:t>
      </w:r>
      <w:r>
        <w:t xml:space="preserve"> </w:t>
      </w:r>
      <w:r>
        <w:rPr>
          <w:rStyle w:val="VerbatimChar"/>
        </w:rPr>
        <w:t xml:space="preserve">data-confirm</w:t>
      </w:r>
      <w:r>
        <w:t xml:space="preserve"> </w:t>
      </w:r>
      <w:r>
        <w:t xml:space="preserve">на формах (діалог підтвердження) і клас</w:t>
      </w:r>
      <w:r>
        <w:t xml:space="preserve"> </w:t>
      </w:r>
      <w:r>
        <w:rPr>
          <w:rStyle w:val="VerbatimChar"/>
        </w:rPr>
        <w:t xml:space="preserve">.auto-submit-select</w:t>
      </w:r>
      <w:r>
        <w:t xml:space="preserve"> </w:t>
      </w:r>
      <w:r>
        <w:t xml:space="preserve">на списках (миттєве надсилання форми)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</w:p>
    <w:p>
      <w:pPr>
        <w:numPr>
          <w:ilvl w:val="0"/>
          <w:numId w:val="1003"/>
        </w:numPr>
        <w:pStyle w:val="Compact"/>
      </w:pPr>
      <w:r>
        <w:t xml:space="preserve">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</w:p>
    <w:p>
      <w:pPr>
        <w:numPr>
          <w:ilvl w:val="0"/>
          <w:numId w:val="1004"/>
        </w:numPr>
        <w:pStyle w:val="Compact"/>
      </w:pPr>
      <w:r>
        <w:t xml:space="preserve">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Пошта → тікети</w:t>
      </w:r>
    </w:p>
    <w:p>
      <w:pPr>
        <w:numPr>
          <w:ilvl w:val="0"/>
          <w:numId w:val="1004"/>
        </w:numPr>
        <w:pStyle w:val="Compact"/>
      </w:pPr>
      <w:r>
        <w:t xml:space="preserve">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Вмикаються чотирма незалежними перемикачами (тікети / проєкти / задачі / нагадування). Кожна невдала спроба надсилання (SMTP недоступний тощо) фіксується в журналі аудиту з адресою й причиною, а не губиться мовчки</w:t>
      </w:r>
    </w:p>
    <w:p>
      <w:pPr>
        <w:numPr>
          <w:ilvl w:val="0"/>
          <w:numId w:val="1004"/>
        </w:numPr>
        <w:pStyle w:val="Compact"/>
      </w:pPr>
      <w:r>
        <w:t xml:space="preserve">Видимість черги непризначених тікетів — оператор служби підтримки й керівник ІТ-підрозділу бачать 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і на сторінці «Архів» не лише свої тікети, а й усі ще нікому не призначені (бейдж «Непризначено»), щоб було з чого обирати роботу; звичайного заявника це не стосується</w:t>
      </w:r>
    </w:p>
    <w:p>
      <w:pPr>
        <w:numPr>
          <w:ilvl w:val="0"/>
          <w:numId w:val="1004"/>
        </w:numPr>
        <w:pStyle w:val="Compact"/>
      </w:pPr>
      <w:r>
        <w:t xml:space="preserve">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Черги тікетів, зміни фіксуються в журналі аудиту</w:t>
      </w:r>
    </w:p>
    <w:p>
      <w:pPr>
        <w:numPr>
          <w:ilvl w:val="0"/>
          <w:numId w:val="1004"/>
        </w:numPr>
        <w:pStyle w:val="Compact"/>
      </w:pPr>
      <w:r>
        <w:t xml:space="preserve">Оцінка якості (CSAT, 1–5) — не лише на порталі, а й для залогінених заявників на сторінці їхнього тікета (після статусу «Вирішено»/«Закрито», один раз, лише сам заявник — оператор і адміністратор оцінку лише бачать). Зведений звіт —</w:t>
      </w:r>
      <w:r>
        <w:t xml:space="preserve"> </w:t>
      </w:r>
      <w:r>
        <w:rPr>
          <w:rStyle w:val="VerbatimChar"/>
        </w:rPr>
        <w:t xml:space="preserve">/admin/csat</w:t>
      </w:r>
      <w:r>
        <w:t xml:space="preserve">: середня оцінка, розподіл 1–5, розбивка по чергах і операторах, останні оцінки</w:t>
      </w:r>
    </w:p>
    <w:p>
      <w:pPr>
        <w:numPr>
          <w:ilvl w:val="0"/>
          <w:numId w:val="1004"/>
        </w:numPr>
        <w:pStyle w:val="Compact"/>
      </w:pPr>
      <w:r>
        <w:t xml:space="preserve">Автопризначення оператора для черги — у Адмін-панель → Черги тікетів для кожної черги можна вказати оператора, який одразу призначається на кожен новий тікет у ній; працює однаково для звичайної форми, порталу самообслуговування й email-to-ticket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даних); список розділено на локальні акаунти й акаунти Active Directory, а AD-акаунти ще й згруповано за організаційними підрозділами (OU)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Керування чергами тікетів: створення, SLA-нормативи, автопризначення оператора</w:t>
      </w:r>
    </w:p>
    <w:p>
      <w:pPr>
        <w:numPr>
          <w:ilvl w:val="0"/>
          <w:numId w:val="1006"/>
        </w:numPr>
        <w:pStyle w:val="Compact"/>
      </w:pPr>
      <w:r>
        <w:t xml:space="preserve">Active Directory (</w:t>
      </w:r>
      <w:r>
        <w:rPr>
          <w:rStyle w:val="VerbatimChar"/>
        </w:rPr>
        <w:t xml:space="preserve">/admin/ad</w:t>
      </w:r>
      <w:r>
        <w:t xml:space="preserve">): підключення, перевірка з'єднання, синхронізація, відповідність груп ролям</w:t>
      </w:r>
    </w:p>
    <w:p>
      <w:pPr>
        <w:numPr>
          <w:ilvl w:val="0"/>
          <w:numId w:val="1006"/>
        </w:numPr>
        <w:pStyle w:val="Compact"/>
      </w:pPr>
      <w:r>
        <w:t xml:space="preserve">Звіт CSAT (</w:t>
      </w:r>
      <w:r>
        <w:rPr>
          <w:rStyle w:val="VerbatimChar"/>
        </w:rPr>
        <w:t xml:space="preserve">/admin/csat</w:t>
      </w:r>
      <w:r>
        <w:t xml:space="preserve">)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Вебхуки, REST API</w:t>
      </w:r>
      <w:r>
        <w:t xml:space="preserve"> </w:t>
      </w:r>
      <w:r>
        <w:t xml:space="preserve">— зовнішні системи поки не можуть ні отримувати події з ITSM, ні звертатись до нього програмно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6–8; після цього — збереження вкладень з листів)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Безпарольний SSO для Active Directory</w:t>
      </w:r>
      <w:r>
        <w:t xml:space="preserve"> </w:t>
      </w:r>
      <w:r>
        <w:t xml:space="preserve">(Kerberos/NTLM — вхід без форми); зараз вхід AD-користувача лише формою з доменним паролем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Прив'язка AD-користувачів за стабільним ідентифікатором (</w:t>
      </w:r>
      <w:r>
        <w:rPr>
          <w:rStyle w:val="VerbatimChar"/>
        </w:rPr>
        <w:t xml:space="preserve">objectGUID</w:t>
      </w:r>
      <w:r>
        <w:t xml:space="preserve">) замість email: зараз, якщо AD змінить людині email, наступна синхронізація створить новий обліковий запис замість оновлення старого</w:t>
      </w:r>
    </w:p>
    <w:p>
      <w:pPr>
        <w:numPr>
          <w:ilvl w:val="0"/>
          <w:numId w:val="1008"/>
        </w:numPr>
        <w:pStyle w:val="Compact"/>
      </w:pPr>
      <w:r>
        <w:t xml:space="preserve">Дозвіл ручного перевизначення ролі чи деактивації AD-користувача, яке синхронізація не скасовує (зараз вона щоразу виставляє роль за групами AD і повторно активує користувача, що ще є в каталозі)</w:t>
      </w:r>
    </w:p>
    <w:p>
      <w:pPr>
        <w:numPr>
          <w:ilvl w:val="0"/>
          <w:numId w:val="1008"/>
        </w:numPr>
        <w:pStyle w:val="Compact"/>
      </w:pPr>
      <w:r>
        <w:t xml:space="preserve">LDAPS і нестандартний порт у формі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(зараз — лише вручну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форма розрахована на STARTTLS/без шифрування, порт 389)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9"/>
        </w:numPr>
        <w:pStyle w:val="Compact"/>
      </w:pPr>
      <w:r>
        <w:t xml:space="preserve">Для email-to-ticket (необов'язково):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9"/>
        </w:numPr>
        <w:pStyle w:val="Compact"/>
      </w:pPr>
      <w:r>
        <w:t xml:space="preserve">Для автовідповіді та email-сповіщень (необов'язково,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09"/>
        </w:numPr>
        <w:pStyle w:val="Compact"/>
      </w:pPr>
      <w:r>
        <w:t xml:space="preserve">Для Active Directory (необов'язково):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термін, гранульовані перемикачі email-сповіщень, колонку автопризначення оператора для черги, колонки й таблицю для Active Directory (AD-логін, OU, відповідність груп ролям),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вкладення не виконуються й не зберігаються.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Active Directory</w:t>
      </w:r>
      <w:r>
        <w:t xml:space="preserve"> </w:t>
      </w:r>
      <w:r>
        <w:t xml:space="preserve">— службовий обліковий запис потрібен лише для читання каталогу (не адміністратор домену); сам вхід — окремий bind як сам користувач, пароль ніде не зберігається; ім'я користувача підставляється в LDAP-фільтр з екрануванням спецсимволів (RFC 4515) — логін на кшталт</w:t>
      </w:r>
      <w:r>
        <w:t xml:space="preserve"> </w:t>
      </w:r>
      <w:r>
        <w:rPr>
          <w:rStyle w:val="VerbatimChar"/>
        </w:rPr>
        <w:t xml:space="preserve">*)(uid=*</w:t>
      </w:r>
      <w:r>
        <w:t xml:space="preserve"> </w:t>
      </w:r>
      <w:r>
        <w:t xml:space="preserve">не підміняє фільтр; порожній пароль відхиляється явно (за специфікацією LDAP він означає анонімний bind і сервер повернув би «успіх»); локальні облікові записи ніколи не перехоплюються через збіг email з AD-записом; пароль службового акаунта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ніколи не підставляється назад у форму й не потрапляє в журнал аудиту. Пошук у каталозі постраничний (обмеження AD у 1000 записів на запит не діє); якщо сервер усе ж віддав неповний результат, синхронізація скасовується з помилкою й</w:t>
      </w:r>
      <w:r>
        <w:t xml:space="preserve"> </w:t>
      </w:r>
      <w:r>
        <w:rPr>
          <w:bCs/>
          <w:b/>
        </w:rPr>
        <w:t xml:space="preserve">нікого не деактивує</w:t>
      </w:r>
      <w:r>
        <w:t xml:space="preserve"> </w:t>
      </w:r>
      <w:r>
        <w:t xml:space="preserve">— вона не діє на підставі неповних даних. Відсутнє розширення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дає зрозуміле повідомлення адміністратору, а не помилку 500.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Запис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з веб-форми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/admin/ad</w:t>
      </w:r>
      <w:r>
        <w:t xml:space="preserve">) — доступний лише адміністратору; запис атомарний (тимчасовий файл + rename), решта файлу не змінюється. Щоб форма працювала, процес веб-сервера має мати право запису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за замовчуванням видає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власнику-інсталятору. Надати право запису — свідомий компроміс (файл містить і пароль БД); альтернатива — лишити права як є й редагувати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 Якщо запису немає, форма покаже точну команду для виправлення.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Content-Security-Policy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суворий (nonce,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), тож впроваджений у сторінку чужий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або обробник</w:t>
      </w:r>
      <w:r>
        <w:t xml:space="preserve"> 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не виконається.</w:t>
      </w:r>
      <w:r>
        <w:t xml:space="preserve"> </w:t>
      </w:r>
      <w:r>
        <w:rPr>
          <w:rStyle w:val="VerbatimChar"/>
        </w:rPr>
        <w:t xml:space="preserve">style-src</w:t>
      </w:r>
      <w:r>
        <w:t xml:space="preserve"> </w:t>
      </w:r>
      <w:r>
        <w:t xml:space="preserve">лишає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(кілька динамічних інлайн-стилів, наприклад смужки прогресу) — ризик значно нижчий, ніж для скриптів. Дозволені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прописані в</w:t>
      </w:r>
      <w:r>
        <w:t xml:space="preserve"> </w:t>
      </w:r>
      <w:r>
        <w:rPr>
          <w:rStyle w:val="VerbatimChar"/>
        </w:rPr>
        <w:t xml:space="preserve">App\Core\Csp</w:t>
      </w:r>
      <w:r>
        <w:t xml:space="preserve">; підключення іншого CDN чи власного дзеркала вимагає правки цього класу.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прив'язано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</w:p>
    <w:p>
      <w:pPr>
        <w:numPr>
          <w:ilvl w:val="0"/>
          <w:numId w:val="1014"/>
        </w:numPr>
        <w:pStyle w:val="Compact"/>
      </w:pPr>
      <w:r>
        <w:t xml:space="preserve">Немає обмеження частоти запитів (rate limiting) на публічну форму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— лише пастка для найпростіших ботів; захисту від цілеспрямованого спаму людиною чи складнішим ботом поки немає.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 і AdController (сторінка /admin/ad)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ImapClient/MimeParser (email-to-ticket), SmtpClient (вихідна пошта), LdapClient/LdapDn/AdAuth (Active Directory), EnvFile (запис `.env` з форми), Csp (заголовки безпеки)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нагадування; AdSyncService — синхронізація користувачів з AD)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├──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│   └── sync-ad-users.php  # CLI для cron: синхронізація користувачів з Active Directory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├── 013_add_email_notifications.sql</w:t>
      </w:r>
      <w:r>
        <w:br/>
      </w:r>
      <w:r>
        <w:rPr>
          <w:rStyle w:val="VerbatimChar"/>
        </w:rPr>
        <w:t xml:space="preserve">│       ├── 014_add_granular_notification_settings.sql</w:t>
      </w:r>
      <w:r>
        <w:br/>
      </w:r>
      <w:r>
        <w:rPr>
          <w:rStyle w:val="VerbatimChar"/>
        </w:rPr>
        <w:t xml:space="preserve">│       ├── 015_add_queue_default_operator.sql</w:t>
      </w:r>
      <w:r>
        <w:br/>
      </w:r>
      <w:r>
        <w:rPr>
          <w:rStyle w:val="VerbatimChar"/>
        </w:rPr>
        <w:t xml:space="preserve">│       ├── 016_add_active_directory.sql</w:t>
      </w:r>
      <w:r>
        <w:br/>
      </w:r>
      <w:r>
        <w:rPr>
          <w:rStyle w:val="VerbatimChar"/>
        </w:rPr>
        <w:t xml:space="preserve">│       └── 017_add_user_ad_ou.sql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AD-користувач не може увійти: «Невірний email або пароль».</w:t>
      </w:r>
      <w:r>
        <w:t xml:space="preserve"> </w:t>
      </w:r>
      <w:r>
        <w:t xml:space="preserve">Це свідомо узагальнене повідомлення — воно однаково з'являється, коли акаунта ще немає локально, і коли пароль невірний. Найчастіша причина — синхронізація ще не створила обліковий запис: у Адмін-панель → Active Directory натисніть «Синхронізувати зараз» і перевірте, що користувач з'явився на сторінці «Користувачі» у розділі Active Directory. Вхід відбувається за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цього запису (не за AD-логіном). Докладніше — у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12.</w:t>
      </w:r>
    </w:p>
    <w:p>
      <w:pPr>
        <w:pStyle w:val="BodyText"/>
      </w:pPr>
      <w:r>
        <w:rPr>
          <w:bCs/>
          <w:b/>
        </w:rPr>
        <w:t xml:space="preserve">На сторінці Active Directory: «Розширення PHP «ldap» не встановлено».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php-ldap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    </w:t>
      </w:r>
      <w:r>
        <w:rPr>
          <w:rStyle w:val="CommentTok"/>
        </w:rPr>
        <w:t xml:space="preserve"># або apache2 — залежно від вашого розгортання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2026-10-05T03:17:02Z</dcterms:created>
  <dcterms:modified xsi:type="dcterms:W3CDTF">2026-10-05T03:17:02Z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