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"/>
    <w:p>
      <w:pPr>
        <w:pStyle w:val="Heading2"/>
      </w:pPr>
      <w:r>
        <w:t xml:space="preserve">Реалізовано</w:t>
      </w:r>
    </w:p>
    <w:p>
      <w:pPr>
        <w:pStyle w:val="FirstParagraph"/>
      </w:pPr>
      <w:r>
        <w:rPr>
          <w:bCs/>
          <w:b/>
        </w:rPr>
        <w:t xml:space="preserve">Основа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</w:p>
    <w:p>
      <w:pPr>
        <w:numPr>
          <w:ilvl w:val="0"/>
          <w:numId w:val="1002"/>
        </w:numPr>
        <w:pStyle w:val="Compact"/>
      </w:pPr>
      <w:r>
        <w:t xml:space="preserve">Особистий кабінет користувача (</w:t>
      </w:r>
      <w:r>
        <w:rPr>
          <w:rStyle w:val="VerbatimChar"/>
        </w:rPr>
        <w:t xml:space="preserve">/profile</w:t>
      </w:r>
      <w:r>
        <w:t xml:space="preserve">) — власні дані, самостійна зміна пароля з підтвердженням поточного (недоступно для облікових записів з автентифікацією через AD)</w:t>
      </w:r>
    </w:p>
    <w:p>
      <w:pPr>
        <w:numPr>
          <w:ilvl w:val="0"/>
          <w:numId w:val="1002"/>
        </w:numPr>
        <w:pStyle w:val="Compact"/>
      </w:pPr>
      <w:r>
        <w:t xml:space="preserve">Блокування облікового запису після кількох невдалих спроб входу — кількість спроб і тривалість блокування налаштовуються через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; блокування прив'язане до конкретного користувача, не до IP</w:t>
      </w:r>
    </w:p>
    <w:p>
      <w:pPr>
        <w:numPr>
          <w:ilvl w:val="0"/>
          <w:numId w:val="1002"/>
        </w:numPr>
        <w:pStyle w:val="Compact"/>
      </w:pPr>
      <w:r>
        <w:t xml:space="preserve">Журнал аудиту дій із проєктами, задачами й тікетами, з переглядом через веб-інтерфейс (</w:t>
      </w:r>
      <w:r>
        <w:rPr>
          <w:rStyle w:val="VerbatimChar"/>
        </w:rPr>
        <w:t xml:space="preserve">/admin/audit</w:t>
      </w:r>
      <w:r>
        <w:t xml:space="preserve">) — фільтри за типом сутності/автором/датою, українські підписи, розшифровані назви замість технічних ID</w:t>
      </w:r>
    </w:p>
    <w:p>
      <w:pPr>
        <w:numPr>
          <w:ilvl w:val="0"/>
          <w:numId w:val="1002"/>
        </w:numPr>
        <w:pStyle w:val="Compact"/>
      </w:pPr>
      <w:r>
        <w:t xml:space="preserve">Захист від CSRF на всіх формах, валідація значень з обмеженим переліком, захист від session fixation</w:t>
      </w:r>
    </w:p>
    <w:p>
      <w:pPr>
        <w:pStyle w:val="FirstParagraph"/>
      </w:pPr>
      <w:r>
        <w:rPr>
          <w:bCs/>
          <w:b/>
        </w:rPr>
        <w:t xml:space="preserve">Проєкти й задачі</w:t>
      </w:r>
    </w:p>
    <w:p>
      <w:pPr>
        <w:numPr>
          <w:ilvl w:val="0"/>
          <w:numId w:val="1003"/>
        </w:numPr>
        <w:pStyle w:val="Compact"/>
      </w:pPr>
      <w:r>
        <w:t xml:space="preserve">Проєкти: створення, перегляд, список, призначення відповідального, зміна статусу (активний/архівний/закритий)</w:t>
      </w:r>
    </w:p>
    <w:p>
      <w:pPr>
        <w:numPr>
          <w:ilvl w:val="0"/>
          <w:numId w:val="1003"/>
        </w:numPr>
        <w:pStyle w:val="Compact"/>
      </w:pPr>
      <w:r>
        <w:t xml:space="preserve">Підпроєкти — створюються кнопкою «+ Підпроєкт» на сторінці основного проєкту; показуються картками там-таки (не засмічують головний список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); задачі підпроєкту повністю окремі від задач основного проєкту</w:t>
      </w:r>
    </w:p>
    <w:p>
      <w:pPr>
        <w:numPr>
          <w:ilvl w:val="0"/>
          <w:numId w:val="1003"/>
        </w:numPr>
        <w:pStyle w:val="Compact"/>
      </w:pPr>
      <w:r>
        <w:t xml:space="preserve">Обмеження видимості проєктів і тікетів — бачать лише автор, відповідальний/оператор і адміністратор; решта отримують 403 і в списку, і за прямим посиланням</w:t>
      </w:r>
    </w:p>
    <w:p>
      <w:pPr>
        <w:numPr>
          <w:ilvl w:val="0"/>
          <w:numId w:val="1003"/>
        </w:numPr>
        <w:pStyle w:val="Compact"/>
      </w:pPr>
      <w:r>
        <w:t xml:space="preserve">Задачі: створення, перегляд, статуси, коментарі, редагування опису, призначення виконавця, перенесення в інший проєкт (основний чи підпроєкт, будь-який видимий), видалення (незворотне, каскадне)</w:t>
      </w:r>
    </w:p>
    <w:p>
      <w:pPr>
        <w:numPr>
          <w:ilvl w:val="0"/>
          <w:numId w:val="1003"/>
        </w:numPr>
        <w:pStyle w:val="Compact"/>
      </w:pPr>
      <w:r>
        <w:t xml:space="preserve">Канбан-дошка проєкту (і загальна по всій системі) — компактний вигляд, гнучкі колонки без горизонтальної прокрутки, перетягування картки одразу змінює статус</w:t>
      </w:r>
    </w:p>
    <w:p>
      <w:pPr>
        <w:numPr>
          <w:ilvl w:val="0"/>
          <w:numId w:val="1003"/>
        </w:numPr>
        <w:pStyle w:val="Compact"/>
      </w:pPr>
      <w:r>
        <w:t xml:space="preserve">Діаграма Ганта проєкту — перетягування смуги змінює дати; залежності між задачами (блокує/залежить від/пов'язана з/дублює) додаються, редагуються й видаляються прямо на сторінці</w:t>
      </w:r>
    </w:p>
    <w:p>
      <w:pPr>
        <w:numPr>
          <w:ilvl w:val="0"/>
          <w:numId w:val="1003"/>
        </w:numPr>
        <w:pStyle w:val="Compact"/>
      </w:pPr>
      <w:r>
        <w:t xml:space="preserve">Дорожня карта проєкту — етапи з цільовою датою, статусом і прогрес-баром на основі прив'язаних задач</w:t>
      </w:r>
    </w:p>
    <w:p>
      <w:pPr>
        <w:numPr>
          <w:ilvl w:val="0"/>
          <w:numId w:val="1003"/>
        </w:numPr>
        <w:pStyle w:val="Compact"/>
      </w:pPr>
      <w:r>
        <w:t xml:space="preserve">SLA для задач і проєктів — прострочені задачі (термін виконання в минулому, ще не закриті) позначаються бейджем «⚠️» на сторінці проєкту, сторінці самої задачі, обох Канбан-дошках (project + admin) і дашборді; прострочені етапи дорожньої карти — на самій дорожній карті, сторінці проєкту та в обох списках проєктів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). Індикатори зникають одразу після закриття задачі чи завершення етапу</w:t>
      </w:r>
    </w:p>
    <w:p>
      <w:pPr>
        <w:numPr>
          <w:ilvl w:val="0"/>
          <w:numId w:val="1003"/>
        </w:numPr>
        <w:pStyle w:val="Compact"/>
      </w:pPr>
      <w:r>
        <w:t xml:space="preserve">Календар задач — місячна сітка, багатоденні задачі показані на початку й на завершенні</w:t>
      </w:r>
    </w:p>
    <w:p>
      <w:pPr>
        <w:pStyle w:val="FirstParagraph"/>
      </w:pPr>
      <w:r>
        <w:rPr>
          <w:bCs/>
          <w:b/>
        </w:rPr>
        <w:t xml:space="preserve">Тікети (Service Desk, базова версія)</w:t>
      </w:r>
    </w:p>
    <w:p>
      <w:pPr>
        <w:numPr>
          <w:ilvl w:val="0"/>
          <w:numId w:val="1004"/>
        </w:numPr>
        <w:pStyle w:val="Compact"/>
      </w:pPr>
      <w:r>
        <w:t xml:space="preserve">Створення звернення, список, перегляд, коментарі, зміна статусу, призначення оператора</w:t>
      </w:r>
    </w:p>
    <w:p>
      <w:pPr>
        <w:numPr>
          <w:ilvl w:val="0"/>
          <w:numId w:val="1004"/>
        </w:numPr>
        <w:pStyle w:val="Compact"/>
      </w:pPr>
      <w:r>
        <w:t xml:space="preserve">Необов'язкова прив'язка тікета до проєкту — видно на сторінці тікета, у загальному списку тікетів і на сторінці самого проєкту (розділ «Пов'язані тікети»)</w:t>
      </w:r>
    </w:p>
    <w:p>
      <w:pPr>
        <w:numPr>
          <w:ilvl w:val="0"/>
          <w:numId w:val="1004"/>
        </w:numPr>
        <w:pStyle w:val="Compact"/>
      </w:pPr>
      <w:r>
        <w:t xml:space="preserve">Черги тікетів (створення через адмін-панель)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(</w:t>
      </w:r>
      <w:r>
        <w:rPr>
          <w:rStyle w:val="VerbatimChar"/>
        </w:rPr>
        <w:t xml:space="preserve">/support</w:t>
      </w:r>
      <w:r>
        <w:t xml:space="preserve">, посилання зі сторінки логіну) — подання звернення</w:t>
      </w:r>
      <w:r>
        <w:t xml:space="preserve"> </w:t>
      </w:r>
      <w:r>
        <w:rPr>
          <w:bCs/>
          <w:b/>
        </w:rPr>
        <w:t xml:space="preserve">без входу в систему</w:t>
      </w:r>
      <w:r>
        <w:t xml:space="preserve">: заявник отримує персональне посилання-токен для подальшого відстеження статусу, листування з оператором і оцінки якості вирішення (CSAT, 1–5) після закриття тікета. Проста пастка для ботів (приховане поле форми) — без CAPTCHA чи інших зовнішніх залежностей</w:t>
      </w:r>
    </w:p>
    <w:p>
      <w:pPr>
        <w:numPr>
          <w:ilvl w:val="0"/>
          <w:numId w:val="1004"/>
        </w:numPr>
        <w:pStyle w:val="Compact"/>
      </w:pPr>
      <w:r>
        <w:t xml:space="preserve">SLA-ескалація для тікетів — прострочення нормативів першої відповіді й вирішення (на основі</w:t>
      </w:r>
      <w:r>
        <w:t xml:space="preserve"> </w:t>
      </w:r>
      <w:r>
        <w:rPr>
          <w:rStyle w:val="VerbatimChar"/>
        </w:rPr>
        <w:t xml:space="preserve">sla_policies</w:t>
      </w:r>
      <w:r>
        <w:t xml:space="preserve"> </w:t>
      </w:r>
      <w:r>
        <w:t xml:space="preserve">для черги) позначаються бейджем у списку тікетів (прострочені піднімаються вгору списку) і детально на сторінці самого тікета та на публічній сторінці відстеження; закритий тікет прострочення не показує. Нормативи (хвилини на першу відповідь і на вирішення) налаштовуються для кожної черги в Адмін-панель → Черги тікетів, зміни фіксуються в журналі аудиту</w:t>
      </w:r>
    </w:p>
    <w:p>
      <w:pPr>
        <w:pStyle w:val="FirstParagraph"/>
      </w:pPr>
      <w:r>
        <w:rPr>
          <w:bCs/>
          <w:b/>
        </w:rPr>
        <w:t xml:space="preserve">Облік часу та звітність</w:t>
      </w:r>
    </w:p>
    <w:p>
      <w:pPr>
        <w:numPr>
          <w:ilvl w:val="0"/>
          <w:numId w:val="1005"/>
        </w:numPr>
        <w:pStyle w:val="Compact"/>
      </w:pPr>
      <w:r>
        <w:t xml:space="preserve">Облік часу на задачі — години, дата, категорія, історія записів</w:t>
      </w:r>
    </w:p>
    <w:p>
      <w:pPr>
        <w:numPr>
          <w:ilvl w:val="0"/>
          <w:numId w:val="1005"/>
        </w:numPr>
        <w:pStyle w:val="Compact"/>
      </w:pPr>
      <w:r>
        <w:t xml:space="preserve">Зведений облік часу проєкту — розбивка по днях/тижнях/місяцях і по учасниках; години підпроєкту рахуються як частина основного проєкту в загальних звітах адміністратора, не окремим рядком</w:t>
      </w:r>
    </w:p>
    <w:p>
      <w:pPr>
        <w:numPr>
          <w:ilvl w:val="0"/>
          <w:numId w:val="1005"/>
        </w:numPr>
        <w:pStyle w:val="Compact"/>
      </w:pPr>
      <w:r>
        <w:t xml:space="preserve">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 (фільтр за проєктом автоматично включає його підпроєкти), діаграма розподілу годин по користувачах, таблиця згрупована по проєктах</w:t>
      </w:r>
    </w:p>
    <w:p>
      <w:pPr>
        <w:pStyle w:val="FirstParagraph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Канбан-дошка, діаграма Ганта, облік часу та журнал аудиту по всіх проєктах одразу</w:t>
      </w:r>
    </w:p>
    <w:p>
      <w:pPr>
        <w:numPr>
          <w:ilvl w:val="0"/>
          <w:numId w:val="1006"/>
        </w:numPr>
        <w:pStyle w:val="Compact"/>
      </w:pPr>
      <w:r>
        <w:t xml:space="preserve">Керування користувачами (створення, редагування, зміна пароля, активація/деактивація, зняття блокування, видалення за відсутності пов'язаних даних)</w:t>
      </w:r>
    </w:p>
    <w:p>
      <w:pPr>
        <w:numPr>
          <w:ilvl w:val="0"/>
          <w:numId w:val="1006"/>
        </w:numPr>
        <w:pStyle w:val="Compact"/>
      </w:pPr>
      <w:r>
        <w:t xml:space="preserve">Керування проєктами (перегляд усіх, зміна видимості й статусу, незворотне видалення)</w:t>
      </w:r>
    </w:p>
    <w:p>
      <w:pPr>
        <w:numPr>
          <w:ilvl w:val="0"/>
          <w:numId w:val="1006"/>
        </w:numPr>
        <w:pStyle w:val="Compact"/>
      </w:pPr>
      <w:r>
        <w:t xml:space="preserve">Налаштування безпеки входу (</w:t>
      </w:r>
      <w:r>
        <w:rPr>
          <w:rStyle w:val="VerbatimChar"/>
        </w:rPr>
        <w:t xml:space="preserve">/admin/security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Створення черг тікетів</w:t>
      </w:r>
    </w:p>
    <w:bookmarkEnd w:id="23"/>
    <w:bookmarkStart w:id="24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Email-to-ticket</w:t>
      </w:r>
      <w:r>
        <w:t xml:space="preserve"> </w:t>
      </w:r>
      <w:r>
        <w:t xml:space="preserve">— створення тікета з вхідного листа поштою (потребує SMTP/IMAP-інтеграції, якої в системі поки немає взагалі)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Інтеграція з Active Directory</w:t>
      </w:r>
      <w:r>
        <w:t xml:space="preserve"> </w:t>
      </w:r>
      <w:r>
        <w:t xml:space="preserve">— автоматична синхронізація користувачів, SSO (Епік 13; точка розширення вже позначена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Email-сповіщення, вебхуки, REST API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Wiki, форуми, файлові документи</w:t>
      </w:r>
      <w:r>
        <w:t xml:space="preserve"> </w:t>
      </w:r>
      <w:r>
        <w:t xml:space="preserve">як окремий модуль (Епіки 6–8)</w:t>
      </w:r>
    </w:p>
    <w:p>
      <w:pPr>
        <w:pStyle w:val="FirstParagraph"/>
      </w:pPr>
      <w:r>
        <w:t xml:space="preserve">Додатково варто розглянути (не заплановані окремим епіком, але піднімались під час розробки):</w:t>
      </w:r>
    </w:p>
    <w:p>
      <w:pPr>
        <w:numPr>
          <w:ilvl w:val="0"/>
          <w:numId w:val="1008"/>
        </w:numPr>
        <w:pStyle w:val="Compact"/>
      </w:pPr>
      <w:r>
        <w:t xml:space="preserve">Видимість черги непризначених тікетів для операторів/керівників ІТ (зараз призначити оператора може лише адміністратор)</w:t>
      </w:r>
    </w:p>
    <w:p>
      <w:pPr>
        <w:numPr>
          <w:ilvl w:val="0"/>
          <w:numId w:val="1008"/>
        </w:numPr>
        <w:pStyle w:val="Compact"/>
      </w:pPr>
      <w:r>
        <w:t xml:space="preserve">CSP-заголовки</w:t>
      </w:r>
    </w:p>
    <w:p>
      <w:pPr>
        <w:numPr>
          <w:ilvl w:val="0"/>
          <w:numId w:val="1008"/>
        </w:numPr>
        <w:pStyle w:val="Compact"/>
      </w:pPr>
      <w:r>
        <w:t xml:space="preserve">Спільне сховище сесій (Redis/БД) для розгортання за балансувальником на кількох серверах</w:t>
      </w:r>
    </w:p>
    <w:bookmarkEnd w:id="24"/>
    <w:bookmarkStart w:id="25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9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9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9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9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5"/>
    <w:bookmarkStart w:id="26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індекси для звітів обліку часу й журналу аудиту, таблицю/колонки для блокування входу, колонку прив'язки тікета до проєкту, колонку токена доступу для порталу самообслуговування, унікальність SLA-нормативу на чергу,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6"/>
    <w:bookmarkStart w:id="29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7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10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10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10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10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10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7"/>
    <w:bookmarkStart w:id="28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1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1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1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1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1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майбутнього функціоналу вкладень, друга — для кешу метрик шрифтів PDF-звітів).</w:t>
      </w:r>
    </w:p>
    <w:p>
      <w:pPr>
        <w:numPr>
          <w:ilvl w:val="0"/>
          <w:numId w:val="101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12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8"/>
    <w:bookmarkEnd w:id="29"/>
    <w:bookmarkStart w:id="31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30">
        <w:r>
          <w:rPr>
            <w:rStyle w:val="Hyperlink"/>
          </w:rPr>
          <w:t xml:space="preserve">http://127.0.0.1:8000/login</w:t>
        </w:r>
      </w:hyperlink>
    </w:p>
    <w:bookmarkEnd w:id="31"/>
    <w:bookmarkStart w:id="32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прив'язане до конкретного користувача.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через підготовлені вирази (PDO prepared statements).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/support</w:t>
      </w:r>
      <w:r>
        <w:t xml:space="preserve">) — токен доступу для анонімного відстеження генерується криптографічно стійким генератором (</w:t>
      </w:r>
      <w:r>
        <w:rPr>
          <w:rStyle w:val="VerbatimChar"/>
        </w:rPr>
        <w:t xml:space="preserve">random_bytes</w:t>
      </w:r>
      <w:r>
        <w:t xml:space="preserve">, 48 hex-символів — практично неможливо підібрати перебором), і в самій формі подання є найпростіша пастка для ботів (приховане поле, яке бачать лише автоматичні скрипти).</w:t>
      </w:r>
    </w:p>
    <w:p>
      <w:pPr>
        <w:pStyle w:val="FirstParagraph"/>
      </w:pPr>
      <w:r>
        <w:t xml:space="preserve">Відомі обмеження (свідомо поза межами MVP, див. «Наступні кроки розробки»):</w:t>
      </w:r>
    </w:p>
    <w:p>
      <w:pPr>
        <w:numPr>
          <w:ilvl w:val="0"/>
          <w:numId w:val="1014"/>
        </w:numPr>
        <w:pStyle w:val="Compact"/>
      </w:pPr>
      <w:r>
        <w:t xml:space="preserve">Немає CSP-заголовків.</w:t>
      </w:r>
    </w:p>
    <w:p>
      <w:pPr>
        <w:numPr>
          <w:ilvl w:val="0"/>
          <w:numId w:val="1014"/>
        </w:numPr>
        <w:pStyle w:val="Compact"/>
      </w:pPr>
      <w:r>
        <w:t xml:space="preserve">Немає обмеження частоти запитів (rate limiting) на публічну форму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— лише пастка для найпростіших ботів; захисту від цілеспрямованого спаму людиною чи складнішим ботом поки немає.</w:t>
      </w:r>
    </w:p>
    <w:p>
      <w:pPr>
        <w:numPr>
          <w:ilvl w:val="0"/>
          <w:numId w:val="1014"/>
        </w:numPr>
        <w:pStyle w:val="Compact"/>
      </w:pPr>
      <w:r>
        <w:t xml:space="preserve">Сесії зберігаються файлово — для кількох веб-серверів за балансувальником знадобиться спільне сховище.</w:t>
      </w:r>
    </w:p>
    <w:p>
      <w:pPr>
        <w:numPr>
          <w:ilvl w:val="0"/>
          <w:numId w:val="1014"/>
        </w:numPr>
        <w:pStyle w:val="Compact"/>
      </w:pPr>
      <w:r>
        <w:t xml:space="preserve">Оператор служби підтримки та керівник ІТ (якщо не адміністратор) бачать лише тікети, де вони заявник або вже призначений оператор — не можуть переглянути чергу непризначених тікетів.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2"/>
    <w:bookmarkStart w:id="33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</w:t>
      </w:r>
      <w:r>
        <w:br/>
      </w:r>
      <w:r>
        <w:rPr>
          <w:rStyle w:val="VerbatimChar"/>
        </w:rPr>
        <w:t xml:space="preserve">│   ├── Models/           # робота з БД (User, Project, Task, Ticket, Milestone, Audit, Setting)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├── 007_add_login_lockout.sql</w:t>
      </w:r>
      <w:r>
        <w:br/>
      </w:r>
      <w:r>
        <w:rPr>
          <w:rStyle w:val="VerbatimChar"/>
        </w:rPr>
        <w:t xml:space="preserve">│       ├── 008_add_ticket_project_link.sql</w:t>
      </w:r>
      <w:r>
        <w:br/>
      </w:r>
      <w:r>
        <w:rPr>
          <w:rStyle w:val="VerbatimChar"/>
        </w:rPr>
        <w:t xml:space="preserve">│       ├── 009_add_ticket_access_token.sql</w:t>
      </w:r>
      <w:r>
        <w:br/>
      </w:r>
      <w:r>
        <w:rPr>
          <w:rStyle w:val="VerbatimChar"/>
        </w:rPr>
        <w:t xml:space="preserve">│       └── 010_add_sla_policies_unique_queue.sql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storage/uploads/       # файли вкладень (Епік 8, майбутнє)</w:t>
      </w:r>
    </w:p>
    <w:bookmarkEnd w:id="33"/>
    <w:bookmarkStart w:id="34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з'єднається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 "кракозябра".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4"/>
    <w:bookmarkStart w:id="35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5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5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5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Обов'язково змініть цей пароль або видаліть обліковий запис перед продуктивним використанням.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2026-09-28T03:17:39Z</dcterms:created>
  <dcterms:modified xsi:type="dcterms:W3CDTF">2026-09-28T03:17:39Z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