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 de actividades productivas en el Centro Varonil de Seguridad Penitenciaria II</w:t>
      </w:r>
    </w:p>
    <w:p>
      <w:r>
        <w:rPr>
          <w:b/>
        </w:rPr>
        <w:t>Solicitud de incorporación como Socio Industrial</w:t>
      </w:r>
    </w:p>
    <w:p>
      <w:r>
        <w:rPr>
          <w:b/>
        </w:rPr>
        <w:t>Presenta:</w:t>
      </w:r>
      <w:r>
        <w:t xml:space="preserve"> RAM Electronics, Refurbish a la Medida. Donizetti 117, Col. Vallejo, Alcaldía Gustavo A. Madero, Ciudad de México, C.P. 07870. www.ramelectronics.com.mx</w:t>
      </w:r>
    </w:p>
    <w:p>
      <w:r>
        <w:rPr>
          <w:b/>
        </w:rPr>
        <w:t>Dirigido a:</w:t>
      </w:r>
      <w:r>
        <w:t xml:space="preserve"> Lic. Odin Gama Navarro, Director de Planeación, Administración de la Producción y Capacitación para el Trabajo Penitenciario, Subsecretaría de Sistema Penitenciario, Secretaría de Seguridad Ciudadana de la Ciudad de México, para consideración del C. Subsecretario.</w:t>
      </w:r>
    </w:p>
    <w:p>
      <w:r>
        <w:rPr>
          <w:b/>
        </w:rPr>
        <w:t>Fecha:</w:t>
      </w:r>
      <w:r>
        <w:t xml:space="preserve"> Ciudad de México, 13 de septiembre de 2026.</w:t>
      </w:r>
    </w:p>
    <w:p>
      <w:r>
        <w:rPr>
          <w:b/>
        </w:rPr>
        <w:t>Fundamento:</w:t>
      </w:r>
      <w:r>
        <w:t xml:space="preserve"> artículos 91, 92 y 93 de la Ley Nacional de Ejecución Penal (trabajo en la modalidad de actividades productivas realizadas a cuenta de terceros), Ley de Centros Penitenciarios de la Ciudad de México y su Reglamento (figura de Socio Industrial), y Lineamientos para el otorgamiento de ayuda económica a personas privadas de la libertad (Gaceta Oficial de la CDMX, 4 de mayo de 2022).</w:t>
      </w:r>
    </w:p>
    <w:p>
      <w:pPr>
        <w:pStyle w:val="Heading2"/>
      </w:pPr>
      <w:r>
        <w:t>1. Resumen del proyecto</w:t>
      </w:r>
    </w:p>
    <w:p>
      <w:r>
        <w:t>RAM Electronics solicita incorporarse como Socio Industrial de la Subsecretaría de Sistema Penitenciario para operar, en el Centro Varonil de Seguridad Penitenciaria II (CEVASEP II), un taller de reacondicionamiento y acondicionamiento de equipos electrónicos de telecomunicaciones y de manipulados de bajo riesgo, con la participación de personas privadas de la libertad (PPL) remuneradas conforme al salario mínimo general vigente.</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4986"/>
        <w:gridCol w:w="4986"/>
      </w:tblGrid>
      <w:tr>
        <w:tc>
          <w:tcPr>
            <w:tcW w:type="dxa" w:w="4986"/>
            <w:shd w:val="clear" w:color="auto" w:fill="E3EDF2"/>
          </w:tcPr>
          <w:p>
            <w:pPr>
              <w:spacing w:after="0" w:line="240" w:lineRule="auto"/>
            </w:pPr>
            <w:r>
              <w:rPr>
                <w:b/>
                <w:sz w:val="18"/>
              </w:rPr>
              <w:t>Concepto</w:t>
            </w:r>
          </w:p>
        </w:tc>
        <w:tc>
          <w:tcPr>
            <w:tcW w:type="dxa" w:w="4986"/>
            <w:shd w:val="clear" w:color="auto" w:fill="E3EDF2"/>
          </w:tcPr>
          <w:p>
            <w:pPr>
              <w:spacing w:after="0" w:line="240" w:lineRule="auto"/>
            </w:pPr>
            <w:r>
              <w:rPr>
                <w:b/>
                <w:sz w:val="18"/>
              </w:rPr>
              <w:t>Propuesta</w:t>
            </w:r>
          </w:p>
        </w:tc>
      </w:tr>
      <w:tr>
        <w:tc>
          <w:tcPr>
            <w:tcW w:type="dxa" w:w="4986"/>
          </w:tcPr>
          <w:p>
            <w:pPr>
              <w:spacing w:after="0" w:line="240" w:lineRule="auto"/>
            </w:pPr>
            <w:r>
              <w:rPr>
                <w:sz w:val="18"/>
              </w:rPr>
              <w:t>Actividad principal</w:t>
            </w:r>
          </w:p>
        </w:tc>
        <w:tc>
          <w:tcPr>
            <w:tcW w:type="dxa" w:w="4986"/>
          </w:tcPr>
          <w:p>
            <w:pPr>
              <w:spacing w:after="0" w:line="240" w:lineRule="auto"/>
            </w:pPr>
            <w:r>
              <w:rPr>
                <w:sz w:val="18"/>
              </w:rPr>
              <w:t>Reacondicionamiento cosmético, verificación, etiquetado y armado de kits de equipos de telecomunicaciones (ONT/módems, decodificadores, controles remotos, fuentes y cables) para operadores de servicios fijos</w:t>
            </w:r>
          </w:p>
        </w:tc>
      </w:tr>
      <w:tr>
        <w:tc>
          <w:tcPr>
            <w:tcW w:type="dxa" w:w="4986"/>
          </w:tcPr>
          <w:p>
            <w:pPr>
              <w:spacing w:after="0" w:line="240" w:lineRule="auto"/>
            </w:pPr>
            <w:r>
              <w:rPr>
                <w:sz w:val="18"/>
              </w:rPr>
              <w:t>Actividades complementarias</w:t>
            </w:r>
          </w:p>
        </w:tc>
        <w:tc>
          <w:tcPr>
            <w:tcW w:type="dxa" w:w="4986"/>
          </w:tcPr>
          <w:p>
            <w:pPr>
              <w:spacing w:after="0" w:line="240" w:lineRule="auto"/>
            </w:pPr>
            <w:r>
              <w:rPr>
                <w:sz w:val="18"/>
              </w:rPr>
              <w:t>Armado de kits de instalación; etiquetado de información comercial (NOM) para importadores; armado de kits corporativos y empaques de temporada</w:t>
            </w:r>
          </w:p>
        </w:tc>
      </w:tr>
      <w:tr>
        <w:tc>
          <w:tcPr>
            <w:tcW w:type="dxa" w:w="4986"/>
          </w:tcPr>
          <w:p>
            <w:pPr>
              <w:spacing w:after="0" w:line="240" w:lineRule="auto"/>
            </w:pPr>
            <w:r>
              <w:rPr>
                <w:sz w:val="18"/>
              </w:rPr>
              <w:t>Población de PPL</w:t>
            </w:r>
          </w:p>
        </w:tc>
        <w:tc>
          <w:tcPr>
            <w:tcW w:type="dxa" w:w="4986"/>
          </w:tcPr>
          <w:p>
            <w:pPr>
              <w:spacing w:after="0" w:line="240" w:lineRule="auto"/>
            </w:pPr>
            <w:r>
              <w:rPr>
                <w:sz w:val="18"/>
              </w:rPr>
              <w:t>Fase 1: 140 personas en 4 salones (35 por salón). Fases 2 y 3: hasta 350 personas en 10 salones</w:t>
            </w:r>
          </w:p>
        </w:tc>
      </w:tr>
      <w:tr>
        <w:tc>
          <w:tcPr>
            <w:tcW w:type="dxa" w:w="4986"/>
          </w:tcPr>
          <w:p>
            <w:pPr>
              <w:spacing w:after="0" w:line="240" w:lineRule="auto"/>
            </w:pPr>
            <w:r>
              <w:rPr>
                <w:sz w:val="18"/>
              </w:rPr>
              <w:t>Horario</w:t>
            </w:r>
          </w:p>
        </w:tc>
        <w:tc>
          <w:tcPr>
            <w:tcW w:type="dxa" w:w="4986"/>
          </w:tcPr>
          <w:p>
            <w:pPr>
              <w:spacing w:after="0" w:line="240" w:lineRule="auto"/>
            </w:pPr>
            <w:r>
              <w:rPr>
                <w:sz w:val="18"/>
              </w:rPr>
              <w:t>Lunes a viernes, 9:00 a 13:00 y 14:00 a 18:00 horas (8 horas efectivas)</w:t>
            </w:r>
          </w:p>
        </w:tc>
      </w:tr>
      <w:tr>
        <w:tc>
          <w:tcPr>
            <w:tcW w:type="dxa" w:w="4986"/>
          </w:tcPr>
          <w:p>
            <w:pPr>
              <w:spacing w:after="0" w:line="240" w:lineRule="auto"/>
            </w:pPr>
            <w:r>
              <w:rPr>
                <w:sz w:val="18"/>
              </w:rPr>
              <w:t>Remuneración</w:t>
            </w:r>
          </w:p>
        </w:tc>
        <w:tc>
          <w:tcPr>
            <w:tcW w:type="dxa" w:w="4986"/>
          </w:tcPr>
          <w:p>
            <w:pPr>
              <w:spacing w:after="0" w:line="240" w:lineRule="auto"/>
            </w:pPr>
            <w:r>
              <w:rPr>
                <w:sz w:val="18"/>
              </w:rPr>
              <w:t>Salario mínimo general vigente por jornada (2026: $315.04 diarios), depositado conforme al artículo 93 de la LNEP</w:t>
            </w:r>
          </w:p>
        </w:tc>
      </w:tr>
      <w:tr>
        <w:tc>
          <w:tcPr>
            <w:tcW w:type="dxa" w:w="4986"/>
          </w:tcPr>
          <w:p>
            <w:pPr>
              <w:spacing w:after="0" w:line="240" w:lineRule="auto"/>
            </w:pPr>
            <w:r>
              <w:rPr>
                <w:sz w:val="18"/>
              </w:rPr>
              <w:t>Aportación del Socio Industrial</w:t>
            </w:r>
          </w:p>
        </w:tc>
        <w:tc>
          <w:tcPr>
            <w:tcW w:type="dxa" w:w="4986"/>
          </w:tcPr>
          <w:p>
            <w:pPr>
              <w:spacing w:after="0" w:line="240" w:lineRule="auto"/>
            </w:pPr>
            <w:r>
              <w:rPr>
                <w:sz w:val="18"/>
              </w:rPr>
              <w:t>Materiales, herramienta, mobiliario de trabajo, supervisión, capacitación, equipo de protección personal, seguros y logística de ingreso y egreso</w:t>
            </w:r>
          </w:p>
        </w:tc>
      </w:tr>
      <w:tr>
        <w:tc>
          <w:tcPr>
            <w:tcW w:type="dxa" w:w="4986"/>
          </w:tcPr>
          <w:p>
            <w:pPr>
              <w:spacing w:after="0" w:line="240" w:lineRule="auto"/>
            </w:pPr>
            <w:r>
              <w:rPr>
                <w:sz w:val="18"/>
              </w:rPr>
              <w:t>Apoyo solicitado a la Subsecretaría</w:t>
            </w:r>
          </w:p>
        </w:tc>
        <w:tc>
          <w:tcPr>
            <w:tcW w:type="dxa" w:w="4986"/>
          </w:tcPr>
          <w:p>
            <w:pPr>
              <w:spacing w:after="0" w:line="240" w:lineRule="auto"/>
            </w:pPr>
            <w:r>
              <w:rPr>
                <w:sz w:val="18"/>
              </w:rPr>
              <w:t>Salones, energía eléctrica y servicios; asignación de PPL por el Comité Técnico; custodia para traslados y pases de lista; validación de la lista de herramientas y materiales</w:t>
            </w:r>
          </w:p>
        </w:tc>
      </w:tr>
      <w:tr>
        <w:tc>
          <w:tcPr>
            <w:tcW w:type="dxa" w:w="4986"/>
          </w:tcPr>
          <w:p>
            <w:pPr>
              <w:spacing w:after="0" w:line="240" w:lineRule="auto"/>
            </w:pPr>
            <w:r>
              <w:rPr>
                <w:sz w:val="18"/>
              </w:rPr>
              <w:t>Vigencia propuesta</w:t>
            </w:r>
          </w:p>
        </w:tc>
        <w:tc>
          <w:tcPr>
            <w:tcW w:type="dxa" w:w="4986"/>
          </w:tcPr>
          <w:p>
            <w:pPr>
              <w:spacing w:after="0" w:line="240" w:lineRule="auto"/>
            </w:pPr>
            <w:r>
              <w:rPr>
                <w:sz w:val="18"/>
              </w:rPr>
              <w:t>Convenio de colaboración de 3 años, prorrogable, con revisión anual</w:t>
            </w:r>
          </w:p>
        </w:tc>
      </w:tr>
    </w:tbl>
    <w:p>
      <w:pPr>
        <w:spacing w:after="40"/>
      </w:pPr>
    </w:p>
    <w:p>
      <w:pPr>
        <w:pStyle w:val="Heading2"/>
      </w:pPr>
      <w:r>
        <w:t>2. Datos del Socio Industrial</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4986"/>
        <w:gridCol w:w="4986"/>
      </w:tblGrid>
      <w:tr>
        <w:tc>
          <w:tcPr>
            <w:tcW w:type="dxa" w:w="4986"/>
            <w:shd w:val="clear" w:color="auto" w:fill="E3EDF2"/>
          </w:tcPr>
          <w:p>
            <w:pPr>
              <w:spacing w:after="0" w:line="240" w:lineRule="auto"/>
            </w:pPr>
            <w:r>
              <w:rPr>
                <w:b/>
                <w:sz w:val="18"/>
              </w:rPr>
              <w:t>Dato</w:t>
            </w:r>
          </w:p>
        </w:tc>
        <w:tc>
          <w:tcPr>
            <w:tcW w:type="dxa" w:w="4986"/>
            <w:shd w:val="clear" w:color="auto" w:fill="E3EDF2"/>
          </w:tcPr>
          <w:p>
            <w:pPr>
              <w:spacing w:after="0" w:line="240" w:lineRule="auto"/>
            </w:pPr>
            <w:r>
              <w:rPr>
                <w:b/>
                <w:sz w:val="18"/>
              </w:rPr>
              <w:t>Información</w:t>
            </w:r>
          </w:p>
        </w:tc>
      </w:tr>
      <w:tr>
        <w:tc>
          <w:tcPr>
            <w:tcW w:type="dxa" w:w="4986"/>
          </w:tcPr>
          <w:p>
            <w:pPr>
              <w:spacing w:after="0" w:line="240" w:lineRule="auto"/>
            </w:pPr>
            <w:r>
              <w:rPr>
                <w:sz w:val="18"/>
              </w:rPr>
              <w:t>Razón social</w:t>
            </w:r>
          </w:p>
        </w:tc>
        <w:tc>
          <w:tcPr>
            <w:tcW w:type="dxa" w:w="4986"/>
          </w:tcPr>
          <w:p>
            <w:pPr>
              <w:spacing w:after="0" w:line="240" w:lineRule="auto"/>
            </w:pPr>
            <w:r>
              <w:rPr>
                <w:sz w:val="18"/>
              </w:rPr>
              <w:t>RAM Electronics [completar denominación conforme al acta constitutiva]</w:t>
            </w:r>
          </w:p>
        </w:tc>
      </w:tr>
      <w:tr>
        <w:tc>
          <w:tcPr>
            <w:tcW w:type="dxa" w:w="4986"/>
          </w:tcPr>
          <w:p>
            <w:pPr>
              <w:spacing w:after="0" w:line="240" w:lineRule="auto"/>
            </w:pPr>
            <w:r>
              <w:rPr>
                <w:sz w:val="18"/>
              </w:rPr>
              <w:t>RFC</w:t>
            </w:r>
          </w:p>
        </w:tc>
        <w:tc>
          <w:tcPr>
            <w:tcW w:type="dxa" w:w="4986"/>
          </w:tcPr>
          <w:p>
            <w:pPr>
              <w:spacing w:after="0" w:line="240" w:lineRule="auto"/>
            </w:pPr>
            <w:r>
              <w:rPr>
                <w:sz w:val="18"/>
              </w:rPr>
              <w:t>[completar]</w:t>
            </w:r>
          </w:p>
        </w:tc>
      </w:tr>
      <w:tr>
        <w:tc>
          <w:tcPr>
            <w:tcW w:type="dxa" w:w="4986"/>
          </w:tcPr>
          <w:p>
            <w:pPr>
              <w:spacing w:after="0" w:line="240" w:lineRule="auto"/>
            </w:pPr>
            <w:r>
              <w:rPr>
                <w:sz w:val="18"/>
              </w:rPr>
              <w:t>Representante legal</w:t>
            </w:r>
          </w:p>
        </w:tc>
        <w:tc>
          <w:tcPr>
            <w:tcW w:type="dxa" w:w="4986"/>
          </w:tcPr>
          <w:p>
            <w:pPr>
              <w:spacing w:after="0" w:line="240" w:lineRule="auto"/>
            </w:pPr>
            <w:r>
              <w:rPr>
                <w:sz w:val="18"/>
              </w:rPr>
              <w:t>[completar nombre y poder notarial]</w:t>
            </w:r>
          </w:p>
        </w:tc>
      </w:tr>
      <w:tr>
        <w:tc>
          <w:tcPr>
            <w:tcW w:type="dxa" w:w="4986"/>
          </w:tcPr>
          <w:p>
            <w:pPr>
              <w:spacing w:after="0" w:line="240" w:lineRule="auto"/>
            </w:pPr>
            <w:r>
              <w:rPr>
                <w:sz w:val="18"/>
              </w:rPr>
              <w:t>Domicilio</w:t>
            </w:r>
          </w:p>
        </w:tc>
        <w:tc>
          <w:tcPr>
            <w:tcW w:type="dxa" w:w="4986"/>
          </w:tcPr>
          <w:p>
            <w:pPr>
              <w:spacing w:after="0" w:line="240" w:lineRule="auto"/>
            </w:pPr>
            <w:r>
              <w:rPr>
                <w:sz w:val="18"/>
              </w:rPr>
              <w:t>Donizetti 117, Col. Vallejo, Alcaldía Gustavo A. Madero, CDMX, C.P. 07870</w:t>
            </w:r>
          </w:p>
        </w:tc>
      </w:tr>
      <w:tr>
        <w:tc>
          <w:tcPr>
            <w:tcW w:type="dxa" w:w="4986"/>
          </w:tcPr>
          <w:p>
            <w:pPr>
              <w:spacing w:after="0" w:line="240" w:lineRule="auto"/>
            </w:pPr>
            <w:r>
              <w:rPr>
                <w:sz w:val="18"/>
              </w:rPr>
              <w:t>Contactos operativos</w:t>
            </w:r>
          </w:p>
        </w:tc>
        <w:tc>
          <w:tcPr>
            <w:tcW w:type="dxa" w:w="4986"/>
          </w:tcPr>
          <w:p>
            <w:pPr>
              <w:spacing w:after="0" w:line="240" w:lineRule="auto"/>
            </w:pPr>
            <w:r>
              <w:rPr>
                <w:sz w:val="18"/>
              </w:rPr>
              <w:t>Ing. Mario Al. Martínez Vidal, tel. 55 4422 9935; Ing. Rodrigo Ojeda Santillán, tel. 55 5943 5860; correo ram.electronics@outlook.com</w:t>
            </w:r>
          </w:p>
        </w:tc>
      </w:tr>
      <w:tr>
        <w:tc>
          <w:tcPr>
            <w:tcW w:type="dxa" w:w="4986"/>
          </w:tcPr>
          <w:p>
            <w:pPr>
              <w:spacing w:after="0" w:line="240" w:lineRule="auto"/>
            </w:pPr>
            <w:r>
              <w:rPr>
                <w:sz w:val="18"/>
              </w:rPr>
              <w:t>Giro</w:t>
            </w:r>
          </w:p>
        </w:tc>
        <w:tc>
          <w:tcPr>
            <w:tcW w:type="dxa" w:w="4986"/>
          </w:tcPr>
          <w:p>
            <w:pPr>
              <w:spacing w:after="0" w:line="240" w:lineRule="auto"/>
            </w:pPr>
            <w:r>
              <w:rPr>
                <w:sz w:val="18"/>
              </w:rPr>
              <w:t>Soluciones integrales de recuperación, reacondicionamiento y personalización de equipos electrónicos</w:t>
            </w:r>
          </w:p>
        </w:tc>
      </w:tr>
      <w:tr>
        <w:tc>
          <w:tcPr>
            <w:tcW w:type="dxa" w:w="4986"/>
          </w:tcPr>
          <w:p>
            <w:pPr>
              <w:spacing w:after="0" w:line="240" w:lineRule="auto"/>
            </w:pPr>
            <w:r>
              <w:rPr>
                <w:sz w:val="18"/>
              </w:rPr>
              <w:t>Plantilla actual</w:t>
            </w:r>
          </w:p>
        </w:tc>
        <w:tc>
          <w:tcPr>
            <w:tcW w:type="dxa" w:w="4986"/>
          </w:tcPr>
          <w:p>
            <w:pPr>
              <w:spacing w:after="0" w:line="240" w:lineRule="auto"/>
            </w:pPr>
            <w:r>
              <w:rPr>
                <w:sz w:val="18"/>
              </w:rPr>
              <w:t>140 personas especializadas</w:t>
            </w:r>
          </w:p>
        </w:tc>
      </w:tr>
      <w:tr>
        <w:tc>
          <w:tcPr>
            <w:tcW w:type="dxa" w:w="4986"/>
          </w:tcPr>
          <w:p>
            <w:pPr>
              <w:spacing w:after="0" w:line="240" w:lineRule="auto"/>
            </w:pPr>
            <w:r>
              <w:rPr>
                <w:sz w:val="18"/>
              </w:rPr>
              <w:t>Sede de operación externa</w:t>
            </w:r>
          </w:p>
        </w:tc>
        <w:tc>
          <w:tcPr>
            <w:tcW w:type="dxa" w:w="4986"/>
          </w:tcPr>
          <w:p>
            <w:pPr>
              <w:spacing w:after="0" w:line="240" w:lineRule="auto"/>
            </w:pPr>
            <w:r>
              <w:rPr>
                <w:sz w:val="18"/>
              </w:rPr>
              <w:t>Planta en Col. Vallejo, GAM, a 6 km del CEVASEP II</w:t>
            </w:r>
          </w:p>
        </w:tc>
      </w:tr>
    </w:tbl>
    <w:p>
      <w:pPr>
        <w:spacing w:after="40"/>
      </w:pPr>
    </w:p>
    <w:p>
      <w:r>
        <w:rPr>
          <w:b/>
        </w:rPr>
        <w:t>Experiencia relevante.</w:t>
      </w:r>
      <w:r>
        <w:t xml:space="preserve"> RAM Electronics realiza rehabilitación integral electrónica y cosmética de equipos, cribado y reparación a nivel L2, montaje SMT, limpieza de tarjetas por tecnologías criogénica, ultrasónica y tradicional, y desarrollo de software de prueba y trazabilidad (sistema SIMOD de monitoreo y control de dispositivos por lote, con control de calidad y trazabilidad total). Cuenta con clientes en el sector de telecomunicaciones y con procesos documentados bajo estándares de manufactura electrónica y protocolos internacionales de calidad. La empresa ya realiza en el CEVASEP II actividades de reacondicionamiento cosmético de equipos de un operador de telecomunicaciones, con protocolos de ingreso, custodia y egreso validados por el centro.</w:t>
      </w:r>
    </w:p>
    <w:p>
      <w:pPr>
        <w:pStyle w:val="Heading2"/>
      </w:pPr>
      <w:r>
        <w:t>3. Objetivos</w:t>
      </w:r>
    </w:p>
    <w:p>
      <w:pPr>
        <w:pStyle w:val="ListNumber"/>
        <w:spacing w:after="40"/>
      </w:pPr>
      <w:r>
        <w:t>Generar empleo productivo, estable y remunerado para hasta 350 PPL del CEVASEP II, con jornada completa y pago no menor al salario mínimo general vigente.</w:t>
      </w:r>
    </w:p>
    <w:p>
      <w:pPr>
        <w:pStyle w:val="ListNumber"/>
        <w:spacing w:after="40"/>
      </w:pPr>
      <w:r>
        <w:t>Formar competencias laborales certificables en reacondicionamiento de electrónica, control de calidad, etiquetado y logística, con una ruta de contratación al obtener la libertad.</w:t>
      </w:r>
    </w:p>
    <w:p>
      <w:pPr>
        <w:pStyle w:val="ListNumber"/>
        <w:spacing w:after="40"/>
      </w:pPr>
      <w:r>
        <w:t>Contribuir a los indicadores de reinserción social de la Subsecretaría: PPL en comisión laboral, horas de capacitación, certificaciones emitidas y egresados vinculados a un empleo.</w:t>
      </w:r>
    </w:p>
    <w:p>
      <w:pPr>
        <w:pStyle w:val="ListNumber"/>
        <w:spacing w:after="40"/>
      </w:pPr>
      <w:r>
        <w:t>Operar con cero incidentes de seguridad, bajo los protocolos del centro y los estándares de la American Correctional Association que el CEVASEP II tiene acreditados.</w:t>
      </w:r>
    </w:p>
    <w:p>
      <w:pPr>
        <w:pStyle w:val="Heading2"/>
      </w:pPr>
      <w:r>
        <w:t>4. Actividades que se realizarán</w:t>
      </w:r>
    </w:p>
    <w:p>
      <w:pPr>
        <w:pStyle w:val="Heading3"/>
      </w:pPr>
      <w:r>
        <w:t>4.1 Fase 1 (meses 1 a 6): 4 salones, 140 PPL</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2493"/>
        <w:gridCol w:w="2493"/>
        <w:gridCol w:w="2493"/>
        <w:gridCol w:w="2493"/>
      </w:tblGrid>
      <w:tr>
        <w:tc>
          <w:tcPr>
            <w:tcW w:type="dxa" w:w="2493"/>
            <w:shd w:val="clear" w:color="auto" w:fill="E3EDF2"/>
          </w:tcPr>
          <w:p>
            <w:pPr>
              <w:spacing w:after="0" w:line="240" w:lineRule="auto"/>
            </w:pPr>
            <w:r>
              <w:rPr>
                <w:b/>
                <w:sz w:val="18"/>
              </w:rPr>
              <w:t>Salón</w:t>
            </w:r>
          </w:p>
        </w:tc>
        <w:tc>
          <w:tcPr>
            <w:tcW w:type="dxa" w:w="2493"/>
            <w:shd w:val="clear" w:color="auto" w:fill="E3EDF2"/>
          </w:tcPr>
          <w:p>
            <w:pPr>
              <w:spacing w:after="0" w:line="240" w:lineRule="auto"/>
            </w:pPr>
            <w:r>
              <w:rPr>
                <w:b/>
                <w:sz w:val="18"/>
              </w:rPr>
              <w:t>Actividad</w:t>
            </w:r>
          </w:p>
        </w:tc>
        <w:tc>
          <w:tcPr>
            <w:tcW w:type="dxa" w:w="2493"/>
            <w:shd w:val="clear" w:color="auto" w:fill="E3EDF2"/>
          </w:tcPr>
          <w:p>
            <w:pPr>
              <w:spacing w:after="0" w:line="240" w:lineRule="auto"/>
            </w:pPr>
            <w:r>
              <w:rPr>
                <w:b/>
                <w:sz w:val="18"/>
              </w:rPr>
              <w:t>Descripción de las operaciones</w:t>
            </w:r>
          </w:p>
        </w:tc>
        <w:tc>
          <w:tcPr>
            <w:tcW w:type="dxa" w:w="2493"/>
            <w:shd w:val="clear" w:color="auto" w:fill="E3EDF2"/>
          </w:tcPr>
          <w:p>
            <w:pPr>
              <w:spacing w:after="0" w:line="240" w:lineRule="auto"/>
            </w:pPr>
            <w:r>
              <w:rPr>
                <w:b/>
                <w:sz w:val="18"/>
              </w:rPr>
              <w:t>PPL</w:t>
            </w:r>
          </w:p>
        </w:tc>
      </w:tr>
      <w:tr>
        <w:tc>
          <w:tcPr>
            <w:tcW w:type="dxa" w:w="2493"/>
          </w:tcPr>
          <w:p>
            <w:pPr>
              <w:spacing w:after="0" w:line="240" w:lineRule="auto"/>
            </w:pPr>
            <w:r>
              <w:rPr>
                <w:sz w:val="18"/>
              </w:rPr>
              <w:t>1 y 2</w:t>
            </w:r>
          </w:p>
        </w:tc>
        <w:tc>
          <w:tcPr>
            <w:tcW w:type="dxa" w:w="2493"/>
          </w:tcPr>
          <w:p>
            <w:pPr>
              <w:spacing w:after="0" w:line="240" w:lineRule="auto"/>
            </w:pPr>
            <w:r>
              <w:rPr>
                <w:sz w:val="18"/>
              </w:rPr>
              <w:t>Reacondicionamiento cosmético de equipos de telecomunicaciones</w:t>
            </w:r>
          </w:p>
        </w:tc>
        <w:tc>
          <w:tcPr>
            <w:tcW w:type="dxa" w:w="2493"/>
          </w:tcPr>
          <w:p>
            <w:pPr>
              <w:spacing w:after="0" w:line="240" w:lineRule="auto"/>
            </w:pPr>
            <w:r>
              <w:rPr>
                <w:sz w:val="18"/>
              </w:rPr>
              <w:t>Recepción por número de serie, limpieza exterior, inspección visual, sustitución de carcasas y tapas, etiquetado, empaque individual</w:t>
            </w:r>
          </w:p>
        </w:tc>
        <w:tc>
          <w:tcPr>
            <w:tcW w:type="dxa" w:w="2493"/>
          </w:tcPr>
          <w:p>
            <w:pPr>
              <w:spacing w:after="0" w:line="240" w:lineRule="auto"/>
            </w:pPr>
            <w:r>
              <w:rPr>
                <w:sz w:val="18"/>
              </w:rPr>
              <w:t>70</w:t>
            </w:r>
          </w:p>
        </w:tc>
      </w:tr>
      <w:tr>
        <w:tc>
          <w:tcPr>
            <w:tcW w:type="dxa" w:w="2493"/>
          </w:tcPr>
          <w:p>
            <w:pPr>
              <w:spacing w:after="0" w:line="240" w:lineRule="auto"/>
            </w:pPr>
            <w:r>
              <w:rPr>
                <w:sz w:val="18"/>
              </w:rPr>
              <w:t>3 y 4</w:t>
            </w:r>
          </w:p>
        </w:tc>
        <w:tc>
          <w:tcPr>
            <w:tcW w:type="dxa" w:w="2493"/>
          </w:tcPr>
          <w:p>
            <w:pPr>
              <w:spacing w:after="0" w:line="240" w:lineRule="auto"/>
            </w:pPr>
            <w:r>
              <w:rPr>
                <w:sz w:val="18"/>
              </w:rPr>
              <w:t>Armado de kits de instalación</w:t>
            </w:r>
          </w:p>
        </w:tc>
        <w:tc>
          <w:tcPr>
            <w:tcW w:type="dxa" w:w="2493"/>
          </w:tcPr>
          <w:p>
            <w:pPr>
              <w:spacing w:after="0" w:line="240" w:lineRule="auto"/>
            </w:pPr>
            <w:r>
              <w:rPr>
                <w:sz w:val="18"/>
              </w:rPr>
              <w:t>Integración de equipo reacondicionado, fuente de poder, cable de red o coaxial de longitud fija, guía impresa y etiqueta con número de serie y código QR; sellado de caja; conteo y manifiesto de salida</w:t>
            </w:r>
          </w:p>
        </w:tc>
        <w:tc>
          <w:tcPr>
            <w:tcW w:type="dxa" w:w="2493"/>
          </w:tcPr>
          <w:p>
            <w:pPr>
              <w:spacing w:after="0" w:line="240" w:lineRule="auto"/>
            </w:pPr>
            <w:r>
              <w:rPr>
                <w:sz w:val="18"/>
              </w:rPr>
              <w:t>70</w:t>
            </w:r>
          </w:p>
        </w:tc>
      </w:tr>
    </w:tbl>
    <w:p>
      <w:pPr>
        <w:spacing w:after="40"/>
      </w:pPr>
    </w:p>
    <w:p>
      <w:pPr>
        <w:pStyle w:val="Heading3"/>
      </w:pPr>
      <w:r>
        <w:t>4.2 Fase 2 (meses 6 a 12): hasta 7 salones, 245 PPL</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2493"/>
        <w:gridCol w:w="2493"/>
        <w:gridCol w:w="2493"/>
        <w:gridCol w:w="2493"/>
      </w:tblGrid>
      <w:tr>
        <w:tc>
          <w:tcPr>
            <w:tcW w:type="dxa" w:w="2493"/>
            <w:shd w:val="clear" w:color="auto" w:fill="E3EDF2"/>
          </w:tcPr>
          <w:p>
            <w:pPr>
              <w:spacing w:after="0" w:line="240" w:lineRule="auto"/>
            </w:pPr>
            <w:r>
              <w:rPr>
                <w:b/>
                <w:sz w:val="18"/>
              </w:rPr>
              <w:t>Salón</w:t>
            </w:r>
          </w:p>
        </w:tc>
        <w:tc>
          <w:tcPr>
            <w:tcW w:type="dxa" w:w="2493"/>
            <w:shd w:val="clear" w:color="auto" w:fill="E3EDF2"/>
          </w:tcPr>
          <w:p>
            <w:pPr>
              <w:spacing w:after="0" w:line="240" w:lineRule="auto"/>
            </w:pPr>
            <w:r>
              <w:rPr>
                <w:b/>
                <w:sz w:val="18"/>
              </w:rPr>
              <w:t>Actividad</w:t>
            </w:r>
          </w:p>
        </w:tc>
        <w:tc>
          <w:tcPr>
            <w:tcW w:type="dxa" w:w="2493"/>
            <w:shd w:val="clear" w:color="auto" w:fill="E3EDF2"/>
          </w:tcPr>
          <w:p>
            <w:pPr>
              <w:spacing w:after="0" w:line="240" w:lineRule="auto"/>
            </w:pPr>
            <w:r>
              <w:rPr>
                <w:b/>
                <w:sz w:val="18"/>
              </w:rPr>
              <w:t>Descripción</w:t>
            </w:r>
          </w:p>
        </w:tc>
        <w:tc>
          <w:tcPr>
            <w:tcW w:type="dxa" w:w="2493"/>
            <w:shd w:val="clear" w:color="auto" w:fill="E3EDF2"/>
          </w:tcPr>
          <w:p>
            <w:pPr>
              <w:spacing w:after="0" w:line="240" w:lineRule="auto"/>
            </w:pPr>
            <w:r>
              <w:rPr>
                <w:b/>
                <w:sz w:val="18"/>
              </w:rPr>
              <w:t>PPL</w:t>
            </w:r>
          </w:p>
        </w:tc>
      </w:tr>
      <w:tr>
        <w:tc>
          <w:tcPr>
            <w:tcW w:type="dxa" w:w="2493"/>
          </w:tcPr>
          <w:p>
            <w:pPr>
              <w:spacing w:after="0" w:line="240" w:lineRule="auto"/>
            </w:pPr>
            <w:r>
              <w:rPr>
                <w:sz w:val="18"/>
              </w:rPr>
              <w:t>5</w:t>
            </w:r>
          </w:p>
        </w:tc>
        <w:tc>
          <w:tcPr>
            <w:tcW w:type="dxa" w:w="2493"/>
          </w:tcPr>
          <w:p>
            <w:pPr>
              <w:spacing w:after="0" w:line="240" w:lineRule="auto"/>
            </w:pPr>
            <w:r>
              <w:rPr>
                <w:sz w:val="18"/>
              </w:rPr>
              <w:t>Reacondicionamiento cosmético de equipos de otros operadores de telecomunicaciones</w:t>
            </w:r>
          </w:p>
        </w:tc>
        <w:tc>
          <w:tcPr>
            <w:tcW w:type="dxa" w:w="2493"/>
          </w:tcPr>
          <w:p>
            <w:pPr>
              <w:spacing w:after="0" w:line="240" w:lineRule="auto"/>
            </w:pPr>
            <w:r>
              <w:rPr>
                <w:sz w:val="18"/>
              </w:rPr>
              <w:t>Mismo proceso que los salones 1 y 2, en salón separado por cliente</w:t>
            </w:r>
          </w:p>
        </w:tc>
        <w:tc>
          <w:tcPr>
            <w:tcW w:type="dxa" w:w="2493"/>
          </w:tcPr>
          <w:p>
            <w:pPr>
              <w:spacing w:after="0" w:line="240" w:lineRule="auto"/>
            </w:pPr>
            <w:r>
              <w:rPr>
                <w:sz w:val="18"/>
              </w:rPr>
              <w:t>35</w:t>
            </w:r>
          </w:p>
        </w:tc>
      </w:tr>
      <w:tr>
        <w:tc>
          <w:tcPr>
            <w:tcW w:type="dxa" w:w="2493"/>
          </w:tcPr>
          <w:p>
            <w:pPr>
              <w:spacing w:after="0" w:line="240" w:lineRule="auto"/>
            </w:pPr>
            <w:r>
              <w:rPr>
                <w:sz w:val="18"/>
              </w:rPr>
              <w:t>6</w:t>
            </w:r>
          </w:p>
        </w:tc>
        <w:tc>
          <w:tcPr>
            <w:tcW w:type="dxa" w:w="2493"/>
          </w:tcPr>
          <w:p>
            <w:pPr>
              <w:spacing w:after="0" w:line="240" w:lineRule="auto"/>
            </w:pPr>
            <w:r>
              <w:rPr>
                <w:sz w:val="18"/>
              </w:rPr>
              <w:t>Etiquetado de información comercial (NOM-050, NOM-015, NOM-024, NOM-004, NOM-020)</w:t>
            </w:r>
          </w:p>
        </w:tc>
        <w:tc>
          <w:tcPr>
            <w:tcW w:type="dxa" w:w="2493"/>
          </w:tcPr>
          <w:p>
            <w:pPr>
              <w:spacing w:after="0" w:line="240" w:lineRule="auto"/>
            </w:pPr>
            <w:r>
              <w:rPr>
                <w:sz w:val="18"/>
              </w:rPr>
              <w:t>Colocación de etiquetas autoadheribles y colgantes a mercancía importada no alimentaria; conteo y cuadre por lote</w:t>
            </w:r>
          </w:p>
        </w:tc>
        <w:tc>
          <w:tcPr>
            <w:tcW w:type="dxa" w:w="2493"/>
          </w:tcPr>
          <w:p>
            <w:pPr>
              <w:spacing w:after="0" w:line="240" w:lineRule="auto"/>
            </w:pPr>
            <w:r>
              <w:rPr>
                <w:sz w:val="18"/>
              </w:rPr>
              <w:t>35</w:t>
            </w:r>
          </w:p>
        </w:tc>
      </w:tr>
      <w:tr>
        <w:tc>
          <w:tcPr>
            <w:tcW w:type="dxa" w:w="2493"/>
          </w:tcPr>
          <w:p>
            <w:pPr>
              <w:spacing w:after="0" w:line="240" w:lineRule="auto"/>
            </w:pPr>
            <w:r>
              <w:rPr>
                <w:sz w:val="18"/>
              </w:rPr>
              <w:t>7</w:t>
            </w:r>
          </w:p>
        </w:tc>
        <w:tc>
          <w:tcPr>
            <w:tcW w:type="dxa" w:w="2493"/>
          </w:tcPr>
          <w:p>
            <w:pPr>
              <w:spacing w:after="0" w:line="240" w:lineRule="auto"/>
            </w:pPr>
            <w:r>
              <w:rPr>
                <w:sz w:val="18"/>
              </w:rPr>
              <w:t>Armado de kits corporativos y empaques de temporada</w:t>
            </w:r>
          </w:p>
        </w:tc>
        <w:tc>
          <w:tcPr>
            <w:tcW w:type="dxa" w:w="2493"/>
          </w:tcPr>
          <w:p>
            <w:pPr>
              <w:spacing w:after="0" w:line="240" w:lineRule="auto"/>
            </w:pPr>
            <w:r>
              <w:rPr>
                <w:sz w:val="18"/>
              </w:rPr>
              <w:t>Picking por lista, armado, doblado, encintado y etiquetado de kits promocionales, cajas de regalo y exhibidores de cartón preensamblados</w:t>
            </w:r>
          </w:p>
        </w:tc>
        <w:tc>
          <w:tcPr>
            <w:tcW w:type="dxa" w:w="2493"/>
          </w:tcPr>
          <w:p>
            <w:pPr>
              <w:spacing w:after="0" w:line="240" w:lineRule="auto"/>
            </w:pPr>
            <w:r>
              <w:rPr>
                <w:sz w:val="18"/>
              </w:rPr>
              <w:t>35</w:t>
            </w:r>
          </w:p>
        </w:tc>
      </w:tr>
    </w:tbl>
    <w:p>
      <w:pPr>
        <w:spacing w:after="40"/>
      </w:pPr>
    </w:p>
    <w:p>
      <w:pPr>
        <w:pStyle w:val="Heading3"/>
      </w:pPr>
      <w:r>
        <w:t>4.3 Fase 3 (meses 12 a 24): hasta 10 salones, 350 PPL</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2493"/>
        <w:gridCol w:w="2493"/>
        <w:gridCol w:w="2493"/>
        <w:gridCol w:w="2493"/>
      </w:tblGrid>
      <w:tr>
        <w:tc>
          <w:tcPr>
            <w:tcW w:type="dxa" w:w="2493"/>
            <w:shd w:val="clear" w:color="auto" w:fill="E3EDF2"/>
          </w:tcPr>
          <w:p>
            <w:pPr>
              <w:spacing w:after="0" w:line="240" w:lineRule="auto"/>
            </w:pPr>
            <w:r>
              <w:rPr>
                <w:b/>
                <w:sz w:val="18"/>
              </w:rPr>
              <w:t>Salón</w:t>
            </w:r>
          </w:p>
        </w:tc>
        <w:tc>
          <w:tcPr>
            <w:tcW w:type="dxa" w:w="2493"/>
            <w:shd w:val="clear" w:color="auto" w:fill="E3EDF2"/>
          </w:tcPr>
          <w:p>
            <w:pPr>
              <w:spacing w:after="0" w:line="240" w:lineRule="auto"/>
            </w:pPr>
            <w:r>
              <w:rPr>
                <w:b/>
                <w:sz w:val="18"/>
              </w:rPr>
              <w:t>Actividad</w:t>
            </w:r>
          </w:p>
        </w:tc>
        <w:tc>
          <w:tcPr>
            <w:tcW w:type="dxa" w:w="2493"/>
            <w:shd w:val="clear" w:color="auto" w:fill="E3EDF2"/>
          </w:tcPr>
          <w:p>
            <w:pPr>
              <w:spacing w:after="0" w:line="240" w:lineRule="auto"/>
            </w:pPr>
            <w:r>
              <w:rPr>
                <w:b/>
                <w:sz w:val="18"/>
              </w:rPr>
              <w:t>Descripción</w:t>
            </w:r>
          </w:p>
        </w:tc>
        <w:tc>
          <w:tcPr>
            <w:tcW w:type="dxa" w:w="2493"/>
            <w:shd w:val="clear" w:color="auto" w:fill="E3EDF2"/>
          </w:tcPr>
          <w:p>
            <w:pPr>
              <w:spacing w:after="0" w:line="240" w:lineRule="auto"/>
            </w:pPr>
            <w:r>
              <w:rPr>
                <w:b/>
                <w:sz w:val="18"/>
              </w:rPr>
              <w:t>PPL</w:t>
            </w:r>
          </w:p>
        </w:tc>
      </w:tr>
      <w:tr>
        <w:tc>
          <w:tcPr>
            <w:tcW w:type="dxa" w:w="2493"/>
          </w:tcPr>
          <w:p>
            <w:pPr>
              <w:spacing w:after="0" w:line="240" w:lineRule="auto"/>
            </w:pPr>
            <w:r>
              <w:rPr>
                <w:sz w:val="18"/>
              </w:rPr>
              <w:t>8</w:t>
            </w:r>
          </w:p>
        </w:tc>
        <w:tc>
          <w:tcPr>
            <w:tcW w:type="dxa" w:w="2493"/>
          </w:tcPr>
          <w:p>
            <w:pPr>
              <w:spacing w:after="0" w:line="240" w:lineRule="auto"/>
            </w:pPr>
            <w:r>
              <w:rPr>
                <w:sz w:val="18"/>
              </w:rPr>
              <w:t>Reacondicionamiento de controles remotos, eliminadores, cables y accesorios</w:t>
            </w:r>
          </w:p>
        </w:tc>
        <w:tc>
          <w:tcPr>
            <w:tcW w:type="dxa" w:w="2493"/>
          </w:tcPr>
          <w:p>
            <w:pPr>
              <w:spacing w:after="0" w:line="240" w:lineRule="auto"/>
            </w:pPr>
            <w:r>
              <w:rPr>
                <w:sz w:val="18"/>
              </w:rPr>
              <w:t>Limpieza, cambio de tapas, verificación con probador pasivo, reempaque</w:t>
            </w:r>
          </w:p>
        </w:tc>
        <w:tc>
          <w:tcPr>
            <w:tcW w:type="dxa" w:w="2493"/>
          </w:tcPr>
          <w:p>
            <w:pPr>
              <w:spacing w:after="0" w:line="240" w:lineRule="auto"/>
            </w:pPr>
            <w:r>
              <w:rPr>
                <w:sz w:val="18"/>
              </w:rPr>
              <w:t>35</w:t>
            </w:r>
          </w:p>
        </w:tc>
      </w:tr>
      <w:tr>
        <w:tc>
          <w:tcPr>
            <w:tcW w:type="dxa" w:w="2493"/>
          </w:tcPr>
          <w:p>
            <w:pPr>
              <w:spacing w:after="0" w:line="240" w:lineRule="auto"/>
            </w:pPr>
            <w:r>
              <w:rPr>
                <w:sz w:val="18"/>
              </w:rPr>
              <w:t>9</w:t>
            </w:r>
          </w:p>
        </w:tc>
        <w:tc>
          <w:tcPr>
            <w:tcW w:type="dxa" w:w="2493"/>
          </w:tcPr>
          <w:p>
            <w:pPr>
              <w:spacing w:after="0" w:line="240" w:lineRule="auto"/>
            </w:pPr>
            <w:r>
              <w:rPr>
                <w:sz w:val="18"/>
              </w:rPr>
              <w:t>Segunda célula de kits de instalación y etiquetado</w:t>
            </w:r>
          </w:p>
        </w:tc>
        <w:tc>
          <w:tcPr>
            <w:tcW w:type="dxa" w:w="2493"/>
          </w:tcPr>
          <w:p>
            <w:pPr>
              <w:spacing w:after="0" w:line="240" w:lineRule="auto"/>
            </w:pPr>
            <w:r>
              <w:rPr>
                <w:sz w:val="18"/>
              </w:rPr>
              <w:t>Igual que salones 3, 4 y 6, según demanda</w:t>
            </w:r>
          </w:p>
        </w:tc>
        <w:tc>
          <w:tcPr>
            <w:tcW w:type="dxa" w:w="2493"/>
          </w:tcPr>
          <w:p>
            <w:pPr>
              <w:spacing w:after="0" w:line="240" w:lineRule="auto"/>
            </w:pPr>
            <w:r>
              <w:rPr>
                <w:sz w:val="18"/>
              </w:rPr>
              <w:t>35</w:t>
            </w:r>
          </w:p>
        </w:tc>
      </w:tr>
      <w:tr>
        <w:tc>
          <w:tcPr>
            <w:tcW w:type="dxa" w:w="2493"/>
          </w:tcPr>
          <w:p>
            <w:pPr>
              <w:spacing w:after="0" w:line="240" w:lineRule="auto"/>
            </w:pPr>
            <w:r>
              <w:rPr>
                <w:sz w:val="18"/>
              </w:rPr>
              <w:t>10</w:t>
            </w:r>
          </w:p>
        </w:tc>
        <w:tc>
          <w:tcPr>
            <w:tcW w:type="dxa" w:w="2493"/>
          </w:tcPr>
          <w:p>
            <w:pPr>
              <w:spacing w:after="0" w:line="240" w:lineRule="auto"/>
            </w:pPr>
            <w:r>
              <w:rPr>
                <w:sz w:val="18"/>
              </w:rPr>
              <w:t>Verificación funcional de equipos (sujeta a autorización de la Dirección Ejecutiva de Seguridad Penitenciaria)</w:t>
            </w:r>
          </w:p>
        </w:tc>
        <w:tc>
          <w:tcPr>
            <w:tcW w:type="dxa" w:w="2493"/>
          </w:tcPr>
          <w:p>
            <w:pPr>
              <w:spacing w:after="0" w:line="240" w:lineRule="auto"/>
            </w:pPr>
            <w:r>
              <w:rPr>
                <w:sz w:val="18"/>
              </w:rPr>
              <w:t>Prueba de encendido, puertos e indicadores en banco aislado sin conexión a red y con apantallamiento de radiofrecuencia; clasificación A, B y desecho</w:t>
            </w:r>
          </w:p>
        </w:tc>
        <w:tc>
          <w:tcPr>
            <w:tcW w:type="dxa" w:w="2493"/>
          </w:tcPr>
          <w:p>
            <w:pPr>
              <w:spacing w:after="0" w:line="240" w:lineRule="auto"/>
            </w:pPr>
            <w:r>
              <w:rPr>
                <w:sz w:val="18"/>
              </w:rPr>
              <w:t>35</w:t>
            </w:r>
          </w:p>
        </w:tc>
      </w:tr>
    </w:tbl>
    <w:p>
      <w:pPr>
        <w:spacing w:after="40"/>
      </w:pPr>
    </w:p>
    <w:p>
      <w:r>
        <w:t>Toda actividad se limita a operaciones manuales de mesa. No se realizará soldadura, reparación de tarjetas electrónicas, manejo de baterías de litio, desensamble de residuos electrónicos ni ninguna actividad con sustancias inflamables o herramientas de corte de hoja expuesta.</w:t>
      </w:r>
    </w:p>
    <w:p>
      <w:pPr>
        <w:pStyle w:val="Heading2"/>
      </w:pPr>
      <w:r>
        <w:t>5. Espacios, horario y organización del trabajo</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4986"/>
        <w:gridCol w:w="4986"/>
      </w:tblGrid>
      <w:tr>
        <w:tc>
          <w:tcPr>
            <w:tcW w:type="dxa" w:w="4986"/>
            <w:shd w:val="clear" w:color="auto" w:fill="E3EDF2"/>
          </w:tcPr>
          <w:p>
            <w:pPr>
              <w:spacing w:after="0" w:line="240" w:lineRule="auto"/>
            </w:pPr>
            <w:r>
              <w:rPr>
                <w:b/>
                <w:sz w:val="18"/>
              </w:rPr>
              <w:t>Concepto</w:t>
            </w:r>
          </w:p>
        </w:tc>
        <w:tc>
          <w:tcPr>
            <w:tcW w:type="dxa" w:w="4986"/>
            <w:shd w:val="clear" w:color="auto" w:fill="E3EDF2"/>
          </w:tcPr>
          <w:p>
            <w:pPr>
              <w:spacing w:after="0" w:line="240" w:lineRule="auto"/>
            </w:pPr>
            <w:r>
              <w:rPr>
                <w:b/>
                <w:sz w:val="18"/>
              </w:rPr>
              <w:t>Requerimiento</w:t>
            </w:r>
          </w:p>
        </w:tc>
      </w:tr>
      <w:tr>
        <w:tc>
          <w:tcPr>
            <w:tcW w:type="dxa" w:w="4986"/>
          </w:tcPr>
          <w:p>
            <w:pPr>
              <w:spacing w:after="0" w:line="240" w:lineRule="auto"/>
            </w:pPr>
            <w:r>
              <w:rPr>
                <w:sz w:val="18"/>
              </w:rPr>
              <w:t>Espacios</w:t>
            </w:r>
          </w:p>
        </w:tc>
        <w:tc>
          <w:tcPr>
            <w:tcW w:type="dxa" w:w="4986"/>
          </w:tcPr>
          <w:p>
            <w:pPr>
              <w:spacing w:after="0" w:line="240" w:lineRule="auto"/>
            </w:pPr>
            <w:r>
              <w:rPr>
                <w:sz w:val="18"/>
              </w:rPr>
              <w:t>Salones tipo aula para 35 personas cada uno, con mesas de trabajo, iluminación y contactos eléctricos monofásicos; un área de recepción y resguardo de materiales con puerta y candado bajo control del supervisor</w:t>
            </w:r>
          </w:p>
        </w:tc>
      </w:tr>
      <w:tr>
        <w:tc>
          <w:tcPr>
            <w:tcW w:type="dxa" w:w="4986"/>
          </w:tcPr>
          <w:p>
            <w:pPr>
              <w:spacing w:after="0" w:line="240" w:lineRule="auto"/>
            </w:pPr>
            <w:r>
              <w:rPr>
                <w:sz w:val="18"/>
              </w:rPr>
              <w:t>Energía</w:t>
            </w:r>
          </w:p>
        </w:tc>
        <w:tc>
          <w:tcPr>
            <w:tcW w:type="dxa" w:w="4986"/>
          </w:tcPr>
          <w:p>
            <w:pPr>
              <w:spacing w:after="0" w:line="240" w:lineRule="auto"/>
            </w:pPr>
            <w:r>
              <w:rPr>
                <w:sz w:val="18"/>
              </w:rPr>
              <w:t>Consumo estimado por salón menor a 3 kW (iluminación, escáneres, impresoras de etiquetas, selladoras de cinta). Sin maquinaria trifásica</w:t>
            </w:r>
          </w:p>
        </w:tc>
      </w:tr>
      <w:tr>
        <w:tc>
          <w:tcPr>
            <w:tcW w:type="dxa" w:w="4986"/>
          </w:tcPr>
          <w:p>
            <w:pPr>
              <w:spacing w:after="0" w:line="240" w:lineRule="auto"/>
            </w:pPr>
            <w:r>
              <w:rPr>
                <w:sz w:val="18"/>
              </w:rPr>
              <w:t>Horario</w:t>
            </w:r>
          </w:p>
        </w:tc>
        <w:tc>
          <w:tcPr>
            <w:tcW w:type="dxa" w:w="4986"/>
          </w:tcPr>
          <w:p>
            <w:pPr>
              <w:spacing w:after="0" w:line="240" w:lineRule="auto"/>
            </w:pPr>
            <w:r>
              <w:rPr>
                <w:sz w:val="18"/>
              </w:rPr>
              <w:t>Lunes a viernes, 9:00 a 13:00 y 14:00 a 18:00 h. Pase de lista al inicio y cierre de cada turno con custodia</w:t>
            </w:r>
          </w:p>
        </w:tc>
      </w:tr>
      <w:tr>
        <w:tc>
          <w:tcPr>
            <w:tcW w:type="dxa" w:w="4986"/>
          </w:tcPr>
          <w:p>
            <w:pPr>
              <w:spacing w:after="0" w:line="240" w:lineRule="auto"/>
            </w:pPr>
            <w:r>
              <w:rPr>
                <w:sz w:val="18"/>
              </w:rPr>
              <w:t>Organización</w:t>
            </w:r>
          </w:p>
        </w:tc>
        <w:tc>
          <w:tcPr>
            <w:tcW w:type="dxa" w:w="4986"/>
          </w:tcPr>
          <w:p>
            <w:pPr>
              <w:spacing w:after="0" w:line="240" w:lineRule="auto"/>
            </w:pPr>
            <w:r>
              <w:rPr>
                <w:sz w:val="18"/>
              </w:rPr>
              <w:t>Un supervisor externo por salón; un coordinador general; un encargado de ingreso y logística; 2 a 3 PPL líderes de línea por salón, seleccionados por desempeño</w:t>
            </w:r>
          </w:p>
        </w:tc>
      </w:tr>
      <w:tr>
        <w:tc>
          <w:tcPr>
            <w:tcW w:type="dxa" w:w="4986"/>
          </w:tcPr>
          <w:p>
            <w:pPr>
              <w:spacing w:after="0" w:line="240" w:lineRule="auto"/>
            </w:pPr>
            <w:r>
              <w:rPr>
                <w:sz w:val="18"/>
              </w:rPr>
              <w:t>Personal externo</w:t>
            </w:r>
          </w:p>
        </w:tc>
        <w:tc>
          <w:tcPr>
            <w:tcW w:type="dxa" w:w="4986"/>
          </w:tcPr>
          <w:p>
            <w:pPr>
              <w:spacing w:after="0" w:line="240" w:lineRule="auto"/>
            </w:pPr>
            <w:r>
              <w:rPr>
                <w:sz w:val="18"/>
              </w:rPr>
              <w:t>Fase 1: 6 personas; fase 3: hasta 13 personas, todas con credencial, registro y revisión de antecedentes conforme a los lineamientos del centro</w:t>
            </w:r>
          </w:p>
        </w:tc>
      </w:tr>
    </w:tbl>
    <w:p>
      <w:pPr>
        <w:spacing w:after="40"/>
      </w:pPr>
    </w:p>
    <w:p>
      <w:pPr>
        <w:pStyle w:val="Heading2"/>
      </w:pPr>
      <w:r>
        <w:t>6. Herramientas, materiales e insumos</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3324"/>
        <w:gridCol w:w="3324"/>
        <w:gridCol w:w="3324"/>
      </w:tblGrid>
      <w:tr>
        <w:tc>
          <w:tcPr>
            <w:tcW w:type="dxa" w:w="3324"/>
            <w:shd w:val="clear" w:color="auto" w:fill="E3EDF2"/>
          </w:tcPr>
          <w:p>
            <w:pPr>
              <w:spacing w:after="0" w:line="240" w:lineRule="auto"/>
            </w:pPr>
            <w:r>
              <w:rPr>
                <w:b/>
                <w:sz w:val="18"/>
              </w:rPr>
              <w:t>Categoría</w:t>
            </w:r>
          </w:p>
        </w:tc>
        <w:tc>
          <w:tcPr>
            <w:tcW w:type="dxa" w:w="3324"/>
            <w:shd w:val="clear" w:color="auto" w:fill="E3EDF2"/>
          </w:tcPr>
          <w:p>
            <w:pPr>
              <w:spacing w:after="0" w:line="240" w:lineRule="auto"/>
            </w:pPr>
            <w:r>
              <w:rPr>
                <w:b/>
                <w:sz w:val="18"/>
              </w:rPr>
              <w:t>Artículos</w:t>
            </w:r>
          </w:p>
        </w:tc>
        <w:tc>
          <w:tcPr>
            <w:tcW w:type="dxa" w:w="3324"/>
            <w:shd w:val="clear" w:color="auto" w:fill="E3EDF2"/>
          </w:tcPr>
          <w:p>
            <w:pPr>
              <w:spacing w:after="0" w:line="240" w:lineRule="auto"/>
            </w:pPr>
            <w:r>
              <w:rPr>
                <w:b/>
                <w:sz w:val="18"/>
              </w:rPr>
              <w:t>Control propuesto</w:t>
            </w:r>
          </w:p>
        </w:tc>
      </w:tr>
      <w:tr>
        <w:tc>
          <w:tcPr>
            <w:tcW w:type="dxa" w:w="3324"/>
          </w:tcPr>
          <w:p>
            <w:pPr>
              <w:spacing w:after="0" w:line="240" w:lineRule="auto"/>
            </w:pPr>
            <w:r>
              <w:rPr>
                <w:sz w:val="18"/>
              </w:rPr>
              <w:t>Herramienta manual</w:t>
            </w:r>
          </w:p>
        </w:tc>
        <w:tc>
          <w:tcPr>
            <w:tcW w:type="dxa" w:w="3324"/>
          </w:tcPr>
          <w:p>
            <w:pPr>
              <w:spacing w:after="0" w:line="240" w:lineRule="auto"/>
            </w:pPr>
            <w:r>
              <w:rPr>
                <w:sz w:val="18"/>
              </w:rPr>
              <w:t>Aplicadores de etiqueta de plástico, espátulas de plástico, brochas, paños de microfibra, cutters de hoja oculta (sólo supervisores), desarmadores de precisión (sólo salón 10, bajo autorización)</w:t>
            </w:r>
          </w:p>
        </w:tc>
        <w:tc>
          <w:tcPr>
            <w:tcW w:type="dxa" w:w="3324"/>
          </w:tcPr>
          <w:p>
            <w:pPr>
              <w:spacing w:after="0" w:line="240" w:lineRule="auto"/>
            </w:pPr>
            <w:r>
              <w:rPr>
                <w:sz w:val="18"/>
              </w:rPr>
              <w:t>Tablero de sombras por salón; conteo al inicio y cierre de cada turno firmado por supervisor y custodia; un faltante detiene el salón hasta su localización</w:t>
            </w:r>
          </w:p>
        </w:tc>
      </w:tr>
      <w:tr>
        <w:tc>
          <w:tcPr>
            <w:tcW w:type="dxa" w:w="3324"/>
          </w:tcPr>
          <w:p>
            <w:pPr>
              <w:spacing w:after="0" w:line="240" w:lineRule="auto"/>
            </w:pPr>
            <w:r>
              <w:rPr>
                <w:sz w:val="18"/>
              </w:rPr>
              <w:t>Equipo</w:t>
            </w:r>
          </w:p>
        </w:tc>
        <w:tc>
          <w:tcPr>
            <w:tcW w:type="dxa" w:w="3324"/>
          </w:tcPr>
          <w:p>
            <w:pPr>
              <w:spacing w:after="0" w:line="240" w:lineRule="auto"/>
            </w:pPr>
            <w:r>
              <w:rPr>
                <w:sz w:val="18"/>
              </w:rPr>
              <w:t>Escáneres de código de barras sin conectividad inalámbrica, impresoras térmicas de etiquetas, selladoras de cinta, básculas contadoras, lámparas de inspección</w:t>
            </w:r>
          </w:p>
        </w:tc>
        <w:tc>
          <w:tcPr>
            <w:tcW w:type="dxa" w:w="3324"/>
          </w:tcPr>
          <w:p>
            <w:pPr>
              <w:spacing w:after="0" w:line="240" w:lineRule="auto"/>
            </w:pPr>
            <w:r>
              <w:rPr>
                <w:sz w:val="18"/>
              </w:rPr>
              <w:t>Inventario fijo por salón; sin puertos de red; validado por Seguridad Penitenciaria</w:t>
            </w:r>
          </w:p>
        </w:tc>
      </w:tr>
      <w:tr>
        <w:tc>
          <w:tcPr>
            <w:tcW w:type="dxa" w:w="3324"/>
          </w:tcPr>
          <w:p>
            <w:pPr>
              <w:spacing w:after="0" w:line="240" w:lineRule="auto"/>
            </w:pPr>
            <w:r>
              <w:rPr>
                <w:sz w:val="18"/>
              </w:rPr>
              <w:t>Materiales del proceso</w:t>
            </w:r>
          </w:p>
        </w:tc>
        <w:tc>
          <w:tcPr>
            <w:tcW w:type="dxa" w:w="3324"/>
          </w:tcPr>
          <w:p>
            <w:pPr>
              <w:spacing w:after="0" w:line="240" w:lineRule="auto"/>
            </w:pPr>
            <w:r>
              <w:rPr>
                <w:sz w:val="18"/>
              </w:rPr>
              <w:t>Equipos de telecomunicaciones sin batería y con restablecimiento de fábrica previo, carcasas, cajas, guías impresas, etiquetas, cinta, bolsas antiestáticas, cables cortados a longitud fija</w:t>
            </w:r>
          </w:p>
        </w:tc>
        <w:tc>
          <w:tcPr>
            <w:tcW w:type="dxa" w:w="3324"/>
          </w:tcPr>
          <w:p>
            <w:pPr>
              <w:spacing w:after="0" w:line="240" w:lineRule="auto"/>
            </w:pPr>
            <w:r>
              <w:rPr>
                <w:sz w:val="18"/>
              </w:rPr>
              <w:t>Ingreso con manifiesto por número de serie y por cantidad; cables en tramos cortos contados con devolución de sobrantes; sin pilas ni baterías dentro del salón</w:t>
            </w:r>
          </w:p>
        </w:tc>
      </w:tr>
      <w:tr>
        <w:tc>
          <w:tcPr>
            <w:tcW w:type="dxa" w:w="3324"/>
          </w:tcPr>
          <w:p>
            <w:pPr>
              <w:spacing w:after="0" w:line="240" w:lineRule="auto"/>
            </w:pPr>
            <w:r>
              <w:rPr>
                <w:sz w:val="18"/>
              </w:rPr>
              <w:t>Insumos de limpieza</w:t>
            </w:r>
          </w:p>
        </w:tc>
        <w:tc>
          <w:tcPr>
            <w:tcW w:type="dxa" w:w="3324"/>
          </w:tcPr>
          <w:p>
            <w:pPr>
              <w:spacing w:after="0" w:line="240" w:lineRule="auto"/>
            </w:pPr>
            <w:r>
              <w:rPr>
                <w:sz w:val="18"/>
              </w:rPr>
              <w:t>Limpiador neutro en envase no presurizado, alcohol isopropílico en cantidad diaria medida</w:t>
            </w:r>
          </w:p>
        </w:tc>
        <w:tc>
          <w:tcPr>
            <w:tcW w:type="dxa" w:w="3324"/>
          </w:tcPr>
          <w:p>
            <w:pPr>
              <w:spacing w:after="0" w:line="240" w:lineRule="auto"/>
            </w:pPr>
            <w:r>
              <w:rPr>
                <w:sz w:val="18"/>
              </w:rPr>
              <w:t>Hoja de datos de seguridad; resguardo bajo llave del supervisor; sin aerosoles ni solventes inflamables en volumen</w:t>
            </w:r>
          </w:p>
        </w:tc>
      </w:tr>
      <w:tr>
        <w:tc>
          <w:tcPr>
            <w:tcW w:type="dxa" w:w="3324"/>
          </w:tcPr>
          <w:p>
            <w:pPr>
              <w:spacing w:after="0" w:line="240" w:lineRule="auto"/>
            </w:pPr>
            <w:r>
              <w:rPr>
                <w:sz w:val="18"/>
              </w:rPr>
              <w:t>Equipo de protección personal</w:t>
            </w:r>
          </w:p>
        </w:tc>
        <w:tc>
          <w:tcPr>
            <w:tcW w:type="dxa" w:w="3324"/>
          </w:tcPr>
          <w:p>
            <w:pPr>
              <w:spacing w:after="0" w:line="240" w:lineRule="auto"/>
            </w:pPr>
            <w:r>
              <w:rPr>
                <w:sz w:val="18"/>
              </w:rPr>
              <w:t>Guantes de nitrilo, lentes de seguridad, pulseras antiestáticas, mandil</w:t>
            </w:r>
          </w:p>
        </w:tc>
        <w:tc>
          <w:tcPr>
            <w:tcW w:type="dxa" w:w="3324"/>
          </w:tcPr>
          <w:p>
            <w:pPr>
              <w:spacing w:after="0" w:line="240" w:lineRule="auto"/>
            </w:pPr>
            <w:r>
              <w:rPr>
                <w:sz w:val="18"/>
              </w:rPr>
              <w:t>Dotación por PPL con registro de entrega</w:t>
            </w:r>
          </w:p>
        </w:tc>
      </w:tr>
    </w:tbl>
    <w:p>
      <w:pPr>
        <w:spacing w:after="40"/>
      </w:pPr>
    </w:p>
    <w:p>
      <w:r>
        <w:t>Todos los equipos electrónicos ingresarán con restablecimiento de fábrica y sin datos de usuarios, bajo contrato de encargado de tratamiento de datos personales con el cliente, conforme a la Ley Federal de Protección de Datos Personales en Posesión de los Particulares. Ningún equipo se energizará dentro de los salones, salvo en el banco aislado del salón 10 si la Dirección Ejecutiva de Seguridad Penitenciaria lo autoriza por escrito.</w:t>
      </w:r>
    </w:p>
    <w:p>
      <w:pPr>
        <w:pStyle w:val="Heading2"/>
      </w:pPr>
      <w:r>
        <w:t>7. Seguridad, cadena de custodia y protección civil</w:t>
      </w:r>
    </w:p>
    <w:p>
      <w:pPr>
        <w:pStyle w:val="ListNumber"/>
        <w:spacing w:after="40"/>
      </w:pPr>
      <w:r>
        <w:rPr>
          <w:b/>
        </w:rPr>
        <w:t>Ingreso de materiales:</w:t>
      </w:r>
      <w:r>
        <w:t xml:space="preserve"> manifiesto por lote y número de serie; revisión por Seguridad Penitenciaria con el equipo del centro; sello; conteo firmado por supervisor y custodia.</w:t>
      </w:r>
    </w:p>
    <w:p>
      <w:pPr>
        <w:pStyle w:val="ListNumber"/>
        <w:spacing w:after="40"/>
      </w:pPr>
      <w:r>
        <w:rPr>
          <w:b/>
        </w:rPr>
        <w:t>Egreso de producto terminado:</w:t>
      </w:r>
      <w:r>
        <w:t xml:space="preserve"> cuadre contra el manifiesto de ingreso; merma documentada; lote sellado y salida escoltada.</w:t>
      </w:r>
    </w:p>
    <w:p>
      <w:pPr>
        <w:pStyle w:val="ListNumber"/>
        <w:spacing w:after="40"/>
      </w:pPr>
      <w:r>
        <w:rPr>
          <w:b/>
        </w:rPr>
        <w:t>Herramienta y equipo:</w:t>
      </w:r>
      <w:r>
        <w:t xml:space="preserve"> tablero de sombras, conteo por turno y reporte inmediato de faltantes a la Dirección del centro.</w:t>
      </w:r>
    </w:p>
    <w:p>
      <w:pPr>
        <w:pStyle w:val="ListNumber"/>
        <w:spacing w:after="40"/>
      </w:pPr>
      <w:r>
        <w:rPr>
          <w:b/>
        </w:rPr>
        <w:t>Personal externo:</w:t>
      </w:r>
      <w:r>
        <w:t xml:space="preserve"> credencialización, revisión al ingreso, prohibición de introducir teléfonos u objetos no autorizados; política anticorrupción de la empresa y canal de denuncia.</w:t>
      </w:r>
    </w:p>
    <w:p>
      <w:pPr>
        <w:pStyle w:val="ListNumber"/>
        <w:spacing w:after="40"/>
      </w:pPr>
      <w:r>
        <w:rPr>
          <w:b/>
        </w:rPr>
        <w:t>Protección civil:</w:t>
      </w:r>
      <w:r>
        <w:t xml:space="preserve"> extintores y botiquín por salón a cargo de la empresa; rutas de evacuación conforme al programa interno del centro; capacitación de supervisores en primeros auxilios.</w:t>
      </w:r>
    </w:p>
    <w:p>
      <w:pPr>
        <w:pStyle w:val="ListNumber"/>
        <w:spacing w:after="40"/>
      </w:pPr>
      <w:r>
        <w:rPr>
          <w:b/>
        </w:rPr>
        <w:t>Continuidad:</w:t>
      </w:r>
      <w:r>
        <w:t xml:space="preserve"> la operación se ajusta a revisiones generales, audiencias y disposiciones del centro sin reclamación alguna a la autoridad.</w:t>
      </w:r>
    </w:p>
    <w:p>
      <w:pPr>
        <w:pStyle w:val="Heading2"/>
      </w:pPr>
      <w:r>
        <w:t>8. Capacitación</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3324"/>
        <w:gridCol w:w="3324"/>
        <w:gridCol w:w="3324"/>
      </w:tblGrid>
      <w:tr>
        <w:tc>
          <w:tcPr>
            <w:tcW w:type="dxa" w:w="3324"/>
            <w:shd w:val="clear" w:color="auto" w:fill="E3EDF2"/>
          </w:tcPr>
          <w:p>
            <w:pPr>
              <w:spacing w:after="0" w:line="240" w:lineRule="auto"/>
            </w:pPr>
            <w:r>
              <w:rPr>
                <w:b/>
                <w:sz w:val="18"/>
              </w:rPr>
              <w:t>Etapa</w:t>
            </w:r>
          </w:p>
        </w:tc>
        <w:tc>
          <w:tcPr>
            <w:tcW w:type="dxa" w:w="3324"/>
            <w:shd w:val="clear" w:color="auto" w:fill="E3EDF2"/>
          </w:tcPr>
          <w:p>
            <w:pPr>
              <w:spacing w:after="0" w:line="240" w:lineRule="auto"/>
            </w:pPr>
            <w:r>
              <w:rPr>
                <w:b/>
                <w:sz w:val="18"/>
              </w:rPr>
              <w:t>Contenido</w:t>
            </w:r>
          </w:p>
        </w:tc>
        <w:tc>
          <w:tcPr>
            <w:tcW w:type="dxa" w:w="3324"/>
            <w:shd w:val="clear" w:color="auto" w:fill="E3EDF2"/>
          </w:tcPr>
          <w:p>
            <w:pPr>
              <w:spacing w:after="0" w:line="240" w:lineRule="auto"/>
            </w:pPr>
            <w:r>
              <w:rPr>
                <w:b/>
                <w:sz w:val="18"/>
              </w:rPr>
              <w:t>Duración</w:t>
            </w:r>
          </w:p>
        </w:tc>
      </w:tr>
      <w:tr>
        <w:tc>
          <w:tcPr>
            <w:tcW w:type="dxa" w:w="3324"/>
          </w:tcPr>
          <w:p>
            <w:pPr>
              <w:spacing w:after="0" w:line="240" w:lineRule="auto"/>
            </w:pPr>
            <w:r>
              <w:rPr>
                <w:sz w:val="18"/>
              </w:rPr>
              <w:t>Inducción</w:t>
            </w:r>
          </w:p>
        </w:tc>
        <w:tc>
          <w:tcPr>
            <w:tcW w:type="dxa" w:w="3324"/>
          </w:tcPr>
          <w:p>
            <w:pPr>
              <w:spacing w:after="0" w:line="240" w:lineRule="auto"/>
            </w:pPr>
            <w:r>
              <w:rPr>
                <w:sz w:val="18"/>
              </w:rPr>
              <w:t>Reglas del taller, seguridad, manejo de herramienta, protección electrostática, calidad</w:t>
            </w:r>
          </w:p>
        </w:tc>
        <w:tc>
          <w:tcPr>
            <w:tcW w:type="dxa" w:w="3324"/>
          </w:tcPr>
          <w:p>
            <w:pPr>
              <w:spacing w:after="0" w:line="240" w:lineRule="auto"/>
            </w:pPr>
            <w:r>
              <w:rPr>
                <w:sz w:val="18"/>
              </w:rPr>
              <w:t>2 días</w:t>
            </w:r>
          </w:p>
        </w:tc>
      </w:tr>
      <w:tr>
        <w:tc>
          <w:tcPr>
            <w:tcW w:type="dxa" w:w="3324"/>
          </w:tcPr>
          <w:p>
            <w:pPr>
              <w:spacing w:after="0" w:line="240" w:lineRule="auto"/>
            </w:pPr>
            <w:r>
              <w:rPr>
                <w:sz w:val="18"/>
              </w:rPr>
              <w:t>Capacitación técnica inicial</w:t>
            </w:r>
          </w:p>
        </w:tc>
        <w:tc>
          <w:tcPr>
            <w:tcW w:type="dxa" w:w="3324"/>
          </w:tcPr>
          <w:p>
            <w:pPr>
              <w:spacing w:after="0" w:line="240" w:lineRule="auto"/>
            </w:pPr>
            <w:r>
              <w:rPr>
                <w:sz w:val="18"/>
              </w:rPr>
              <w:t>Proceso de reacondicionamiento cosmético, etiquetado, armado de kits, control de calidad por muestreo</w:t>
            </w:r>
          </w:p>
        </w:tc>
        <w:tc>
          <w:tcPr>
            <w:tcW w:type="dxa" w:w="3324"/>
          </w:tcPr>
          <w:p>
            <w:pPr>
              <w:spacing w:after="0" w:line="240" w:lineRule="auto"/>
            </w:pPr>
            <w:r>
              <w:rPr>
                <w:sz w:val="18"/>
              </w:rPr>
              <w:t>13 días</w:t>
            </w:r>
          </w:p>
        </w:tc>
      </w:tr>
      <w:tr>
        <w:tc>
          <w:tcPr>
            <w:tcW w:type="dxa" w:w="3324"/>
          </w:tcPr>
          <w:p>
            <w:pPr>
              <w:spacing w:after="0" w:line="240" w:lineRule="auto"/>
            </w:pPr>
            <w:r>
              <w:rPr>
                <w:sz w:val="18"/>
              </w:rPr>
              <w:t>Certificación</w:t>
            </w:r>
          </w:p>
        </w:tc>
        <w:tc>
          <w:tcPr>
            <w:tcW w:type="dxa" w:w="3324"/>
          </w:tcPr>
          <w:p>
            <w:pPr>
              <w:spacing w:after="0" w:line="240" w:lineRule="auto"/>
            </w:pPr>
            <w:r>
              <w:rPr>
                <w:sz w:val="18"/>
              </w:rPr>
              <w:t>Gestión ante el ICAT y el CONOCER para certificar competencias en reacondicionamiento de equipos electrónicos, control de calidad y logística, en coordinación con la Subsecretaría</w:t>
            </w:r>
          </w:p>
        </w:tc>
        <w:tc>
          <w:tcPr>
            <w:tcW w:type="dxa" w:w="3324"/>
          </w:tcPr>
          <w:p>
            <w:pPr>
              <w:spacing w:after="0" w:line="240" w:lineRule="auto"/>
            </w:pPr>
            <w:r>
              <w:rPr>
                <w:sz w:val="18"/>
              </w:rPr>
              <w:t>Durante el primer año</w:t>
            </w:r>
          </w:p>
        </w:tc>
      </w:tr>
      <w:tr>
        <w:tc>
          <w:tcPr>
            <w:tcW w:type="dxa" w:w="3324"/>
          </w:tcPr>
          <w:p>
            <w:pPr>
              <w:spacing w:after="0" w:line="240" w:lineRule="auto"/>
            </w:pPr>
            <w:r>
              <w:rPr>
                <w:sz w:val="18"/>
              </w:rPr>
              <w:t>Formación continua</w:t>
            </w:r>
          </w:p>
        </w:tc>
        <w:tc>
          <w:tcPr>
            <w:tcW w:type="dxa" w:w="3324"/>
          </w:tcPr>
          <w:p>
            <w:pPr>
              <w:spacing w:after="0" w:line="240" w:lineRule="auto"/>
            </w:pPr>
            <w:r>
              <w:rPr>
                <w:sz w:val="18"/>
              </w:rPr>
              <w:t>Nuevos modelos de equipo, liderazgo de línea, uso de escáneres y registro de trazabilidad</w:t>
            </w:r>
          </w:p>
        </w:tc>
        <w:tc>
          <w:tcPr>
            <w:tcW w:type="dxa" w:w="3324"/>
          </w:tcPr>
          <w:p>
            <w:pPr>
              <w:spacing w:after="0" w:line="240" w:lineRule="auto"/>
            </w:pPr>
            <w:r>
              <w:rPr>
                <w:sz w:val="18"/>
              </w:rPr>
              <w:t>Mensual</w:t>
            </w:r>
          </w:p>
        </w:tc>
      </w:tr>
      <w:tr>
        <w:tc>
          <w:tcPr>
            <w:tcW w:type="dxa" w:w="3324"/>
          </w:tcPr>
          <w:p>
            <w:pPr>
              <w:spacing w:after="0" w:line="240" w:lineRule="auto"/>
            </w:pPr>
            <w:r>
              <w:rPr>
                <w:sz w:val="18"/>
              </w:rPr>
              <w:t>Vinculación al egreso</w:t>
            </w:r>
          </w:p>
        </w:tc>
        <w:tc>
          <w:tcPr>
            <w:tcW w:type="dxa" w:w="3324"/>
          </w:tcPr>
          <w:p>
            <w:pPr>
              <w:spacing w:after="0" w:line="240" w:lineRule="auto"/>
            </w:pPr>
            <w:r>
              <w:rPr>
                <w:sz w:val="18"/>
              </w:rPr>
              <w:t>Bolsa de trabajo de la empresa y de sus clientes para supervisores y técnicos de reacondicionamiento, en coordinación con el Instituto de Reinserción Social</w:t>
            </w:r>
          </w:p>
        </w:tc>
        <w:tc>
          <w:tcPr>
            <w:tcW w:type="dxa" w:w="3324"/>
          </w:tcPr>
          <w:p>
            <w:pPr>
              <w:spacing w:after="0" w:line="240" w:lineRule="auto"/>
            </w:pPr>
            <w:r>
              <w:rPr>
                <w:sz w:val="18"/>
              </w:rPr>
              <w:t>Permanente</w:t>
            </w:r>
          </w:p>
        </w:tc>
      </w:tr>
    </w:tbl>
    <w:p>
      <w:pPr>
        <w:spacing w:after="40"/>
      </w:pPr>
    </w:p>
    <w:p>
      <w:pPr>
        <w:pStyle w:val="Heading2"/>
      </w:pPr>
      <w:r>
        <w:t>9. Remuneración y beneficios para las personas privadas de la libertad</w:t>
      </w:r>
    </w:p>
    <w:p>
      <w:pPr>
        <w:pStyle w:val="ListBullet"/>
        <w:spacing w:after="40"/>
      </w:pPr>
      <w:r>
        <w:t>Pago por jornada laborada no menor al salario mínimo general vigente en la Ciudad de México, actualizado cada enero conforme a la resolución de la CONASAMI.</w:t>
      </w:r>
    </w:p>
    <w:p>
      <w:pPr>
        <w:pStyle w:val="ListBullet"/>
        <w:spacing w:after="40"/>
      </w:pPr>
      <w:r>
        <w:t>Depósito a la cuenta administrada por la Autoridad Penitenciaria en los términos del artículo 93 de la LNEP, con lista de asistencia firmada por turno, conciliación mensual y constancia individual de pago.</w:t>
      </w:r>
    </w:p>
    <w:p>
      <w:pPr>
        <w:pStyle w:val="ListBullet"/>
        <w:spacing w:after="40"/>
      </w:pPr>
      <w:r>
        <w:t>Reconocimiento al desempeño para líderes de línea, si la Subsecretaría lo autoriza.</w:t>
      </w:r>
    </w:p>
    <w:p>
      <w:pPr>
        <w:pStyle w:val="ListBullet"/>
        <w:spacing w:after="40"/>
      </w:pPr>
      <w:r>
        <w:t>Certificación oficial de competencias y constancia de experiencia laboral al egreso.</w:t>
      </w:r>
    </w:p>
    <w:p>
      <w:pPr>
        <w:pStyle w:val="ListBullet"/>
        <w:spacing w:after="40"/>
      </w:pPr>
      <w:r>
        <w:t>Ruta de contratación en la empresa y en sus clientes al obtener la libertad.</w:t>
      </w:r>
    </w:p>
    <w:p>
      <w:pPr>
        <w:pStyle w:val="Heading2"/>
      </w:pPr>
      <w:r>
        <w:t>10. Indicadores que se reportarán mensualmente a la Subsecretaría</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4986"/>
        <w:gridCol w:w="4986"/>
      </w:tblGrid>
      <w:tr>
        <w:tc>
          <w:tcPr>
            <w:tcW w:type="dxa" w:w="4986"/>
            <w:shd w:val="clear" w:color="auto" w:fill="E3EDF2"/>
          </w:tcPr>
          <w:p>
            <w:pPr>
              <w:spacing w:after="0" w:line="240" w:lineRule="auto"/>
            </w:pPr>
            <w:r>
              <w:rPr>
                <w:b/>
                <w:sz w:val="18"/>
              </w:rPr>
              <w:t>Indicador</w:t>
            </w:r>
          </w:p>
        </w:tc>
        <w:tc>
          <w:tcPr>
            <w:tcW w:type="dxa" w:w="4986"/>
            <w:shd w:val="clear" w:color="auto" w:fill="E3EDF2"/>
          </w:tcPr>
          <w:p>
            <w:pPr>
              <w:spacing w:after="0" w:line="240" w:lineRule="auto"/>
            </w:pPr>
            <w:r>
              <w:rPr>
                <w:b/>
                <w:sz w:val="18"/>
              </w:rPr>
              <w:t>Meta</w:t>
            </w:r>
          </w:p>
        </w:tc>
      </w:tr>
      <w:tr>
        <w:tc>
          <w:tcPr>
            <w:tcW w:type="dxa" w:w="4986"/>
          </w:tcPr>
          <w:p>
            <w:pPr>
              <w:spacing w:after="0" w:line="240" w:lineRule="auto"/>
            </w:pPr>
            <w:r>
              <w:rPr>
                <w:sz w:val="18"/>
              </w:rPr>
              <w:t>PPL en comisión laboral activa</w:t>
            </w:r>
          </w:p>
        </w:tc>
        <w:tc>
          <w:tcPr>
            <w:tcW w:type="dxa" w:w="4986"/>
          </w:tcPr>
          <w:p>
            <w:pPr>
              <w:spacing w:after="0" w:line="240" w:lineRule="auto"/>
            </w:pPr>
            <w:r>
              <w:rPr>
                <w:sz w:val="18"/>
              </w:rPr>
              <w:t>140 en fase 1; 350 en fase 3</w:t>
            </w:r>
          </w:p>
        </w:tc>
      </w:tr>
      <w:tr>
        <w:tc>
          <w:tcPr>
            <w:tcW w:type="dxa" w:w="4986"/>
          </w:tcPr>
          <w:p>
            <w:pPr>
              <w:spacing w:after="0" w:line="240" w:lineRule="auto"/>
            </w:pPr>
            <w:r>
              <w:rPr>
                <w:sz w:val="18"/>
              </w:rPr>
              <w:t>Asistencia y horas laboradas por PPL</w:t>
            </w:r>
          </w:p>
        </w:tc>
        <w:tc>
          <w:tcPr>
            <w:tcW w:type="dxa" w:w="4986"/>
          </w:tcPr>
          <w:p>
            <w:pPr>
              <w:spacing w:after="0" w:line="240" w:lineRule="auto"/>
            </w:pPr>
            <w:r>
              <w:rPr>
                <w:sz w:val="18"/>
              </w:rPr>
              <w:t>Reporte mensual con lista firmada</w:t>
            </w:r>
          </w:p>
        </w:tc>
      </w:tr>
      <w:tr>
        <w:tc>
          <w:tcPr>
            <w:tcW w:type="dxa" w:w="4986"/>
          </w:tcPr>
          <w:p>
            <w:pPr>
              <w:spacing w:after="0" w:line="240" w:lineRule="auto"/>
            </w:pPr>
            <w:r>
              <w:rPr>
                <w:sz w:val="18"/>
              </w:rPr>
              <w:t>Remuneración depositada</w:t>
            </w:r>
          </w:p>
        </w:tc>
        <w:tc>
          <w:tcPr>
            <w:tcW w:type="dxa" w:w="4986"/>
          </w:tcPr>
          <w:p>
            <w:pPr>
              <w:spacing w:after="0" w:line="240" w:lineRule="auto"/>
            </w:pPr>
            <w:r>
              <w:rPr>
                <w:sz w:val="18"/>
              </w:rPr>
              <w:t>Conciliación mensual con la Dirección Ejecutiva de Administración y Finanzas</w:t>
            </w:r>
          </w:p>
        </w:tc>
      </w:tr>
      <w:tr>
        <w:tc>
          <w:tcPr>
            <w:tcW w:type="dxa" w:w="4986"/>
          </w:tcPr>
          <w:p>
            <w:pPr>
              <w:spacing w:after="0" w:line="240" w:lineRule="auto"/>
            </w:pPr>
            <w:r>
              <w:rPr>
                <w:sz w:val="18"/>
              </w:rPr>
              <w:t>Incidentes de seguridad</w:t>
            </w:r>
          </w:p>
        </w:tc>
        <w:tc>
          <w:tcPr>
            <w:tcW w:type="dxa" w:w="4986"/>
          </w:tcPr>
          <w:p>
            <w:pPr>
              <w:spacing w:after="0" w:line="240" w:lineRule="auto"/>
            </w:pPr>
            <w:r>
              <w:rPr>
                <w:sz w:val="18"/>
              </w:rPr>
              <w:t>Cero; registro y reporte inmediato de cualquier evento</w:t>
            </w:r>
          </w:p>
        </w:tc>
      </w:tr>
      <w:tr>
        <w:tc>
          <w:tcPr>
            <w:tcW w:type="dxa" w:w="4986"/>
          </w:tcPr>
          <w:p>
            <w:pPr>
              <w:spacing w:after="0" w:line="240" w:lineRule="auto"/>
            </w:pPr>
            <w:r>
              <w:rPr>
                <w:sz w:val="18"/>
              </w:rPr>
              <w:t>PPL capacitadas y certificadas</w:t>
            </w:r>
          </w:p>
        </w:tc>
        <w:tc>
          <w:tcPr>
            <w:tcW w:type="dxa" w:w="4986"/>
          </w:tcPr>
          <w:p>
            <w:pPr>
              <w:spacing w:after="0" w:line="240" w:lineRule="auto"/>
            </w:pPr>
            <w:r>
              <w:rPr>
                <w:sz w:val="18"/>
              </w:rPr>
              <w:t>100 por ciento capacitadas; certificación progresiva</w:t>
            </w:r>
          </w:p>
        </w:tc>
      </w:tr>
      <w:tr>
        <w:tc>
          <w:tcPr>
            <w:tcW w:type="dxa" w:w="4986"/>
          </w:tcPr>
          <w:p>
            <w:pPr>
              <w:spacing w:after="0" w:line="240" w:lineRule="auto"/>
            </w:pPr>
            <w:r>
              <w:rPr>
                <w:sz w:val="18"/>
              </w:rPr>
              <w:t>Egresados vinculados a empleo</w:t>
            </w:r>
          </w:p>
        </w:tc>
        <w:tc>
          <w:tcPr>
            <w:tcW w:type="dxa" w:w="4986"/>
          </w:tcPr>
          <w:p>
            <w:pPr>
              <w:spacing w:after="0" w:line="240" w:lineRule="auto"/>
            </w:pPr>
            <w:r>
              <w:rPr>
                <w:sz w:val="18"/>
              </w:rPr>
              <w:t>Registro de colocaciones y seguimiento a seis meses</w:t>
            </w:r>
          </w:p>
        </w:tc>
      </w:tr>
    </w:tbl>
    <w:p>
      <w:pPr>
        <w:spacing w:after="40"/>
      </w:pPr>
    </w:p>
    <w:p>
      <w:pPr>
        <w:pStyle w:val="Heading2"/>
      </w:pPr>
      <w:r>
        <w:t>11. Cronograma</w:t>
      </w:r>
    </w:p>
    <w:tbl>
      <w:tblPr>
        <w:tblStyle w:val="TableGrid"/>
        <w:tblW w:type="auto" w:w="0"/>
        <w:jc w:val="center"/>
        <w:tblLayout w:type="autofit"/>
        <w:tblCellMar>
          <w:top w:w="40" w:type="dxa"/>
          <w:left w:w="70" w:type="dxa"/>
          <w:bottom w:w="40" w:type="dxa"/>
          <w:right w:w="70" w:type="dxa"/>
        </w:tblCellMar>
        <w:tblLook w:firstColumn="1" w:firstRow="1" w:lastColumn="0" w:lastRow="0" w:noHBand="0" w:noVBand="1" w:val="04A0"/>
      </w:tblPr>
      <w:tblGrid>
        <w:gridCol w:w="4986"/>
        <w:gridCol w:w="4986"/>
      </w:tblGrid>
      <w:tr>
        <w:tc>
          <w:tcPr>
            <w:tcW w:type="dxa" w:w="4986"/>
            <w:shd w:val="clear" w:color="auto" w:fill="E3EDF2"/>
          </w:tcPr>
          <w:p>
            <w:pPr>
              <w:spacing w:after="0" w:line="240" w:lineRule="auto"/>
            </w:pPr>
            <w:r>
              <w:rPr>
                <w:b/>
                <w:sz w:val="18"/>
              </w:rPr>
              <w:t>Periodo</w:t>
            </w:r>
          </w:p>
        </w:tc>
        <w:tc>
          <w:tcPr>
            <w:tcW w:type="dxa" w:w="4986"/>
            <w:shd w:val="clear" w:color="auto" w:fill="E3EDF2"/>
          </w:tcPr>
          <w:p>
            <w:pPr>
              <w:spacing w:after="0" w:line="240" w:lineRule="auto"/>
            </w:pPr>
            <w:r>
              <w:rPr>
                <w:b/>
                <w:sz w:val="18"/>
              </w:rPr>
              <w:t>Hito</w:t>
            </w:r>
          </w:p>
        </w:tc>
      </w:tr>
      <w:tr>
        <w:tc>
          <w:tcPr>
            <w:tcW w:type="dxa" w:w="4986"/>
          </w:tcPr>
          <w:p>
            <w:pPr>
              <w:spacing w:after="0" w:line="240" w:lineRule="auto"/>
            </w:pPr>
            <w:r>
              <w:rPr>
                <w:sz w:val="18"/>
              </w:rPr>
              <w:t>Mes 1</w:t>
            </w:r>
          </w:p>
        </w:tc>
        <w:tc>
          <w:tcPr>
            <w:tcW w:type="dxa" w:w="4986"/>
          </w:tcPr>
          <w:p>
            <w:pPr>
              <w:spacing w:after="0" w:line="240" w:lineRule="auto"/>
            </w:pPr>
            <w:r>
              <w:rPr>
                <w:sz w:val="18"/>
              </w:rPr>
              <w:t>Firma del convenio; validación de la lista de herramientas y materiales por Seguridad Penitenciaria; selección de PPL por el Comité Técnico; inducción y capacitación inicial</w:t>
            </w:r>
          </w:p>
        </w:tc>
      </w:tr>
      <w:tr>
        <w:tc>
          <w:tcPr>
            <w:tcW w:type="dxa" w:w="4986"/>
          </w:tcPr>
          <w:p>
            <w:pPr>
              <w:spacing w:after="0" w:line="240" w:lineRule="auto"/>
            </w:pPr>
            <w:r>
              <w:rPr>
                <w:sz w:val="18"/>
              </w:rPr>
              <w:t>Meses 2 y 3</w:t>
            </w:r>
          </w:p>
        </w:tc>
        <w:tc>
          <w:tcPr>
            <w:tcW w:type="dxa" w:w="4986"/>
          </w:tcPr>
          <w:p>
            <w:pPr>
              <w:spacing w:after="0" w:line="240" w:lineRule="auto"/>
            </w:pPr>
            <w:r>
              <w:rPr>
                <w:sz w:val="18"/>
              </w:rPr>
              <w:t>Operación de los salones 1 a 4; medición de productividad y calidad; primer reporte mensual</w:t>
            </w:r>
          </w:p>
        </w:tc>
      </w:tr>
      <w:tr>
        <w:tc>
          <w:tcPr>
            <w:tcW w:type="dxa" w:w="4986"/>
          </w:tcPr>
          <w:p>
            <w:pPr>
              <w:spacing w:after="0" w:line="240" w:lineRule="auto"/>
            </w:pPr>
            <w:r>
              <w:rPr>
                <w:sz w:val="18"/>
              </w:rPr>
              <w:t>Meses 4 a 6</w:t>
            </w:r>
          </w:p>
        </w:tc>
        <w:tc>
          <w:tcPr>
            <w:tcW w:type="dxa" w:w="4986"/>
          </w:tcPr>
          <w:p>
            <w:pPr>
              <w:spacing w:after="0" w:line="240" w:lineRule="auto"/>
            </w:pPr>
            <w:r>
              <w:rPr>
                <w:sz w:val="18"/>
              </w:rPr>
              <w:t>Solicitud de apertura del salón 5; gestión de certificación ICAT/CONOCER</w:t>
            </w:r>
          </w:p>
        </w:tc>
      </w:tr>
      <w:tr>
        <w:tc>
          <w:tcPr>
            <w:tcW w:type="dxa" w:w="4986"/>
          </w:tcPr>
          <w:p>
            <w:pPr>
              <w:spacing w:after="0" w:line="240" w:lineRule="auto"/>
            </w:pPr>
            <w:r>
              <w:rPr>
                <w:sz w:val="18"/>
              </w:rPr>
              <w:t>Meses 6 a 12</w:t>
            </w:r>
          </w:p>
        </w:tc>
        <w:tc>
          <w:tcPr>
            <w:tcW w:type="dxa" w:w="4986"/>
          </w:tcPr>
          <w:p>
            <w:pPr>
              <w:spacing w:after="0" w:line="240" w:lineRule="auto"/>
            </w:pPr>
            <w:r>
              <w:rPr>
                <w:sz w:val="18"/>
              </w:rPr>
              <w:t>Apertura de los salones 5, 6 y 7</w:t>
            </w:r>
          </w:p>
        </w:tc>
      </w:tr>
      <w:tr>
        <w:tc>
          <w:tcPr>
            <w:tcW w:type="dxa" w:w="4986"/>
          </w:tcPr>
          <w:p>
            <w:pPr>
              <w:spacing w:after="0" w:line="240" w:lineRule="auto"/>
            </w:pPr>
            <w:r>
              <w:rPr>
                <w:sz w:val="18"/>
              </w:rPr>
              <w:t>Meses 12 a 24</w:t>
            </w:r>
          </w:p>
        </w:tc>
        <w:tc>
          <w:tcPr>
            <w:tcW w:type="dxa" w:w="4986"/>
          </w:tcPr>
          <w:p>
            <w:pPr>
              <w:spacing w:after="0" w:line="240" w:lineRule="auto"/>
            </w:pPr>
            <w:r>
              <w:rPr>
                <w:sz w:val="18"/>
              </w:rPr>
              <w:t>Apertura de los salones 8, 9 y 10, este último sujeto a la autorización del banco aislado de verificación</w:t>
            </w:r>
          </w:p>
        </w:tc>
      </w:tr>
      <w:tr>
        <w:tc>
          <w:tcPr>
            <w:tcW w:type="dxa" w:w="4986"/>
          </w:tcPr>
          <w:p>
            <w:pPr>
              <w:spacing w:after="0" w:line="240" w:lineRule="auto"/>
            </w:pPr>
            <w:r>
              <w:rPr>
                <w:sz w:val="18"/>
              </w:rPr>
              <w:t>Cada año</w:t>
            </w:r>
          </w:p>
        </w:tc>
        <w:tc>
          <w:tcPr>
            <w:tcW w:type="dxa" w:w="4986"/>
          </w:tcPr>
          <w:p>
            <w:pPr>
              <w:spacing w:after="0" w:line="240" w:lineRule="auto"/>
            </w:pPr>
            <w:r>
              <w:rPr>
                <w:sz w:val="18"/>
              </w:rPr>
              <w:t>Revisión del convenio, actualización de la remuneración y del plan de capacitación</w:t>
            </w:r>
          </w:p>
        </w:tc>
      </w:tr>
    </w:tbl>
    <w:p>
      <w:pPr>
        <w:spacing w:after="40"/>
      </w:pPr>
    </w:p>
    <w:p>
      <w:pPr>
        <w:pStyle w:val="Heading2"/>
      </w:pPr>
      <w:r>
        <w:t>12. Compromisos del Socio Industrial</w:t>
      </w:r>
    </w:p>
    <w:p>
      <w:pPr>
        <w:pStyle w:val="ListNumber"/>
        <w:spacing w:after="40"/>
      </w:pPr>
      <w:r>
        <w:t>Cumplir el Reglamento de los Centros Penitenciarios, los lineamientos de la Subsecretaría y las indicaciones de la Dirección del centro y de Seguridad Penitenciaria.</w:t>
      </w:r>
    </w:p>
    <w:p>
      <w:pPr>
        <w:pStyle w:val="ListNumber"/>
        <w:spacing w:after="40"/>
      </w:pPr>
      <w:r>
        <w:t>Pagar puntualmente la remuneración de las PPL y entregar las constancias correspondientes.</w:t>
      </w:r>
    </w:p>
    <w:p>
      <w:pPr>
        <w:pStyle w:val="ListNumber"/>
        <w:spacing w:after="40"/>
      </w:pPr>
      <w:r>
        <w:t>Aportar materiales, herramienta, equipo, mobiliario de trabajo, equipo de protección personal, seguros de responsabilidad civil y de mercancía, supervisión y capacitación.</w:t>
      </w:r>
    </w:p>
    <w:p>
      <w:pPr>
        <w:pStyle w:val="ListNumber"/>
        <w:spacing w:after="40"/>
      </w:pPr>
      <w:r>
        <w:t>No sustituir empleos de su plantilla externa por la operación en el centro; el taller constituye capacidad adicional.</w:t>
      </w:r>
    </w:p>
    <w:p>
      <w:pPr>
        <w:pStyle w:val="ListNumber"/>
        <w:spacing w:after="40"/>
      </w:pPr>
      <w:r>
        <w:t>Entregar el reporte mensual de indicadores y permitir las visitas de verificación que la Subsecretaría determine.</w:t>
      </w:r>
    </w:p>
    <w:p>
      <w:pPr>
        <w:pStyle w:val="ListNumber"/>
        <w:spacing w:after="40"/>
      </w:pPr>
      <w:r>
        <w:t>Retirar sus bienes al término del convenio, dejando los salones en las condiciones en que fueron entregados.</w:t>
      </w:r>
    </w:p>
    <w:p>
      <w:pPr>
        <w:pStyle w:val="Heading2"/>
      </w:pPr>
      <w:r>
        <w:t>13. Documentación que se anexa o se entregará a requerimiento</w:t>
      </w:r>
    </w:p>
    <w:p>
      <w:pPr>
        <w:pStyle w:val="ListBullet"/>
        <w:spacing w:after="40"/>
      </w:pPr>
      <w:r>
        <w:t>Acta constitutiva y poder del representante legal.</w:t>
      </w:r>
    </w:p>
    <w:p>
      <w:pPr>
        <w:pStyle w:val="ListBullet"/>
        <w:spacing w:after="40"/>
      </w:pPr>
      <w:r>
        <w:t>Constancia de situación fiscal y opinión de cumplimiento.</w:t>
      </w:r>
    </w:p>
    <w:p>
      <w:pPr>
        <w:pStyle w:val="ListBullet"/>
        <w:spacing w:after="40"/>
      </w:pPr>
      <w:r>
        <w:t>Identificación oficial y comprobante de domicilio.</w:t>
      </w:r>
    </w:p>
    <w:p>
      <w:pPr>
        <w:pStyle w:val="ListBullet"/>
        <w:spacing w:after="40"/>
      </w:pPr>
      <w:r>
        <w:t>Descripción del proceso, distribución de los salones y lista de herramientas, equipo, materiales e insumos con hojas de datos de seguridad.</w:t>
      </w:r>
    </w:p>
    <w:p>
      <w:pPr>
        <w:pStyle w:val="ListBullet"/>
        <w:spacing w:after="40"/>
      </w:pPr>
      <w:r>
        <w:t>Relación del personal externo que ingresará, para su credencialización.</w:t>
      </w:r>
    </w:p>
    <w:p>
      <w:pPr>
        <w:pStyle w:val="ListBullet"/>
        <w:spacing w:after="40"/>
      </w:pPr>
      <w:r>
        <w:t>Programa de capacitación y plan de seguridad e higiene.</w:t>
      </w:r>
    </w:p>
    <w:p>
      <w:pPr>
        <w:pStyle w:val="ListBullet"/>
        <w:spacing w:after="40"/>
      </w:pPr>
      <w:r>
        <w:t>Pólizas de seguro de responsabilidad civil y de mercancía.</w:t>
      </w:r>
    </w:p>
    <w:p>
      <w:pPr>
        <w:pStyle w:val="ListBullet"/>
        <w:spacing w:after="40"/>
      </w:pPr>
      <w:r>
        <w:t>Portafolio de servicios de RAM Electronics.</w:t>
      </w:r>
    </w:p>
    <w:p>
      <w:r>
        <w:t>Quedamos a sus órdenes para cualquier aclaración y para la visita técnica que la Subsecretaría considere conveniente.</w:t>
      </w:r>
    </w:p>
    <w:p>
      <w:r>
        <w:rPr>
          <w:b/>
        </w:rPr>
        <w:t>Atentamente</w:t>
      </w:r>
    </w:p>
    <w:p>
      <w:r>
        <w:t>RAM Electronics, Refurbish a la Medida</w:t>
      </w:r>
    </w:p>
    <w:p>
      <w:r>
        <w:t>[Nombre y firma del representante legal]</w:t>
      </w:r>
    </w:p>
    <w:p>
      <w:r>
        <w:t>Tel. 55 4422 9935 y 55 5943 5860. Correo: ram.electronics@outlook.com</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Proyecto de actividades · Socio Industrial · CEVASEP II · 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145A72"/>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145A72"/>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