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Modelo de negocio: taller de manufactura y servicios con personas privadas de la libertad en CEVASEP II (CDMX), 2026–2030</w:t>
      </w:r>
    </w:p>
    <w:p>
      <w:r>
        <w:rPr>
          <w:b/>
        </w:rPr>
        <w:t>Fecha:</w:t>
      </w:r>
      <w:r>
        <w:t xml:space="preserve"> 11 de septiembre de 2026. </w:t>
      </w:r>
      <w:r>
        <w:rPr>
          <w:b/>
        </w:rPr>
        <w:t>Para:</w:t>
      </w:r>
      <w:r>
        <w:t xml:space="preserve"> el socio industrial que hoy opera la cosmética de equipos Totalplay en el Centro Varonil de Seguridad Penitenciaria II (CEVASEP II), contiguo al Reclusorio Preventivo Varonil Norte. </w:t>
      </w:r>
      <w:r>
        <w:rPr>
          <w:b/>
        </w:rPr>
        <w:t>Pregunta que responde:</w:t>
      </w:r>
      <w:r>
        <w:t xml:space="preserve"> con 4 salones de ~35 personas (ampliables a 8–10), pagando sólo salario mínimo y con instalaciones, luz y servicios a cargo de la Secretaría, ¿qué otros negocios conviene meter de aquí a 2030 y cómo se arma el modelo?</w:t>
      </w:r>
    </w:p>
    <w:p>
      <w:pPr>
        <w:spacing w:before="120" w:after="160"/>
        <w:ind w:left="340"/>
        <w:pBdr>
          <w:left w:val="single" w:sz="18" w:space="8" w:color="1F6F8B"/>
        </w:pBdr>
        <w:shd w:val="clear" w:color="auto" w:fill="F0F5F8"/>
      </w:pPr>
      <w:r>
        <w:rPr>
          <w:b/>
        </w:rPr>
        <w:t>Respuesta corta.</w:t>
      </w:r>
      <w:r>
        <w:t xml:space="preserve"> No diversifiques hacia manufactura pesada, textil o electrónica de exportación. Crece </w:t>
      </w:r>
      <w:r>
        <w:rPr>
          <w:b/>
        </w:rPr>
        <w:t>en la misma vertical que ya tienes autorizada y vendida (logística inversa de telecomunicaciones)</w:t>
      </w:r>
      <w:r>
        <w:t xml:space="preserve"> y súbela de valor: del "limpiar y etiquetar" al </w:t>
      </w:r>
      <w:r>
        <w:rPr>
          <w:b/>
        </w:rPr>
        <w:t>kit de alta listo para autoinstalación</w:t>
      </w:r>
      <w:r>
        <w:t xml:space="preserve">, al </w:t>
      </w:r>
      <w:r>
        <w:rPr>
          <w:b/>
        </w:rPr>
        <w:t>triage funcional</w:t>
      </w:r>
      <w:r>
        <w:t xml:space="preserve"> y a </w:t>
      </w:r>
      <w:r>
        <w:rPr>
          <w:b/>
        </w:rPr>
        <w:t>otros operadores</w:t>
      </w:r>
      <w:r>
        <w:t xml:space="preserve">. Complementa con </w:t>
      </w:r>
      <w:r>
        <w:rPr>
          <w:b/>
        </w:rPr>
        <w:t>dos salones de "manipulados" de bajo riesgo</w:t>
      </w:r>
      <w:r>
        <w:t xml:space="preserve"> (etiquetado NOM para importadores, kitting corporativo, cajas rígidas y regalos con marca de impacto social) para absorber estacionalidad y no depender de un solo cliente. Con eso el portafolio de 10 salones (350 personas) genera, en escenario base, del orden de </w:t>
      </w:r>
      <w:r>
        <w:rPr>
          <w:b/>
        </w:rPr>
        <w:t>$4.9 millones de EBITDA al mes</w:t>
      </w:r>
      <w:r>
        <w:t xml:space="preserve"> sobre </w:t>
      </w:r>
      <w:r>
        <w:rPr>
          <w:b/>
        </w:rPr>
        <w:t>$8.1 millones de ingreso</w:t>
      </w:r>
      <w:r>
        <w:t xml:space="preserve">, con capex acumulado de </w:t>
      </w:r>
      <w:r>
        <w:rPr>
          <w:b/>
        </w:rPr>
        <w:t>$2.3 millones</w:t>
      </w:r>
      <w:r>
        <w:t xml:space="preserve">; en escenario conservador, </w:t>
      </w:r>
      <w:r>
        <w:rPr>
          <w:b/>
        </w:rPr>
        <w:t>$1.7 millones de EBITDA</w:t>
      </w:r>
      <w:r>
        <w:t xml:space="preserve"> al mes. Todo depende de cinco condiciones que se detallan en la sección 1.3 y que hay que cerrar por escrito antes de escalar.</w:t>
      </w:r>
    </w:p>
    <w:p>
      <w:pPr>
        <w:pStyle w:val="Heading2"/>
      </w:pPr>
      <w:r>
        <w:t>1. Lo que tienes hoy</w:t>
      </w:r>
    </w:p>
    <w:p>
      <w:pPr>
        <w:pStyle w:val="Heading3"/>
      </w:pPr>
      <w:r>
        <w:t>1.1 Activos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3EDF2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Activo</w:t>
            </w:r>
          </w:p>
        </w:tc>
        <w:tc>
          <w:tcPr>
            <w:tcW w:type="dxa" w:w="3324"/>
            <w:shd w:val="clear" w:color="auto" w:fill="E3EDF2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Detalle</w:t>
            </w:r>
          </w:p>
        </w:tc>
        <w:tc>
          <w:tcPr>
            <w:tcW w:type="dxa" w:w="3324"/>
            <w:shd w:val="clear" w:color="auto" w:fill="E3EDF2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Por qué importa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sz w:val="18"/>
              </w:rPr>
              <w:t>Espacio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sz w:val="18"/>
              </w:rPr>
              <w:t>4 salones tipo aula de ~35 personas (≈140 PPL); posibilidad de 8–10 salones (≈280–350 PPL)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sz w:val="18"/>
              </w:rPr>
              <w:t>Es capacidad de "manipulados": mesas, no naves; sin maquinaria pesada ni trifásica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sz w:val="18"/>
              </w:rPr>
              <w:t>Jornada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sz w:val="18"/>
              </w:rPr>
              <w:t>9:00–13:00 y 14:00–18:00, 8 h efectivas, todos los días hábiles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sz w:val="18"/>
              </w:rPr>
              <w:t>Equivale a 176 h pagadas por persona al mes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sz w:val="18"/>
              </w:rPr>
              <w:t>Costo laboral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Salario mínimo general 2026: </w:t>
            </w:r>
            <w:r>
              <w:rPr>
                <w:b/>
                <w:sz w:val="18"/>
              </w:rPr>
              <w:t>$315.04/día</w:t>
            </w:r>
            <w:r>
              <w:rPr>
                <w:sz w:val="18"/>
              </w:rPr>
              <w:t xml:space="preserve"> (DOF 9-dic-2025) → </w:t>
            </w:r>
            <w:r>
              <w:rPr>
                <w:b/>
                <w:sz w:val="18"/>
              </w:rPr>
              <w:t>$39.38 por hora pagada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sz w:val="18"/>
              </w:rPr>
              <w:t>Un operario externo en la zona norte cuesta ≈ $95–101/h todo incluido (sección 3)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sz w:val="18"/>
              </w:rPr>
              <w:t>Sin renta, luz ni servicios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sz w:val="18"/>
              </w:rPr>
              <w:t>Los aporta la Subsecretaría de Sistema Penitenciario (SSC CDMX)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sz w:val="18"/>
              </w:rPr>
              <w:t>Ahorra ≈ $7–8/h frente a una nave en Tlalnepantla/Vallejo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sz w:val="18"/>
              </w:rPr>
              <w:t>Rotación casi nula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sz w:val="18"/>
              </w:rPr>
              <w:t>Asistencia diaria, sin ausentismo, sin distracciones (no hay celulares)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El activo real no es "mano de obra barata" sino </w:t>
            </w:r>
            <w:r>
              <w:rPr>
                <w:b/>
                <w:sz w:val="18"/>
              </w:rPr>
              <w:t>capacidad garantizada</w:t>
            </w:r>
            <w:r>
              <w:rPr>
                <w:sz w:val="18"/>
              </w:rPr>
              <w:t>; véndelo así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sz w:val="18"/>
              </w:rPr>
              <w:t>Proceso ya autorizado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sz w:val="18"/>
              </w:rPr>
              <w:t>Cosmética de ONT/módems, decodificadores y controles de Totalplay: cadena de custodia, herramientas y materiales ya validados por la Dirección de Seguridad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sz w:val="18"/>
              </w:rPr>
              <w:t>Todo lo que sea "el mismo proceso con otro cliente o con más valor por pieza" arranca sin pedir permisos nuevos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sz w:val="18"/>
              </w:rPr>
              <w:t>Cliente ancla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sz w:val="18"/>
              </w:rPr>
              <w:t>Totalplay: 5,675,946 suscriptores al 2T-2026 (+6% anual), 121,572 adiciones netas en el trimestre, ingresos de 11,360 mdp y EBITDA de 5,074 mdp en el trimestre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sz w:val="18"/>
              </w:rPr>
              <w:t>Un comprador que ya firma tus facturas; la venta incremental toma 1–3 meses, un cliente nuevo 9–18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sz w:val="18"/>
              </w:rPr>
              <w:t>Marca institucional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sz w:val="18"/>
              </w:rPr>
              <w:t>"Hazme Valer" (registrada ante el IMPI por la SSC) y tiendas en Izazaga 29 y el Museo de la Policía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sz w:val="18"/>
              </w:rPr>
              <w:t>Canal de legitimidad pública, no de volumen B2B; el co-branding requiere acuerdo escrito</w:t>
            </w:r>
          </w:p>
        </w:tc>
      </w:tr>
    </w:tbl>
    <w:p>
      <w:pPr>
        <w:spacing w:after="40"/>
      </w:pPr>
    </w:p>
    <w:p>
      <w:pPr>
        <w:pStyle w:val="Heading3"/>
      </w:pPr>
      <w:r>
        <w:t>1.2 Restricciones que mandan sobre cualquier idea</w:t>
      </w:r>
    </w:p>
    <w:p>
      <w:pPr>
        <w:pStyle w:val="ListBullet"/>
        <w:spacing w:after="40"/>
      </w:pPr>
      <w:r>
        <w:rPr>
          <w:b/>
        </w:rPr>
        <w:t>Seguridad.</w:t>
      </w:r>
      <w:r>
        <w:t xml:space="preserve"> CEVASEP II es un centro de alta seguridad (perfil de "alto riesgo institucional", acreditado por la American Correctional Association; ~578 PPL según la SSC). Prohibidos celulares, electrónicos con conectividad, internet para PPL, dinero en efectivo; herramientas punzocortantes bajo tablero de sombras y conteo por turno; cables en tramos cortos y contados; pilas, baterías, químicos y solventes controlados; toda mercancía entra y sale con manifiesto y revisión. El Reclusorio Norte contiguo es señalado por la SSC como el principal origen de llamadas de extorsión en la ciudad y en 2026 se ejecuta el bloqueo de señal celular en los penales de la CDMX. </w:t>
      </w:r>
      <w:r>
        <w:rPr>
          <w:b/>
        </w:rPr>
        <w:t>Cualquier línea que meta radios, SIM, litio, discos con datos o cobre a granel se cae en la mesa de la Dirección de Seguridad, por rentable que sea.</w:t>
      </w:r>
    </w:p>
    <w:p>
      <w:pPr>
        <w:pStyle w:val="ListBullet"/>
        <w:spacing w:after="40"/>
      </w:pPr>
      <w:r>
        <w:rPr>
          <w:b/>
        </w:rPr>
        <w:t>Formato.</w:t>
      </w:r>
      <w:r>
        <w:t xml:space="preserve"> Salones tipo aula: ensamble de mesa, kitting, etiquetado, limpieza, inspección, pintura a mano, costura ligera. No inyección, no soldadura masiva, no hornos, no montacargas.</w:t>
      </w:r>
    </w:p>
    <w:p>
      <w:pPr>
        <w:pStyle w:val="ListBullet"/>
        <w:spacing w:after="40"/>
      </w:pPr>
      <w:r>
        <w:rPr>
          <w:b/>
        </w:rPr>
        <w:t>Capacitación de ~15 días.</w:t>
      </w:r>
      <w:r>
        <w:t xml:space="preserve"> Descarta oficios de curva larga (aparado de calzado, bordado fino, reparación de placa).</w:t>
      </w:r>
    </w:p>
    <w:p>
      <w:pPr>
        <w:pStyle w:val="ListBullet"/>
        <w:spacing w:after="40"/>
      </w:pPr>
      <w:r>
        <w:rPr>
          <w:b/>
        </w:rPr>
        <w:t>Mercado nacional únicamente.</w:t>
      </w:r>
      <w:r>
        <w:t xml:space="preserve"> La sección 307 de la Ley Arancelaria de EE.UU. (19 U.S.C. §1307) prohíbe importar a Estados Unidos bienes fabricados total o parcialmente con trabajo de reclusos, aunque sea remunerado. El nearshoring de exportación </w:t>
      </w:r>
      <w:r>
        <w:rPr>
          <w:b/>
        </w:rPr>
        <w:t>no</w:t>
      </w:r>
      <w:r>
        <w:t xml:space="preserve"> es tu mercado; las cadenas de consumo nacional sí.</w:t>
      </w:r>
    </w:p>
    <w:p>
      <w:pPr>
        <w:pStyle w:val="ListBullet"/>
        <w:spacing w:after="40"/>
      </w:pPr>
      <w:r>
        <w:rPr>
          <w:b/>
        </w:rPr>
        <w:t>Cliente visible = riesgo reputacional.</w:t>
      </w:r>
      <w:r>
        <w:t xml:space="preserve"> Multinacionales con códigos de conducta contra "prison labor" (Walmart, Amazon, P&amp;G, Unilever, Diageo, Tier-1 automotrices, fintech con PCI) no firmarán directo ni podrán auditar el sitio. Se entra a través de un 3PL, co-packer o convertidor mexicano, o con empresas mexicanas pragmáticas (Grupo Salinas, importadores de Vallejo, agencias).</w:t>
      </w:r>
    </w:p>
    <w:p>
      <w:pPr>
        <w:pStyle w:val="Heading3"/>
      </w:pPr>
      <w:r>
        <w:t>1.3 Cinco condiciones que hay que cerrar por escrito antes de escalar</w:t>
      </w:r>
    </w:p>
    <w:p>
      <w:pPr>
        <w:pStyle w:val="ListNumber"/>
        <w:spacing w:after="40"/>
      </w:pPr>
      <w:r>
        <w:rPr>
          <w:b/>
        </w:rPr>
        <w:t>Convenio plurianual (2026–2030) como Socio Industrial</w:t>
      </w:r>
      <w:r>
        <w:t xml:space="preserve"> con la Subsecretaría, con objeto ampliado (nuevas líneas), número de salones, población, custodios asignados por salón y horario, cláusula de salida y traslado de activos, y exención expresa de cuota por uso de espacio y servicios (la Ley de Centros Penitenciarios prevé ingresos por "uso de espacios").</w:t>
      </w:r>
    </w:p>
    <w:p>
      <w:pPr>
        <w:pStyle w:val="ListNumber"/>
        <w:spacing w:after="40"/>
      </w:pPr>
      <w:r>
        <w:rPr>
          <w:b/>
        </w:rPr>
        <w:t>Base de pago.</w:t>
      </w:r>
      <w:r>
        <w:t xml:space="preserve"> Confirmar si el salario mínimo se paga por día laborado (22/mes) o por día calendario (30.4/mes): mueve el costo por hora productiva de $72 a $91.</w:t>
      </w:r>
    </w:p>
    <w:p>
      <w:pPr>
        <w:pStyle w:val="ListNumber"/>
        <w:spacing w:after="40"/>
      </w:pPr>
      <w:r>
        <w:rPr>
          <w:b/>
        </w:rPr>
        <w:t>Seguridad social.</w:t>
      </w:r>
      <w:r>
        <w:t xml:space="preserve"> Definir con abogado laboral y con la Subsecretaría si habrá afiliación al IMSS (viable; lo hace la operadora textil del CPS 12 federal y Airtrak reporta "prestaciones" en el Reclusorio Norte). Si se exige, el costo sube ~30%; si no se hace y un tribunal recaracteriza la relación, el pasivo es retroactivo.</w:t>
      </w:r>
    </w:p>
    <w:p>
      <w:pPr>
        <w:pStyle w:val="ListNumber"/>
        <w:spacing w:after="40"/>
      </w:pPr>
      <w:r>
        <w:rPr>
          <w:b/>
        </w:rPr>
        <w:t>Carta de no objeción de Totalplay</w:t>
      </w:r>
      <w:r>
        <w:t xml:space="preserve"> para atender operadores no competidores (Telcel/AT&amp;T internet en casa, Sky/Dish) o a competidores vía 3PL en salón separado; sin ella, la línea de "otros operadores" se vende sólo a través de terceros.</w:t>
      </w:r>
    </w:p>
    <w:p>
      <w:pPr>
        <w:pStyle w:val="ListNumber"/>
        <w:spacing w:after="40"/>
      </w:pPr>
      <w:r>
        <w:rPr>
          <w:b/>
        </w:rPr>
        <w:t>Oficio de la Dirección Ejecutiva de Seguridad Penitenciaria</w:t>
      </w:r>
      <w:r>
        <w:t xml:space="preserve"> autorizando bancos de prueba aislados (Wi-Fi apantallado, sin red, PC del supervisor) para el triage funcional. Sin ese oficio, el salón previsto para triage se dedica a cosmética/kits.</w:t>
      </w:r>
    </w:p>
    <w:p>
      <w:pPr>
        <w:pStyle w:val="Heading2"/>
      </w:pPr>
      <w:r>
        <w:t>2. Marco legal y del convenio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3EDF2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Norma</w:t>
            </w:r>
          </w:p>
        </w:tc>
        <w:tc>
          <w:tcPr>
            <w:tcW w:type="dxa" w:w="3324"/>
            <w:shd w:val="clear" w:color="auto" w:fill="E3EDF2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Qué dice</w:t>
            </w:r>
          </w:p>
        </w:tc>
        <w:tc>
          <w:tcPr>
            <w:tcW w:type="dxa" w:w="3324"/>
            <w:shd w:val="clear" w:color="auto" w:fill="E3EDF2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Implicación para ti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Ley Nacional de Ejecución Penal, art. 91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El trabajo es eje de la reinserción; modalidad III: "actividades productivas realizadas a cuenta de terceros". Acceso a seguridad social "compatible con su situación jurídica". </w:t>
            </w:r>
            <w:r>
              <w:rPr>
                <w:b/>
                <w:sz w:val="18"/>
              </w:rPr>
              <w:t>"En ningún caso la Autoridad Penitenciaria podrá ser considerada como patrón, ni patrón solidario, subsidiario o sustituto."</w:t>
            </w:r>
            <w:r>
              <w:rPr>
                <w:sz w:val="18"/>
              </w:rPr>
              <w:t xml:space="preserve"> La autoridad decide qué PPL participan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sz w:val="18"/>
              </w:rPr>
              <w:t>Tu taller es modalidad III. Toda responsabilidad laboral y de seguridad social es de la empresa, no del Estado. La selección de personal la controla el centro (perfil disciplinario)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LNEP art. 92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sz w:val="18"/>
              </w:rPr>
              <w:t>Trabajo no aflictivo, formativo, sin discriminación, en condiciones de seguridad y salud; mecanismos de participación del sector privado; fuente de ingresos para la PPL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sz w:val="18"/>
              </w:rPr>
              <w:t>Fundamento expreso de la participación privada; obliga a documentar capacitación, EPP y protocolos de seguridad e higiene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LNEP art. 93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sz w:val="18"/>
              </w:rPr>
              <w:t>Los salarios se administran en una cuenta a cargo de la autoridad; a solicitud de la PPL pueden destinarse a reparación del daño, seguridad social y familia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sz w:val="18"/>
              </w:rPr>
              <w:t>No se paga "en mano": se deposita a la cuenta administrada por la Subsecretaría. Pactar periodicidad, listas de asistencia firmadas, conciliación mensual y constancia de pago por persona. El reparto 70/20/10 era de la ley local de 2011, ya abrogada: no asumirlo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Ley de Centros Penitenciarios de la CDMX (2021, ref. 27-sep-2024) y Reglamento (2023)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Convenios con el sector privado; figura de </w:t>
            </w:r>
            <w:r>
              <w:rPr>
                <w:b/>
                <w:sz w:val="18"/>
              </w:rPr>
              <w:t>Socio Industrial</w:t>
            </w:r>
            <w:r>
              <w:rPr>
                <w:sz w:val="18"/>
              </w:rPr>
              <w:t>; revisiones e ingreso de objetos (arts. 53–55); introducir objetos prohibidos se denuncia al MP (art. 84); fondo de ahorro restituible al liberarse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sz w:val="18"/>
              </w:rPr>
              <w:t>El instrumento es un convenio de colaboración (o adenda al actual) con anexos técnicos por línea: proceso, layout, herramientas, insumos con hojas de seguridad, personal externo, plan de capacitación, esquema de pago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Lineamientos de ayuda económica a PPL (Gaceta CDMX 4-may-2022)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sz w:val="18"/>
              </w:rPr>
              <w:t>El socio industrial paga directamente y no puede pagar menos que el salario mínimo general vigente en la CDMX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sz w:val="18"/>
              </w:rPr>
              <w:t>Es la base del "sólo pagas salario mínimo". El programa público de ayuda económica de la ciudad considera 40 h/mes; tu jornada de 8 h/día supera ese estándar: úsalo como argumento frente a críticas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Ley Federal del Trabajo, art. 20 / Ley del Seguro Social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sz w:val="18"/>
              </w:rPr>
              <w:t>La LNEP no declara aplicable ni inaplicable la LFT a la modalidad III; no hay jurisprudencia 2023–2026 localizada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sz w:val="18"/>
              </w:rPr>
              <w:t>Riesgo abierto de recaracterización (subordinación + jornada + salario = relación de trabajo). Resolver con abogado laboral antes de pasar de 140 a 350 personas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Nueva LFPDPPP (DOF 20-mar-2025)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sz w:val="18"/>
              </w:rPr>
              <w:t>Régimen de encargado para quien trata datos por cuenta del responsable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sz w:val="18"/>
              </w:rPr>
              <w:t>Los ONT/decodificadores guardan credenciales, SSID e identificadores: contrato de encargado con Totalplay, reset/borrado certificado por número de serie antes de entrar, prohibición de energizar equipos en salón salvo en bancos autorizados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19 U.S.C. §1307 (EE.UU.)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sz w:val="18"/>
              </w:rPr>
              <w:t>Prohíbe importar a EE.UU. bienes hechos total o parcialmente con trabajo de reclusos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sz w:val="18"/>
              </w:rPr>
              <w:t>Nada de lo que salga del taller puede ir a Estados Unidos. Airtrak (Reclusorio Norte) declara exportar inflables a EE.UU.: no tomes ese caso como modelo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NOM-051, NOM-050, NOM-015, NOM-024, NOM-004, NOM-020 y Reglas de la SE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sz w:val="18"/>
              </w:rPr>
              <w:t>Etiquetado de información comercial; etiquetar en almacén propio exige ≥2 años en el padrón de importadores y ≥USD 100,000 importados en 12 meses; un incumplimiento bloquea esa opción 12 meses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sz w:val="18"/>
              </w:rPr>
              <w:t>Tu taller sería subcontratista de importadores que ya tienen esa autorización: el trámite es de ellos, el trabajo manual es tuyo</w:t>
            </w:r>
          </w:p>
        </w:tc>
      </w:tr>
    </w:tbl>
    <w:p>
      <w:pPr>
        <w:spacing w:after="40"/>
      </w:pPr>
    </w:p>
    <w:p>
      <w:r>
        <w:rPr>
          <w:b/>
        </w:rPr>
        <w:t>Quién es la contraparte.</w:t>
      </w:r>
      <w:r>
        <w:t xml:space="preserve"> Subsecretaría de Sistema Penitenciario (SSC CDMX) → Dirección Ejecutiva de Trabajo Penitenciario (Calz. San Antonio Abad 130, piso 7; tel. 55 5132 5400 ext. 1654 y 1657) y su J.U.D. de Fomento (el contacto que aparece en el catálogo Hazme Valer). La Dirección Ejecutiva de Seguridad Penitenciaria valida herramientas y materiales; el Comité Técnico del centro asigna a las PPL. La SSC reportaba 28 convenios vigentes con empresas y 15,593 PPL en comisión laboral (boletín 2772, 27-sep-2024), y 47,784 PPL con actividad remunerada desde 2019. En el Estado de México, la Subsecretaría de Control Penitenciario tiene 22 empresas y 33 convenios (costura, herrería, armado de pinzas, cosido de balón, reciclado de plástico); en Ecatepec 3,500 de 6,100 PPL están en industria penitenciaria. Es decir: el modelo existe, está normalizado y tiene escala.</w:t>
      </w:r>
    </w:p>
    <w:p>
      <w:pPr>
        <w:pStyle w:val="Heading2"/>
      </w:pPr>
      <w:r>
        <w:t>3. Economía del taller</w:t>
      </w:r>
    </w:p>
    <w:p>
      <w:pPr>
        <w:pStyle w:val="Heading3"/>
      </w:pPr>
      <w:r>
        <w:t>3.1 Costo por hora, dentro y fuera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3EDF2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Concepto</w:t>
            </w:r>
          </w:p>
        </w:tc>
        <w:tc>
          <w:tcPr>
            <w:tcW w:type="dxa" w:w="3324"/>
            <w:shd w:val="clear" w:color="auto" w:fill="E3EDF2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Dentro del penal (4 salones, 140 PPL)</w:t>
            </w:r>
          </w:p>
        </w:tc>
        <w:tc>
          <w:tcPr>
            <w:tcW w:type="dxa" w:w="3324"/>
            <w:shd w:val="clear" w:color="auto" w:fill="E3EDF2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Operario externo, zona norte CDMX/Edomex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sz w:val="18"/>
              </w:rPr>
              <w:t>Sueldo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sz w:val="18"/>
              </w:rPr>
              <w:t>$315.04/día = $6,931/mes por 22 días laborados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sz w:val="18"/>
              </w:rPr>
              <w:t>$10,000/mes bruto (vacantes 2026 en Tlalnepantla, Cuautitlán y Azcapotzalco: $8,500–$11,000)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sz w:val="18"/>
              </w:rPr>
              <w:t>Cargas de ley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sz w:val="18"/>
              </w:rPr>
              <w:t>Ninguna hoy (riesgo: +30% si se exige IMSS/Infonavit/aguinaldo/prima)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sz w:val="18"/>
              </w:rPr>
              <w:t>IMSS, Infonavit 5%, ISN CDMX 4%, aguinaldo, prima, PTU ≈ +39% → $13,898/mes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sz w:val="18"/>
              </w:rPr>
              <w:t>Renta, luz, seguridad de nave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sz w:val="18"/>
              </w:rPr>
              <w:t>$0 (los aporta la Secretaría)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sz w:val="18"/>
              </w:rPr>
              <w:t>≈ $8.5/h (nave $180/m²/mes en zona norte, luz, vigilancia)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sz w:val="18"/>
              </w:rPr>
              <w:t>Supervisión, logística de ingreso/egreso, mermas, seguros, capacitación, herramientas controladas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sz w:val="18"/>
              </w:rPr>
              <w:t>≈ $304,000/mes (≈ $12/h pagada)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sz w:val="18"/>
              </w:rPr>
              <w:t>Supervisión y rotación de 50%/año ≈ $7.7/h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sz w:val="18"/>
              </w:rPr>
              <w:t>Administración fija (gerencia, ventas, contabilidad, cumplimiento)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sz w:val="18"/>
              </w:rPr>
              <w:t>$150,000/mes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sz w:val="18"/>
              </w:rPr>
              <w:t>Incluida en indirectos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Costo por hora pagada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$57.8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$95.2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sz w:val="18"/>
              </w:rPr>
              <w:t>Productividad (pases de lista, revisiones, audiencias, traslados)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sz w:val="18"/>
              </w:rPr>
              <w:t>0.80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sz w:val="18"/>
              </w:rPr>
              <w:t>0.94 (vacaciones, festivos, ausentismo)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Costo por hora productiva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$72</w:t>
            </w:r>
            <w:r>
              <w:rPr>
                <w:sz w:val="18"/>
              </w:rPr>
              <w:t xml:space="preserve"> (baja a $66 con 10 salones)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$101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Ventaja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≈ 29% con 4 salones, ≈ 35% con 10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sz w:val="18"/>
              </w:rPr>
              <w:t>—</w:t>
            </w:r>
          </w:p>
        </w:tc>
      </w:tr>
    </w:tbl>
    <w:p>
      <w:pPr>
        <w:spacing w:after="40"/>
      </w:pPr>
    </w:p>
    <w:p>
      <w:r>
        <w:t xml:space="preserve">La ventaja es real pero </w:t>
      </w:r>
      <w:r>
        <w:rPr>
          <w:b/>
        </w:rPr>
        <w:t>no es de "la mitad"</w:t>
      </w:r>
      <w:r>
        <w:t xml:space="preserve">: es de un tercio, y se come si te obligan a pagar 30.4 días o IMSS. La productividad de 0.80 es estimación propia (no hay medición publicada para talleres de la CDMX; Reino Unido reporta ~5 h efectivas por día en sus talleres): </w:t>
      </w:r>
      <w:r>
        <w:rPr>
          <w:b/>
        </w:rPr>
        <w:t>mide unidades por hora en tus 4 salones durante 4 semanas antes de comprometer volúmenes</w:t>
      </w:r>
      <w:r>
        <w:t>.</w:t>
      </w:r>
    </w:p>
    <w:p>
      <w:pPr>
        <w:pStyle w:val="Heading3"/>
      </w:pPr>
      <w:r>
        <w:t>3.2 Sensibilidad del costo por hora productiva (4 salones)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4986"/>
        <w:gridCol w:w="4986"/>
      </w:tblGrid>
      <w:tr>
        <w:tc>
          <w:tcPr>
            <w:tcW w:type="dxa" w:w="4986"/>
            <w:shd w:val="clear" w:color="auto" w:fill="E3EDF2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Escenario</w:t>
            </w:r>
          </w:p>
        </w:tc>
        <w:tc>
          <w:tcPr>
            <w:tcW w:type="dxa" w:w="4986"/>
            <w:shd w:val="clear" w:color="auto" w:fill="E3EDF2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$/h productiva</w:t>
            </w:r>
          </w:p>
        </w:tc>
      </w:tr>
      <w:tr>
        <w:tc>
          <w:tcPr>
            <w:tcW w:type="dxa" w:w="4986"/>
          </w:tcPr>
          <w:p>
            <w:pPr>
              <w:spacing w:after="0" w:line="240" w:lineRule="auto"/>
            </w:pPr>
            <w:r>
              <w:rPr>
                <w:sz w:val="18"/>
              </w:rPr>
              <w:t>Base (22 días, sin IMSS, productividad 0.80)</w:t>
            </w:r>
          </w:p>
        </w:tc>
        <w:tc>
          <w:tcPr>
            <w:tcW w:type="dxa" w:w="4986"/>
          </w:tcPr>
          <w:p>
            <w:pPr>
              <w:spacing w:after="0" w:line="240" w:lineRule="auto"/>
            </w:pPr>
            <w:r>
              <w:rPr>
                <w:sz w:val="18"/>
              </w:rPr>
              <w:t>72</w:t>
            </w:r>
          </w:p>
        </w:tc>
      </w:tr>
      <w:tr>
        <w:tc>
          <w:tcPr>
            <w:tcW w:type="dxa" w:w="4986"/>
          </w:tcPr>
          <w:p>
            <w:pPr>
              <w:spacing w:after="0" w:line="240" w:lineRule="auto"/>
            </w:pPr>
            <w:r>
              <w:rPr>
                <w:sz w:val="18"/>
              </w:rPr>
              <w:t>Pago de 30.4 días al mes</w:t>
            </w:r>
          </w:p>
        </w:tc>
        <w:tc>
          <w:tcPr>
            <w:tcW w:type="dxa" w:w="4986"/>
          </w:tcPr>
          <w:p>
            <w:pPr>
              <w:spacing w:after="0" w:line="240" w:lineRule="auto"/>
            </w:pPr>
            <w:r>
              <w:rPr>
                <w:sz w:val="18"/>
              </w:rPr>
              <w:t>91</w:t>
            </w:r>
          </w:p>
        </w:tc>
      </w:tr>
      <w:tr>
        <w:tc>
          <w:tcPr>
            <w:tcW w:type="dxa" w:w="4986"/>
          </w:tcPr>
          <w:p>
            <w:pPr>
              <w:spacing w:after="0" w:line="240" w:lineRule="auto"/>
            </w:pPr>
            <w:r>
              <w:rPr>
                <w:sz w:val="18"/>
              </w:rPr>
              <w:t>IMSS/Infonavit/prestaciones (+30%)</w:t>
            </w:r>
          </w:p>
        </w:tc>
        <w:tc>
          <w:tcPr>
            <w:tcW w:type="dxa" w:w="4986"/>
          </w:tcPr>
          <w:p>
            <w:pPr>
              <w:spacing w:after="0" w:line="240" w:lineRule="auto"/>
            </w:pPr>
            <w:r>
              <w:rPr>
                <w:sz w:val="18"/>
              </w:rPr>
              <w:t>87</w:t>
            </w:r>
          </w:p>
        </w:tc>
      </w:tr>
      <w:tr>
        <w:tc>
          <w:tcPr>
            <w:tcW w:type="dxa" w:w="4986"/>
          </w:tcPr>
          <w:p>
            <w:pPr>
              <w:spacing w:after="0" w:line="240" w:lineRule="auto"/>
            </w:pPr>
            <w:r>
              <w:rPr>
                <w:sz w:val="18"/>
              </w:rPr>
              <w:t>30.4 días + IMSS</w:t>
            </w:r>
          </w:p>
        </w:tc>
        <w:tc>
          <w:tcPr>
            <w:tcW w:type="dxa" w:w="4986"/>
          </w:tcPr>
          <w:p>
            <w:pPr>
              <w:spacing w:after="0" w:line="240" w:lineRule="auto"/>
            </w:pPr>
            <w:r>
              <w:rPr>
                <w:sz w:val="18"/>
              </w:rPr>
              <w:t>111</w:t>
            </w:r>
          </w:p>
        </w:tc>
      </w:tr>
      <w:tr>
        <w:tc>
          <w:tcPr>
            <w:tcW w:type="dxa" w:w="4986"/>
          </w:tcPr>
          <w:p>
            <w:pPr>
              <w:spacing w:after="0" w:line="240" w:lineRule="auto"/>
            </w:pPr>
            <w:r>
              <w:rPr>
                <w:sz w:val="18"/>
              </w:rPr>
              <w:t>Productividad 0.70</w:t>
            </w:r>
          </w:p>
        </w:tc>
        <w:tc>
          <w:tcPr>
            <w:tcW w:type="dxa" w:w="4986"/>
          </w:tcPr>
          <w:p>
            <w:pPr>
              <w:spacing w:after="0" w:line="240" w:lineRule="auto"/>
            </w:pPr>
            <w:r>
              <w:rPr>
                <w:sz w:val="18"/>
              </w:rPr>
              <w:t>83</w:t>
            </w:r>
          </w:p>
        </w:tc>
      </w:tr>
      <w:tr>
        <w:tc>
          <w:tcPr>
            <w:tcW w:type="dxa" w:w="4986"/>
          </w:tcPr>
          <w:p>
            <w:pPr>
              <w:spacing w:after="0" w:line="240" w:lineRule="auto"/>
            </w:pPr>
            <w:r>
              <w:rPr>
                <w:sz w:val="18"/>
              </w:rPr>
              <w:t>Productividad 0.90</w:t>
            </w:r>
          </w:p>
        </w:tc>
        <w:tc>
          <w:tcPr>
            <w:tcW w:type="dxa" w:w="4986"/>
          </w:tcPr>
          <w:p>
            <w:pPr>
              <w:spacing w:after="0" w:line="240" w:lineRule="auto"/>
            </w:pPr>
            <w:r>
              <w:rPr>
                <w:sz w:val="18"/>
              </w:rPr>
              <w:t>64</w:t>
            </w:r>
          </w:p>
        </w:tc>
      </w:tr>
      <w:tr>
        <w:tc>
          <w:tcPr>
            <w:tcW w:type="dxa" w:w="4986"/>
          </w:tcPr>
          <w:p>
            <w:pPr>
              <w:spacing w:after="0" w:line="240" w:lineRule="auto"/>
            </w:pPr>
            <w:r>
              <w:rPr>
                <w:sz w:val="18"/>
              </w:rPr>
              <w:t>Salario mínimo 2028 (+11% anual)</w:t>
            </w:r>
          </w:p>
        </w:tc>
        <w:tc>
          <w:tcPr>
            <w:tcW w:type="dxa" w:w="4986"/>
          </w:tcPr>
          <w:p>
            <w:pPr>
              <w:spacing w:after="0" w:line="240" w:lineRule="auto"/>
            </w:pPr>
            <w:r>
              <w:rPr>
                <w:sz w:val="18"/>
              </w:rPr>
              <w:t>84</w:t>
            </w:r>
          </w:p>
        </w:tc>
      </w:tr>
      <w:tr>
        <w:tc>
          <w:tcPr>
            <w:tcW w:type="dxa" w:w="4986"/>
          </w:tcPr>
          <w:p>
            <w:pPr>
              <w:spacing w:after="0" w:line="240" w:lineRule="auto"/>
            </w:pPr>
            <w:r>
              <w:rPr>
                <w:sz w:val="18"/>
              </w:rPr>
              <w:t>Salario mínimo 2030 (+11% anual)</w:t>
            </w:r>
          </w:p>
        </w:tc>
        <w:tc>
          <w:tcPr>
            <w:tcW w:type="dxa" w:w="4986"/>
          </w:tcPr>
          <w:p>
            <w:pPr>
              <w:spacing w:after="0" w:line="240" w:lineRule="auto"/>
            </w:pPr>
            <w:r>
              <w:rPr>
                <w:sz w:val="18"/>
              </w:rPr>
              <w:t>98</w:t>
            </w:r>
          </w:p>
        </w:tc>
      </w:tr>
    </w:tbl>
    <w:p>
      <w:pPr>
        <w:spacing w:after="40"/>
      </w:pPr>
    </w:p>
    <w:p>
      <w:r>
        <w:rPr>
          <w:b/>
        </w:rPr>
        <w:t>Regla de oro:</w:t>
      </w:r>
      <w:r>
        <w:t xml:space="preserve"> ninguna línea debe entrar al portafolio si no factura </w:t>
      </w:r>
      <w:r>
        <w:rPr>
          <w:b/>
        </w:rPr>
        <w:t>más de $110 por persona-hora productiva en escenario conservador</w:t>
      </w:r>
      <w:r>
        <w:t>, porque a 2030 el salario mínimo estará entre $460 y $495 por día (política de CONASAMI: llegar a 2.5 canastas básicas en 2030, incrementos de 10–12% anuales; la CTM propuso +5% a +10% para 2027). Las líneas de $60–100/h (uniformes, arneses, subensambles mecánicos, piñatas) están hoy al nivel del costo y en pérdida en 2028.</w:t>
      </w:r>
    </w:p>
    <w:p>
      <w:pPr>
        <w:pStyle w:val="Heading3"/>
      </w:pPr>
      <w:r>
        <w:t>3.3 Indexación</w:t>
      </w:r>
    </w:p>
    <w:p>
      <w:r>
        <w:t xml:space="preserve">El salario mínimo sube por decreto cada enero. </w:t>
      </w:r>
      <w:r>
        <w:rPr>
          <w:b/>
        </w:rPr>
        <w:t>Todo contrato con cliente debe llevar cláusula de actualización anual del precio ligada al salario mínimo general</w:t>
      </w:r>
      <w:r>
        <w:t xml:space="preserve"> (Colombia indexa la remuneración penitenciaria al IPC por la misma razón). Con precios que sólo suben 4% anual, el margen del portafolio de 10 salones cae de 60% a 50% en 2030; indexado al salario mínimo se mantiene en 60%.</w:t>
      </w:r>
    </w:p>
    <w:p>
      <w:pPr>
        <w:pStyle w:val="Heading2"/>
      </w:pPr>
      <w:r>
        <w:t>4. Cómo se evaluaron las líneas</w:t>
      </w:r>
    </w:p>
    <w:p>
      <w:pPr>
        <w:pStyle w:val="ListNumber"/>
        <w:spacing w:after="40"/>
      </w:pPr>
      <w:r>
        <w:rPr>
          <w:b/>
        </w:rPr>
        <w:t>Investigación</w:t>
      </w:r>
      <w:r>
        <w:t xml:space="preserve"> (11 agentes con búsqueda web, 11-sep-2026): marco legal, costo laboral, seis categorías de mercado (logística inversa, co-packing y etiquetado, textil, ensamble eléctrico, reciclaje, no convencionales), tendencias 2026–2030 y casos internacionales. Resultado: </w:t>
      </w:r>
      <w:r>
        <w:rPr>
          <w:b/>
        </w:rPr>
        <w:t>63 líneas candidatas</w:t>
      </w:r>
      <w:r>
        <w:t xml:space="preserve"> con clientes, precios, productividad, capex, capacitación, seguridad y regulación.</w:t>
      </w:r>
    </w:p>
    <w:p>
      <w:pPr>
        <w:pStyle w:val="ListNumber"/>
        <w:spacing w:after="40"/>
      </w:pPr>
      <w:r>
        <w:rPr>
          <w:b/>
        </w:rPr>
        <w:t>Consolidación</w:t>
      </w:r>
      <w:r>
        <w:t xml:space="preserve"> en </w:t>
      </w:r>
      <w:r>
        <w:rPr>
          <w:b/>
        </w:rPr>
        <w:t>34 líneas únicas</w:t>
      </w:r>
      <w:r>
        <w:t xml:space="preserve"> (varias categorías propusieron lo mismo con distinto nombre).</w:t>
      </w:r>
    </w:p>
    <w:p>
      <w:pPr>
        <w:pStyle w:val="ListNumber"/>
        <w:spacing w:after="40"/>
      </w:pPr>
      <w:r>
        <w:rPr>
          <w:b/>
        </w:rPr>
        <w:t>Panel de jueces</w:t>
      </w:r>
      <w:r>
        <w:t xml:space="preserve"> con criterios distintos: un director comercial de logística inversa y maquila (pesos: disposición del cliente 25%, demanda 20%, margen 20%) y un ex director de centro penitenciario (pesos: seguridad 30%, capacitación y formato 20%). Un tercer juez (estratégico-financiero) y los 16 escépticos adversariales previstos no pudieron ejecutarse por límite de uso de la sesión; </w:t>
      </w:r>
      <w:r>
        <w:rPr>
          <w:b/>
        </w:rPr>
        <w:t>esa verificación la hice yo con el modelo financiero de la sección 8 y se marca como tal</w:t>
      </w:r>
      <w:r>
        <w:t>.</w:t>
      </w:r>
    </w:p>
    <w:p>
      <w:pPr>
        <w:pStyle w:val="ListNumber"/>
        <w:spacing w:after="40"/>
      </w:pPr>
      <w:r>
        <w:rPr>
          <w:b/>
        </w:rPr>
        <w:t>Corrección de números hacia abajo.</w:t>
      </w:r>
      <w:r>
        <w:t xml:space="preserve"> Los precios por pieza y las piezas por hora de las fichas originales eran, en varios casos, optimistas; en el modelo se usan valores conservador/base/optimista más bajos que las fichas (por ejemplo, kit de alta a $6–12 por kit y 15–25 kits por hora, no $10–25 y 25–40).</w:t>
      </w:r>
    </w:p>
    <w:p>
      <w:r>
        <w:t>Ranking resultante (promedio de los dos jueces, escala 1–10): kit de alta 8.7; accesorios multi-operador 7.9; CPE de otros operadores 7.5; regalos ESG 7.2; etiquetado NOM 7.2; kitting corporativo 7.0; triage funcional 6.9; exhibidores POP 6.8; cajas rígidas 6.6. Al final: smartphones 3.1, anotación de datos 3.4, pelado de cobre 3.5, reciclaje textil 3.7, laptops/ITAD 3.8, terminales de pago 4.0.</w:t>
      </w:r>
    </w:p>
    <w:p>
      <w:pPr>
        <w:pStyle w:val="Heading2"/>
      </w:pPr>
      <w:r>
        <w:t>5. Líneas recomendadas</w:t>
      </w:r>
    </w:p>
    <w:p>
      <w:r>
        <w:t>Cada ficha trae: qué se hace en el salón, cliente, precio y volumen realistas, tope de volumen (cuántos salones aguanta el mercado), capex, capacitación, seguridad, cómo venderla y qué la mata.</w:t>
      </w:r>
    </w:p>
    <w:p>
      <w:pPr>
        <w:pStyle w:val="Heading3"/>
      </w:pPr>
      <w:r>
        <w:t>5.1 Kit de alta / autoinstalación y re-kitting de equipos telecom (prioridad 1, arranca en 0–3 meses)</w:t>
      </w:r>
    </w:p>
    <w:p>
      <w:pPr>
        <w:pStyle w:val="ListBullet"/>
        <w:spacing w:after="40"/>
      </w:pPr>
      <w:r>
        <w:rPr>
          <w:b/>
        </w:rPr>
        <w:t>Qué es.</w:t>
      </w:r>
      <w:r>
        <w:t xml:space="preserve"> Convertir la cosmética actual en un producto terminado: ONT reacondicionado + fuente + cable corto + guía de autoinstalación + etiqueta con número de serie y QR + caja sellada lista para que el cliente final se instale solo o para que el técnico no abra bolsas. Incluye re-kitting de equipos de reposición y de extensores/mesh.</w:t>
      </w:r>
    </w:p>
    <w:p>
      <w:pPr>
        <w:pStyle w:val="ListBullet"/>
        <w:spacing w:after="40"/>
      </w:pPr>
      <w:r>
        <w:rPr>
          <w:b/>
        </w:rPr>
        <w:t>Por qué ahora.</w:t>
      </w:r>
      <w:r>
        <w:t xml:space="preserve"> La autoinstalación es la tendencia dominante en fibra 2026–2030: ahorra al operador la visita técnica ($400–600 por alta) y la industria frenó la expansión de red para "llenar" hogares pasados (Totalplay: 19.5 millones de hogares pasados, penetración 29.1%). Totalplay agrega ~120 mil suscriptores netos por trimestre y recupera cientos de miles de equipos al año por churn y recambio (ONT Wi-Fi 6, Totalplay TV+).</w:t>
      </w:r>
    </w:p>
    <w:p>
      <w:pPr>
        <w:pStyle w:val="ListBullet"/>
        <w:spacing w:after="40"/>
      </w:pPr>
      <w:r>
        <w:rPr>
          <w:b/>
        </w:rPr>
        <w:t>Precio y productividad (modelo).</w:t>
      </w:r>
      <w:r>
        <w:t xml:space="preserve"> $6–12 por kit de mano de obra; 15–25 kits por persona-hora → </w:t>
      </w:r>
      <w:r>
        <w:rPr>
          <w:b/>
        </w:rPr>
        <w:t>$110 / $190 / $320 por persona-hora</w:t>
      </w:r>
      <w:r>
        <w:t xml:space="preserve"> (conservador / base / optimista).</w:t>
      </w:r>
    </w:p>
    <w:p>
      <w:pPr>
        <w:pStyle w:val="ListBullet"/>
        <w:spacing w:after="40"/>
      </w:pPr>
      <w:r>
        <w:rPr>
          <w:b/>
        </w:rPr>
        <w:t>Tope de volumen.</w:t>
      </w:r>
      <w:r>
        <w:t xml:space="preserve"> Un salón de 35 personas arma ~100 mil kits al mes. Con altas brutas más reposiciones, Totalplay absorbe </w:t>
      </w:r>
      <w:r>
        <w:rPr>
          <w:b/>
        </w:rPr>
        <w:t>1–2 salones</w:t>
      </w:r>
      <w:r>
        <w:t>; más que eso requiere otros operadores (5.2).</w:t>
      </w:r>
    </w:p>
    <w:p>
      <w:pPr>
        <w:pStyle w:val="ListBullet"/>
        <w:spacing w:after="40"/>
      </w:pPr>
      <w:r>
        <w:rPr>
          <w:b/>
        </w:rPr>
        <w:t>Capex.</w:t>
      </w:r>
      <w:r>
        <w:t xml:space="preserve"> ≈ $150 mil por salón (escáneres offline, impresora térmica de etiquetas, mesas, selladora de cinta, plantillas). </w:t>
      </w:r>
      <w:r>
        <w:rPr>
          <w:b/>
        </w:rPr>
        <w:t>Capacitación:</w:t>
      </w:r>
      <w:r>
        <w:t xml:space="preserve"> 3–5 días sobre la base ya capacitada.</w:t>
      </w:r>
    </w:p>
    <w:p>
      <w:pPr>
        <w:pStyle w:val="ListBullet"/>
        <w:spacing w:after="40"/>
      </w:pPr>
      <w:r>
        <w:rPr>
          <w:b/>
        </w:rPr>
        <w:t>Seguridad.</w:t>
      </w:r>
      <w:r>
        <w:t xml:space="preserve"> Mismo protocolo autorizado: cero energizado, cero datos, cables cortos contados, pilas fuera del salón.</w:t>
      </w:r>
    </w:p>
    <w:p>
      <w:pPr>
        <w:pStyle w:val="ListBullet"/>
        <w:spacing w:after="40"/>
      </w:pPr>
      <w:r>
        <w:rPr>
          <w:b/>
        </w:rPr>
        <w:t>Cómo se vende.</w:t>
      </w:r>
      <w:r>
        <w:t xml:space="preserve"> No es una venta nueva: es una renegociación de precio por unidad con el mismo comprador. Propuesta a Totalplay: "kit certificado listo para instalar" con SLA de calidad y trazabilidad por serie; el argumento es su ahorro en visitas técnicas y en compra de CPE nuevo, no tu costo.</w:t>
      </w:r>
    </w:p>
    <w:p>
      <w:pPr>
        <w:pStyle w:val="ListBullet"/>
        <w:spacing w:after="40"/>
      </w:pPr>
      <w:r>
        <w:rPr>
          <w:b/>
        </w:rPr>
        <w:t>Qué la mata.</w:t>
      </w:r>
      <w:r>
        <w:t xml:space="preserve"> Que Totalplay compre CPE nuevo ya kitteado de fábrica (Huawei/ZTE) y reduzca el reacondicionamiento a menos de 30% del volumen. Mitigación: contrato anual con volumen mínimo y precio indexado.</w:t>
      </w:r>
    </w:p>
    <w:p>
      <w:pPr>
        <w:pStyle w:val="Heading3"/>
      </w:pPr>
      <w:r>
        <w:t>5.2 Cosmética y "screen &amp; clean" de CPE de otros operadores (prioridad 2, 3–9 meses)</w:t>
      </w:r>
    </w:p>
    <w:p>
      <w:pPr>
        <w:pStyle w:val="ListBullet"/>
        <w:spacing w:after="40"/>
      </w:pPr>
      <w:r>
        <w:rPr>
          <w:b/>
        </w:rPr>
        <w:t>Qué es.</w:t>
      </w:r>
      <w:r>
        <w:t xml:space="preserve"> El mismo proceso de hoy para módems/ONT, decodificadores y controles de otros operadores fijos: limpieza, inspección, cambio de carcasa, etiquetado, kit.</w:t>
      </w:r>
    </w:p>
    <w:p>
      <w:pPr>
        <w:pStyle w:val="ListBullet"/>
        <w:spacing w:after="40"/>
      </w:pPr>
      <w:r>
        <w:rPr>
          <w:b/>
        </w:rPr>
        <w:t>Mercado.</w:t>
      </w:r>
      <w:r>
        <w:t xml:space="preserve"> Más de 45 millones de accesos fijos en México; Megacable 6.02 millones de clientes de internet (2T-2026); Telmex con 40.9% de accesos de internet fijo; Izzi y Sky migrando decodificadores; Telcel/AT&amp;T con módems de "internet en casa" (FWA) devueltos. El volumen industrial de CPE devueltos se estima en millones de unidades al año (estimación propia; no hay cifra pública), y hoy lo hacen 3PL de logística inversa.</w:t>
      </w:r>
    </w:p>
    <w:p>
      <w:pPr>
        <w:pStyle w:val="ListBullet"/>
        <w:spacing w:after="40"/>
      </w:pPr>
      <w:r>
        <w:rPr>
          <w:b/>
        </w:rPr>
        <w:t>Precio y productividad.</w:t>
      </w:r>
      <w:r>
        <w:t xml:space="preserve"> $20–30 por unidad; 5–10 unidades por persona-hora → </w:t>
      </w:r>
      <w:r>
        <w:rPr>
          <w:b/>
        </w:rPr>
        <w:t>$100 / $175 / $300 por persona-hora</w:t>
      </w:r>
      <w:r>
        <w:t>.</w:t>
      </w:r>
    </w:p>
    <w:p>
      <w:pPr>
        <w:pStyle w:val="ListBullet"/>
        <w:spacing w:after="40"/>
      </w:pPr>
      <w:r>
        <w:rPr>
          <w:b/>
        </w:rPr>
        <w:t>Tope de volumen.</w:t>
      </w:r>
      <w:r>
        <w:t xml:space="preserve"> Un salón procesa ~35 mil unidades al mes; </w:t>
      </w:r>
      <w:r>
        <w:rPr>
          <w:b/>
        </w:rPr>
        <w:t>2–4 salones</w:t>
      </w:r>
      <w:r>
        <w:t xml:space="preserve"> entre todos los operadores es lo realista, no 10.</w:t>
      </w:r>
    </w:p>
    <w:p>
      <w:pPr>
        <w:pStyle w:val="ListBullet"/>
        <w:spacing w:after="40"/>
      </w:pPr>
      <w:r>
        <w:rPr>
          <w:b/>
        </w:rPr>
        <w:t>Capex.</w:t>
      </w:r>
      <w:r>
        <w:t xml:space="preserve"> ≈ $250 mil por salón (mesas y tapetes ESD, lámparas, contenedores, cajas de seguridad para tarjetas). </w:t>
      </w:r>
      <w:r>
        <w:rPr>
          <w:b/>
        </w:rPr>
        <w:t>Capacitación:</w:t>
      </w:r>
      <w:r>
        <w:t xml:space="preserve"> 5–10 días.</w:t>
      </w:r>
    </w:p>
    <w:p>
      <w:pPr>
        <w:pStyle w:val="ListBullet"/>
        <w:spacing w:after="40"/>
      </w:pPr>
      <w:r>
        <w:rPr>
          <w:b/>
        </w:rPr>
        <w:t>Seguridad.</w:t>
      </w:r>
      <w:r>
        <w:t xml:space="preserve"> Idéntico al proceso autorizado. Restringir a CPE fijo: </w:t>
      </w:r>
      <w:r>
        <w:rPr>
          <w:b/>
        </w:rPr>
        <w:t>excluir FWA con SIM instalada y equipos GPS con litio/GSM</w:t>
      </w:r>
      <w:r>
        <w:t>; los equipos entran con reset de fábrica y sin pilas.</w:t>
      </w:r>
    </w:p>
    <w:p>
      <w:pPr>
        <w:pStyle w:val="ListBullet"/>
        <w:spacing w:after="40"/>
      </w:pPr>
      <w:r>
        <w:rPr>
          <w:b/>
        </w:rPr>
        <w:t>Cómo se vende.</w:t>
      </w:r>
      <w:r>
        <w:t xml:space="preserve"> Primero a no competidores de Totalplay (Sky/Dish, módems FWA de Telcel/AT&amp;T) o </w:t>
      </w:r>
      <w:r>
        <w:rPr>
          <w:b/>
        </w:rPr>
        <w:t>vía el 3PL/OEM</w:t>
      </w:r>
      <w:r>
        <w:t xml:space="preserve"> (Nokia, ZTE, Huawei, Ingram Lifecycle, DHL, Estafeta reversa) que ya tiene el contrato con el operador y pone la cara ante compliance; Telmex tiene sindicato y objetará. Salón físicamente separado y confidencialidad para cada cliente. Requiere la carta de no objeción de Totalplay.</w:t>
      </w:r>
    </w:p>
    <w:p>
      <w:pPr>
        <w:pStyle w:val="ListBullet"/>
        <w:spacing w:after="40"/>
      </w:pPr>
      <w:r>
        <w:rPr>
          <w:b/>
        </w:rPr>
        <w:t>Qué la mata.</w:t>
      </w:r>
      <w:r>
        <w:t xml:space="preserve"> Veto de exclusividad de Totalplay; o un incidente de datos con un equipo no reseteado. Mitigación: contrato de encargado LFPDPPP y borrado certificado antes de que el equipo entre al penal.</w:t>
      </w:r>
    </w:p>
    <w:p>
      <w:pPr>
        <w:pStyle w:val="Heading3"/>
      </w:pPr>
      <w:r>
        <w:t>5.3 Controles remotos, eliminadores, cables, audífonos y accesorios (relleno permanente, 0–3 meses)</w:t>
      </w:r>
    </w:p>
    <w:p>
      <w:pPr>
        <w:pStyle w:val="ListBullet"/>
        <w:spacing w:after="40"/>
      </w:pPr>
      <w:r>
        <w:rPr>
          <w:b/>
        </w:rPr>
        <w:t>Qué es.</w:t>
      </w:r>
      <w:r>
        <w:t xml:space="preserve"> Lo que ya haces con controles de Totalplay, extendido a Sky/Dish, Izzi, Megacable, fabricantes (Universal Electronics) y retail (Steren, Coppel, Elektra): limpieza, cambio de tapas, prueba de botones con probador pasivo, re-empaque.</w:t>
      </w:r>
    </w:p>
    <w:p>
      <w:pPr>
        <w:pStyle w:val="ListBullet"/>
        <w:spacing w:after="40"/>
      </w:pPr>
      <w:r>
        <w:rPr>
          <w:b/>
        </w:rPr>
        <w:t>Precio.</w:t>
      </w:r>
      <w:r>
        <w:t xml:space="preserve"> $5–8 por pieza; 15–30 piezas por persona-hora → </w:t>
      </w:r>
      <w:r>
        <w:rPr>
          <w:b/>
        </w:rPr>
        <w:t>$90 / $130 / $190 por persona-hora</w:t>
      </w:r>
      <w:r>
        <w:t>. Capex ≈ $100 mil por salón. Capacitación 3–7 días.</w:t>
      </w:r>
    </w:p>
    <w:p>
      <w:pPr>
        <w:pStyle w:val="ListBullet"/>
        <w:spacing w:after="40"/>
      </w:pPr>
      <w:r>
        <w:rPr>
          <w:b/>
        </w:rPr>
        <w:t>Papel en el portafolio.</w:t>
      </w:r>
      <w:r>
        <w:t xml:space="preserve"> Llenar horas valle y sumar clientes sin conflicto; </w:t>
      </w:r>
      <w:r>
        <w:rPr>
          <w:b/>
        </w:rPr>
        <w:t>no es motor de crecimiento</w:t>
      </w:r>
      <w:r>
        <w:t xml:space="preserve"> porque un control nuevo cuesta $40–60 y en 2028 el margen se adelgaza. Ideal como célula dentro de los salones de CPE.</w:t>
      </w:r>
    </w:p>
    <w:p>
      <w:pPr>
        <w:pStyle w:val="Heading3"/>
      </w:pPr>
      <w:r>
        <w:t>5.4 Triage funcional y reparación modular nivel 1–2 de CPE (célula condicionada, 6–18 meses)</w:t>
      </w:r>
    </w:p>
    <w:p>
      <w:pPr>
        <w:pStyle w:val="ListBullet"/>
        <w:spacing w:after="40"/>
      </w:pPr>
      <w:r>
        <w:rPr>
          <w:b/>
        </w:rPr>
        <w:t>Qué es.</w:t>
      </w:r>
      <w:r>
        <w:t xml:space="preserve"> Subir de cosmética a reacondicionamiento certificado: prueba funcional con fixtures (encendido, puertos, LEDs, Wi-Fi en jaula apantallada), reemplazo modular (fuente, carcasa, botones, cable), clasificación A/B/scrap y reporte por serie. Cada ONT recuperado le evita a Totalplay USD 30–60 de equipo nuevo, así que paga $30–100 por unidad sin discutir.</w:t>
      </w:r>
    </w:p>
    <w:p>
      <w:pPr>
        <w:pStyle w:val="ListBullet"/>
        <w:spacing w:after="40"/>
      </w:pPr>
      <w:r>
        <w:rPr>
          <w:b/>
        </w:rPr>
        <w:t>Precio.</w:t>
      </w:r>
      <w:r>
        <w:t xml:space="preserve"> $60–120 por unidad; 1.5–2.5 unidades por persona-hora → </w:t>
      </w:r>
      <w:r>
        <w:rPr>
          <w:b/>
        </w:rPr>
        <w:t>$120 / $180 / $260 por persona-hora</w:t>
      </w:r>
      <w:r>
        <w:t>.</w:t>
      </w:r>
    </w:p>
    <w:p>
      <w:pPr>
        <w:pStyle w:val="ListBullet"/>
        <w:spacing w:after="40"/>
      </w:pPr>
      <w:r>
        <w:rPr>
          <w:b/>
        </w:rPr>
        <w:t>Capex.</w:t>
      </w:r>
      <w:r>
        <w:t xml:space="preserve"> ≈ $900 mil por salón (bancos de prueba offline, fixtures con apoyo técnico del operador, ESD, jaula de Faraday). </w:t>
      </w:r>
      <w:r>
        <w:rPr>
          <w:b/>
        </w:rPr>
        <w:t>Capacitación:</w:t>
      </w:r>
      <w:r>
        <w:t xml:space="preserve"> 15–20 días de electrónica básica; seleccionar a los 10–12 PPL más hábiles.</w:t>
      </w:r>
    </w:p>
    <w:p>
      <w:pPr>
        <w:pStyle w:val="ListBullet"/>
        <w:spacing w:after="40"/>
      </w:pPr>
      <w:r>
        <w:rPr>
          <w:b/>
        </w:rPr>
        <w:t>Seguridad.</w:t>
      </w:r>
      <w:r>
        <w:t xml:space="preserve"> Es la única línea telecom que necesita </w:t>
      </w:r>
      <w:r>
        <w:rPr>
          <w:b/>
        </w:rPr>
        <w:t>energizar equipos con radio</w:t>
      </w:r>
      <w:r>
        <w:t xml:space="preserve"> dentro del centro. Se hace sólo con oficio de la Dirección Ejecutiva de Seguridad: banco aislado, sin red, PC del supervisor sin puertos, piloto de 30 días con máximo 12 personas. Sin el oficio, el salón se queda en cosmética y kits.</w:t>
      </w:r>
    </w:p>
    <w:p>
      <w:pPr>
        <w:pStyle w:val="ListBullet"/>
        <w:spacing w:after="40"/>
      </w:pPr>
      <w:r>
        <w:rPr>
          <w:b/>
        </w:rPr>
        <w:t>Qué la mata.</w:t>
      </w:r>
      <w:r>
        <w:t xml:space="preserve"> La negativa de la autoridad (probable en un centro de alto riesgo), o que Totalplay prefiera concentrar la reparación con el OEM.</w:t>
      </w:r>
    </w:p>
    <w:p>
      <w:pPr>
        <w:pStyle w:val="Heading3"/>
      </w:pPr>
      <w:r>
        <w:t>5.5 Etiquetado NOM de información comercial para importadores (salón nuevo, 6–12 meses)</w:t>
      </w:r>
    </w:p>
    <w:p>
      <w:pPr>
        <w:pStyle w:val="ListBullet"/>
        <w:spacing w:after="40"/>
      </w:pPr>
      <w:r>
        <w:rPr>
          <w:b/>
        </w:rPr>
        <w:t>Qué es.</w:t>
      </w:r>
      <w:r>
        <w:t xml:space="preserve"> Colocar etiquetas autoadheribles y colgantes con la información comercial obligatoria (NOM-050, NOM-015, NOM-024 electrónicos, NOM-004 textil, NOM-020 calzado) a mercancía importada que llega a almacenes de importadores de Vallejo, Azcapotzalco y Tlalnepantla; conteo, cuadre y re-empaque. </w:t>
      </w:r>
      <w:r>
        <w:rPr>
          <w:b/>
        </w:rPr>
        <w:t>No alimentos</w:t>
      </w:r>
      <w:r>
        <w:t xml:space="preserve"> (NOM-051 abre un canal de consumo dentro del área de PPL y exige más control).</w:t>
      </w:r>
    </w:p>
    <w:p>
      <w:pPr>
        <w:pStyle w:val="ListBullet"/>
        <w:spacing w:after="40"/>
      </w:pPr>
      <w:r>
        <w:rPr>
          <w:b/>
        </w:rPr>
        <w:t>Por qué crece.</w:t>
      </w:r>
      <w:r>
        <w:t xml:space="preserve"> Aranceles de 2026 a 1,463 fracciones (textil 25–35%, calzado 35%) empujan a los importadores a ordenar mejor su cadena; la Secretaría de Economía endureció las reglas de etiquetado en almacén (se requiere antigüedad en el padrón y un historial de importación; un incumplimiento bloquea 12 meses la opción) y las NOM de electrónicos se reforzaron en 2026.</w:t>
      </w:r>
    </w:p>
    <w:p>
      <w:pPr>
        <w:pStyle w:val="ListBullet"/>
        <w:spacing w:after="40"/>
      </w:pPr>
      <w:r>
        <w:rPr>
          <w:b/>
        </w:rPr>
        <w:t>Precio y productividad.</w:t>
      </w:r>
      <w:r>
        <w:t xml:space="preserve"> $0.60–1.50 por etiqueta aplicada; 120–200 piezas por persona-hora → </w:t>
      </w:r>
      <w:r>
        <w:rPr>
          <w:b/>
        </w:rPr>
        <w:t>$84 / $144 / $240 por persona-hora</w:t>
      </w:r>
      <w:r>
        <w:t>. Capex ≈ $150 mil (mesas, aplicadores de plástico, cutters de hoja oculta, básculas contadoras). Capacitación 3–5 días por NOM.</w:t>
      </w:r>
    </w:p>
    <w:p>
      <w:pPr>
        <w:pStyle w:val="ListBullet"/>
        <w:spacing w:after="40"/>
      </w:pPr>
      <w:r>
        <w:rPr>
          <w:b/>
        </w:rPr>
        <w:t>Seguridad.</w:t>
      </w:r>
      <w:r>
        <w:t xml:space="preserve"> La operación más benigna del catálogo; tolera cierres del centro sin degradar inventario.</w:t>
      </w:r>
    </w:p>
    <w:p>
      <w:pPr>
        <w:pStyle w:val="ListBullet"/>
        <w:spacing w:after="40"/>
      </w:pPr>
      <w:r>
        <w:rPr>
          <w:b/>
        </w:rPr>
        <w:t>Cómo se vende.</w:t>
      </w:r>
      <w:r>
        <w:t xml:space="preserve"> A 8–12 importadores medianos (ningún cliente &gt;20% del salón) y a las maquilas de etiquetado ya establecidas que subcontratan picos. Ciclo de venta corto; competencia con maquilas informales de Vallejo que cobran poco: gana con capacidad garantizada, cuadre de inventario y trazabilidad.</w:t>
      </w:r>
    </w:p>
    <w:p>
      <w:pPr>
        <w:pStyle w:val="Heading3"/>
      </w:pPr>
      <w:r>
        <w:t>5.6 Salón flexible: kitting corporativo, regalos con marca de impacto, cajas rígidas y exhibidores (6–12 meses)</w:t>
      </w:r>
    </w:p>
    <w:p>
      <w:r>
        <w:t>Un solo salón que rota por temporada: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E3EDF2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Línea</w:t>
            </w:r>
          </w:p>
        </w:tc>
        <w:tc>
          <w:tcPr>
            <w:tcW w:type="dxa" w:w="1425"/>
            <w:shd w:val="clear" w:color="auto" w:fill="E3EDF2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Temporada</w:t>
            </w:r>
          </w:p>
        </w:tc>
        <w:tc>
          <w:tcPr>
            <w:tcW w:type="dxa" w:w="1425"/>
            <w:shd w:val="clear" w:color="auto" w:fill="E3EDF2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Qué se hace</w:t>
            </w:r>
          </w:p>
        </w:tc>
        <w:tc>
          <w:tcPr>
            <w:tcW w:type="dxa" w:w="1425"/>
            <w:shd w:val="clear" w:color="auto" w:fill="E3EDF2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Precio / productividad</w:t>
            </w:r>
          </w:p>
        </w:tc>
        <w:tc>
          <w:tcPr>
            <w:tcW w:type="dxa" w:w="1425"/>
            <w:shd w:val="clear" w:color="auto" w:fill="E3EDF2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$/persona-hora (cons./base/opt.)</w:t>
            </w:r>
          </w:p>
        </w:tc>
        <w:tc>
          <w:tcPr>
            <w:tcW w:type="dxa" w:w="1425"/>
            <w:shd w:val="clear" w:color="auto" w:fill="E3EDF2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Capex</w:t>
            </w:r>
          </w:p>
        </w:tc>
        <w:tc>
          <w:tcPr>
            <w:tcW w:type="dxa" w:w="1425"/>
            <w:shd w:val="clear" w:color="auto" w:fill="E3EDF2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Nota</w:t>
            </w:r>
          </w:p>
        </w:tc>
      </w:tr>
      <w:tr>
        <w:tc>
          <w:tcPr>
            <w:tcW w:type="dxa" w:w="1425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Kitting corporativo B2B</w:t>
            </w:r>
            <w:r>
              <w:rPr>
                <w:sz w:val="16"/>
              </w:rPr>
              <w:t xml:space="preserve"> (kits de bienvenida, cajas de regalo, cajas de suscripción, kits de muestras)</w:t>
            </w:r>
          </w:p>
        </w:tc>
        <w:tc>
          <w:tcPr>
            <w:tcW w:type="dxa" w:w="1425"/>
          </w:tcPr>
          <w:p>
            <w:pPr>
              <w:spacing w:after="0" w:line="240" w:lineRule="auto"/>
            </w:pPr>
            <w:r>
              <w:rPr>
                <w:sz w:val="16"/>
              </w:rPr>
              <w:t>ago–dic y picos</w:t>
            </w:r>
          </w:p>
        </w:tc>
        <w:tc>
          <w:tcPr>
            <w:tcW w:type="dxa" w:w="1425"/>
          </w:tcPr>
          <w:p>
            <w:pPr>
              <w:spacing w:after="0" w:line="240" w:lineRule="auto"/>
            </w:pPr>
            <w:r>
              <w:rPr>
                <w:sz w:val="16"/>
              </w:rPr>
              <w:t>Picking por lista, armado, doblado, cinta, etiqueta</w:t>
            </w:r>
          </w:p>
        </w:tc>
        <w:tc>
          <w:tcPr>
            <w:tcW w:type="dxa" w:w="1425"/>
          </w:tcPr>
          <w:p>
            <w:pPr>
              <w:spacing w:after="0" w:line="240" w:lineRule="auto"/>
            </w:pPr>
            <w:r>
              <w:rPr>
                <w:sz w:val="16"/>
              </w:rPr>
              <w:t>$6–14 por kit; 15–22 kits/h</w:t>
            </w:r>
          </w:p>
        </w:tc>
        <w:tc>
          <w:tcPr>
            <w:tcW w:type="dxa" w:w="1425"/>
          </w:tcPr>
          <w:p>
            <w:pPr>
              <w:spacing w:after="0" w:line="240" w:lineRule="auto"/>
            </w:pPr>
            <w:r>
              <w:rPr>
                <w:sz w:val="16"/>
              </w:rPr>
              <w:t>90 / 180 / 310</w:t>
            </w:r>
          </w:p>
        </w:tc>
        <w:tc>
          <w:tcPr>
            <w:tcW w:type="dxa" w:w="1425"/>
          </w:tcPr>
          <w:p>
            <w:pPr>
              <w:spacing w:after="0" w:line="240" w:lineRule="auto"/>
            </w:pPr>
            <w:r>
              <w:rPr>
                <w:sz w:val="16"/>
              </w:rPr>
              <w:t>$120 mil</w:t>
            </w:r>
          </w:p>
        </w:tc>
        <w:tc>
          <w:tcPr>
            <w:tcW w:type="dxa" w:w="1425"/>
          </w:tcPr>
          <w:p>
            <w:pPr>
              <w:spacing w:after="0" w:line="240" w:lineRule="auto"/>
            </w:pPr>
            <w:r>
              <w:rPr>
                <w:sz w:val="16"/>
              </w:rPr>
              <w:t>Clientes: agencias de promocionales con bodega en ZMVM, áreas de RH de corporativos mexicanos, marcas de suscripción</w:t>
            </w:r>
          </w:p>
        </w:tc>
      </w:tr>
      <w:tr>
        <w:tc>
          <w:tcPr>
            <w:tcW w:type="dxa" w:w="1425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Regalos corporativos con marca de impacto social</w:t>
            </w:r>
            <w:r>
              <w:rPr>
                <w:sz w:val="16"/>
              </w:rPr>
              <w:t xml:space="preserve"> (kits curados "hechos por personas en reinserción")</w:t>
            </w:r>
          </w:p>
        </w:tc>
        <w:tc>
          <w:tcPr>
            <w:tcW w:type="dxa" w:w="1425"/>
          </w:tcPr>
          <w:p>
            <w:pPr>
              <w:spacing w:after="0" w:line="240" w:lineRule="auto"/>
            </w:pPr>
            <w:r>
              <w:rPr>
                <w:sz w:val="16"/>
              </w:rPr>
              <w:t>Q4</w:t>
            </w:r>
          </w:p>
        </w:tc>
        <w:tc>
          <w:tcPr>
            <w:tcW w:type="dxa" w:w="1425"/>
          </w:tcPr>
          <w:p>
            <w:pPr>
              <w:spacing w:after="0" w:line="240" w:lineRule="auto"/>
            </w:pPr>
            <w:r>
              <w:rPr>
                <w:sz w:val="16"/>
              </w:rPr>
              <w:t>Ensamble de kits con productos de las propias líneas Hazme Valer (madera, piel, velas de terceros)</w:t>
            </w:r>
          </w:p>
        </w:tc>
        <w:tc>
          <w:tcPr>
            <w:tcW w:type="dxa" w:w="1425"/>
          </w:tcPr>
          <w:p>
            <w:pPr>
              <w:spacing w:after="0" w:line="240" w:lineRule="auto"/>
            </w:pPr>
            <w:r>
              <w:rPr>
                <w:sz w:val="16"/>
              </w:rPr>
              <w:t>$450–900 por kit vendido; 2–4 kits/h de valor agregado</w:t>
            </w:r>
          </w:p>
        </w:tc>
        <w:tc>
          <w:tcPr>
            <w:tcW w:type="dxa" w:w="1425"/>
          </w:tcPr>
          <w:p>
            <w:pPr>
              <w:spacing w:after="0" w:line="240" w:lineRule="auto"/>
            </w:pPr>
            <w:r>
              <w:rPr>
                <w:sz w:val="16"/>
              </w:rPr>
              <w:t>150 / 250 / 400</w:t>
            </w:r>
          </w:p>
        </w:tc>
        <w:tc>
          <w:tcPr>
            <w:tcW w:type="dxa" w:w="1425"/>
          </w:tcPr>
          <w:p>
            <w:pPr>
              <w:spacing w:after="0" w:line="240" w:lineRule="auto"/>
            </w:pPr>
            <w:r>
              <w:rPr>
                <w:sz w:val="16"/>
              </w:rPr>
              <w:t>$800 mil (marca, catálogo, inventario)</w:t>
            </w:r>
          </w:p>
        </w:tc>
        <w:tc>
          <w:tcPr>
            <w:tcW w:type="dxa" w:w="1425"/>
          </w:tcPr>
          <w:p>
            <w:pPr>
              <w:spacing w:after="0" w:line="240" w:lineRule="auto"/>
            </w:pPr>
            <w:r>
              <w:rPr>
                <w:sz w:val="16"/>
              </w:rPr>
              <w:t xml:space="preserve">La única línea donde el origen penitenciario </w:t>
            </w:r>
            <w:r>
              <w:rPr>
                <w:b/>
                <w:sz w:val="16"/>
              </w:rPr>
              <w:t>vende</w:t>
            </w:r>
            <w:r>
              <w:rPr>
                <w:sz w:val="16"/>
              </w:rPr>
              <w:t xml:space="preserve"> en vez de estorbar. Ancla natural: Grupo Salinas; después bancos, despachos, consultoras con metas de compras de impacto (90% de corporativos las quiere, 19% tiene procesos, según ANDE 2026). Límite comercial, no productivo</w:t>
            </w:r>
          </w:p>
        </w:tc>
      </w:tr>
      <w:tr>
        <w:tc>
          <w:tcPr>
            <w:tcW w:type="dxa" w:w="1425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Cajas rígidas y estuches de lujo</w:t>
            </w:r>
            <w:r>
              <w:rPr>
                <w:sz w:val="16"/>
              </w:rPr>
              <w:t xml:space="preserve"> (tequila, mezcal, joyería, cosmética)</w:t>
            </w:r>
          </w:p>
        </w:tc>
        <w:tc>
          <w:tcPr>
            <w:tcW w:type="dxa" w:w="1425"/>
          </w:tcPr>
          <w:p>
            <w:pPr>
              <w:spacing w:after="0" w:line="240" w:lineRule="auto"/>
            </w:pPr>
            <w:r>
              <w:rPr>
                <w:sz w:val="16"/>
              </w:rPr>
              <w:t>todo el año, pico Q4</w:t>
            </w:r>
          </w:p>
        </w:tc>
        <w:tc>
          <w:tcPr>
            <w:tcW w:type="dxa" w:w="1425"/>
          </w:tcPr>
          <w:p>
            <w:pPr>
              <w:spacing w:after="0" w:line="240" w:lineRule="auto"/>
            </w:pPr>
            <w:r>
              <w:rPr>
                <w:sz w:val="16"/>
              </w:rPr>
              <w:t>Forrado, armado y acabado manual de cajas</w:t>
            </w:r>
          </w:p>
        </w:tc>
        <w:tc>
          <w:tcPr>
            <w:tcW w:type="dxa" w:w="1425"/>
          </w:tcPr>
          <w:p>
            <w:pPr>
              <w:spacing w:after="0" w:line="240" w:lineRule="auto"/>
            </w:pPr>
            <w:r>
              <w:rPr>
                <w:sz w:val="16"/>
              </w:rPr>
              <w:t>$35–120 por caja; 5–8 cajas/h</w:t>
            </w:r>
          </w:p>
        </w:tc>
        <w:tc>
          <w:tcPr>
            <w:tcW w:type="dxa" w:w="1425"/>
          </w:tcPr>
          <w:p>
            <w:pPr>
              <w:spacing w:after="0" w:line="240" w:lineRule="auto"/>
            </w:pPr>
            <w:r>
              <w:rPr>
                <w:sz w:val="16"/>
              </w:rPr>
              <w:t>120 / 200 / 300</w:t>
            </w:r>
          </w:p>
        </w:tc>
        <w:tc>
          <w:tcPr>
            <w:tcW w:type="dxa" w:w="1425"/>
          </w:tcPr>
          <w:p>
            <w:pPr>
              <w:spacing w:after="0" w:line="240" w:lineRule="auto"/>
            </w:pPr>
            <w:r>
              <w:rPr>
                <w:sz w:val="16"/>
              </w:rPr>
              <w:t>$600 mil</w:t>
            </w:r>
          </w:p>
        </w:tc>
        <w:tc>
          <w:tcPr>
            <w:tcW w:type="dxa" w:w="1425"/>
          </w:tcPr>
          <w:p>
            <w:pPr>
              <w:spacing w:after="0" w:line="240" w:lineRule="auto"/>
            </w:pPr>
            <w:r>
              <w:rPr>
                <w:sz w:val="16"/>
              </w:rPr>
              <w:t xml:space="preserve">Vender </w:t>
            </w:r>
            <w:r>
              <w:rPr>
                <w:b/>
                <w:sz w:val="16"/>
              </w:rPr>
              <w:t>a través de un convertidor de empaque</w:t>
            </w:r>
            <w:r>
              <w:rPr>
                <w:sz w:val="16"/>
              </w:rPr>
              <w:t>, no a la casa tequilera (Diageo/Bacardi auditan proveedores)</w:t>
            </w:r>
          </w:p>
        </w:tc>
      </w:tr>
      <w:tr>
        <w:tc>
          <w:tcPr>
            <w:tcW w:type="dxa" w:w="1425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Exhibidores POP de cartón y displays de temporada</w:t>
            </w:r>
          </w:p>
        </w:tc>
        <w:tc>
          <w:tcPr>
            <w:tcW w:type="dxa" w:w="1425"/>
          </w:tcPr>
          <w:p>
            <w:pPr>
              <w:spacing w:after="0" w:line="240" w:lineRule="auto"/>
            </w:pPr>
            <w:r>
              <w:rPr>
                <w:sz w:val="16"/>
              </w:rPr>
              <w:t>ene–jul</w:t>
            </w:r>
          </w:p>
        </w:tc>
        <w:tc>
          <w:tcPr>
            <w:tcW w:type="dxa" w:w="1425"/>
          </w:tcPr>
          <w:p>
            <w:pPr>
              <w:spacing w:after="0" w:line="240" w:lineRule="auto"/>
            </w:pPr>
            <w:r>
              <w:rPr>
                <w:sz w:val="16"/>
              </w:rPr>
              <w:t>Pre-armado y pre-cargado por instructivo</w:t>
            </w:r>
          </w:p>
        </w:tc>
        <w:tc>
          <w:tcPr>
            <w:tcW w:type="dxa" w:w="1425"/>
          </w:tcPr>
          <w:p>
            <w:pPr>
              <w:spacing w:after="0" w:line="240" w:lineRule="auto"/>
            </w:pPr>
            <w:r>
              <w:rPr>
                <w:sz w:val="16"/>
              </w:rPr>
              <w:t>$10–40 por exhibidor; 5–15/h</w:t>
            </w:r>
          </w:p>
        </w:tc>
        <w:tc>
          <w:tcPr>
            <w:tcW w:type="dxa" w:w="1425"/>
          </w:tcPr>
          <w:p>
            <w:pPr>
              <w:spacing w:after="0" w:line="240" w:lineRule="auto"/>
            </w:pPr>
            <w:r>
              <w:rPr>
                <w:sz w:val="16"/>
              </w:rPr>
              <w:t>90 / 150 / 240</w:t>
            </w:r>
          </w:p>
        </w:tc>
        <w:tc>
          <w:tcPr>
            <w:tcW w:type="dxa" w:w="1425"/>
          </w:tcPr>
          <w:p>
            <w:pPr>
              <w:spacing w:after="0" w:line="240" w:lineRule="auto"/>
            </w:pPr>
            <w:r>
              <w:rPr>
                <w:sz w:val="16"/>
              </w:rPr>
              <w:t>$100 mil</w:t>
            </w:r>
          </w:p>
        </w:tc>
        <w:tc>
          <w:tcPr>
            <w:tcW w:type="dxa" w:w="1425"/>
          </w:tcPr>
          <w:p>
            <w:pPr>
              <w:spacing w:after="0" w:line="240" w:lineRule="auto"/>
            </w:pPr>
            <w:r>
              <w:rPr>
                <w:sz w:val="16"/>
              </w:rPr>
              <w:t>Requiere área de estiba que el centro conceda; lotes chicos para fabricantes de POP de la ZMVM</w:t>
            </w:r>
          </w:p>
        </w:tc>
      </w:tr>
    </w:tbl>
    <w:p>
      <w:pPr>
        <w:spacing w:after="40"/>
      </w:pPr>
    </w:p>
    <w:p>
      <w:r>
        <w:t xml:space="preserve">Mezcla anual modelada del salón flexible: </w:t>
      </w:r>
      <w:r>
        <w:rPr>
          <w:b/>
        </w:rPr>
        <w:t>$95 / $165 / $270 por persona-hora</w:t>
      </w:r>
      <w:r>
        <w:t>, capex ≈ $350 mil. Regla: nunca más del 40% de la capacidad total del taller en líneas con plazo de entrega menor a 72 h, para sobrevivir un cierre por revisión general.</w:t>
      </w:r>
    </w:p>
    <w:p>
      <w:pPr>
        <w:pStyle w:val="Heading3"/>
      </w:pPr>
      <w:r>
        <w:t>5.7 Opcionales para 2028 en adelante (sólo si los salones 1–8 están llenos)</w:t>
      </w:r>
    </w:p>
    <w:p>
      <w:pPr>
        <w:pStyle w:val="ListBullet"/>
        <w:spacing w:after="40"/>
      </w:pPr>
      <w:r>
        <w:rPr>
          <w:b/>
        </w:rPr>
        <w:t>Devoluciones de e-commerce vía 3PL</w:t>
      </w:r>
      <w:r>
        <w:t xml:space="preserve"> (inspección, grado, limpieza, re-empaque): mercado de 941 mil mdp de e-commerce (2025) con ~19% de devoluciones (moda hasta 38%) y 51.6% de los casos en CDMX+Edomex; Mercado Libre invierte USD 4,600 millones en 2026 con nuevo centro en Cuautitlán Izcalli. </w:t>
      </w:r>
      <w:r>
        <w:rPr>
          <w:b/>
        </w:rPr>
        <w:t>$90 / $140 / $220 por persona-hora</w:t>
      </w:r>
      <w:r>
        <w:t>. Sólo como subcontratista de un 3PL que asuma el compliance; nunca directo a Amazon/Mercado Libre/Walmart. Excluir electrónica de consumo (cada SKU trae un objeto prohibido distinto).</w:t>
      </w:r>
    </w:p>
    <w:p>
      <w:pPr>
        <w:pStyle w:val="ListBullet"/>
        <w:spacing w:after="40"/>
      </w:pPr>
      <w:r>
        <w:rPr>
          <w:b/>
        </w:rPr>
        <w:t>Textil para el propio ecosistema</w:t>
      </w:r>
      <w:r>
        <w:t xml:space="preserve"> (bolsa porta-kit del instalador, chaleco reflejante, uniforme del técnico de Totalplay, camisola de Elektra/Italika): rinde </w:t>
      </w:r>
      <w:r>
        <w:rPr>
          <w:b/>
        </w:rPr>
        <w:t>$60–110 por persona-hora</w:t>
      </w:r>
      <w:r>
        <w:t xml:space="preserve">, es decir, al nivel del costo. Sólo con </w:t>
      </w:r>
      <w:r>
        <w:rPr>
          <w:b/>
        </w:rPr>
        <w:t>contrato plurianual firmado por Grupo Salinas</w:t>
      </w:r>
      <w:r>
        <w:t>, máquinas usadas y como servicio de conveniencia al cliente ancla, no como negocio en sí. Aranceles de 2026 y la regla de 65% de contenido nacional en compras federales abren demanda, pero la producción nacional de prendas cayó 6% en mayo de 2026 por contrabando y subvaluación: el precio de mercado sigue siendo de maquila.</w:t>
      </w:r>
    </w:p>
    <w:p>
      <w:pPr>
        <w:pStyle w:val="Heading2"/>
      </w:pPr>
      <w:r>
        <w:t>6. Lo que no conviene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4986"/>
        <w:gridCol w:w="4986"/>
      </w:tblGrid>
      <w:tr>
        <w:tc>
          <w:tcPr>
            <w:tcW w:type="dxa" w:w="4986"/>
            <w:shd w:val="clear" w:color="auto" w:fill="E3EDF2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Línea</w:t>
            </w:r>
          </w:p>
        </w:tc>
        <w:tc>
          <w:tcPr>
            <w:tcW w:type="dxa" w:w="4986"/>
            <w:shd w:val="clear" w:color="auto" w:fill="E3EDF2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Por qué no (resumen de jueces y verificación)</w:t>
            </w:r>
          </w:p>
        </w:tc>
      </w:tr>
      <w:tr>
        <w:tc>
          <w:tcPr>
            <w:tcW w:type="dxa" w:w="4986"/>
          </w:tcPr>
          <w:p>
            <w:pPr>
              <w:spacing w:after="0" w:line="240" w:lineRule="auto"/>
            </w:pPr>
            <w:r>
              <w:rPr>
                <w:sz w:val="18"/>
              </w:rPr>
              <w:t>Smartphones (grading, limpieza, kitting)</w:t>
            </w:r>
          </w:p>
        </w:tc>
        <w:tc>
          <w:tcPr>
            <w:tcW w:type="dxa" w:w="4986"/>
          </w:tcPr>
          <w:p>
            <w:pPr>
              <w:spacing w:after="0" w:line="240" w:lineRule="auto"/>
            </w:pPr>
            <w:r>
              <w:rPr>
                <w:sz w:val="18"/>
              </w:rPr>
              <w:t>El objeto más prohibido del sistema penitenciario; bloqueo de señal 2026; Reclusorio Norte contiguo como origen de extorsión. Proponerlo daña la relación con la Subsecretaría</w:t>
            </w:r>
          </w:p>
        </w:tc>
      </w:tr>
      <w:tr>
        <w:tc>
          <w:tcPr>
            <w:tcW w:type="dxa" w:w="4986"/>
          </w:tcPr>
          <w:p>
            <w:pPr>
              <w:spacing w:after="0" w:line="240" w:lineRule="auto"/>
            </w:pPr>
            <w:r>
              <w:rPr>
                <w:sz w:val="18"/>
              </w:rPr>
              <w:t>Terminales punto de venta (Clip, Mercado Pago, Getnet)</w:t>
            </w:r>
          </w:p>
        </w:tc>
        <w:tc>
          <w:tcPr>
            <w:tcW w:type="dxa" w:w="4986"/>
          </w:tcPr>
          <w:p>
            <w:pPr>
              <w:spacing w:after="0" w:line="240" w:lineRule="auto"/>
            </w:pPr>
            <w:r>
              <w:rPr>
                <w:sz w:val="18"/>
              </w:rPr>
              <w:t>Radio celular/Wi-Fi/BT, batería de litio, SIM, potencial de fraude con tarjetas; PCI PTS exige instalaciones certificadas; ningún adquirente firma</w:t>
            </w:r>
          </w:p>
        </w:tc>
      </w:tr>
      <w:tr>
        <w:tc>
          <w:tcPr>
            <w:tcW w:type="dxa" w:w="4986"/>
          </w:tcPr>
          <w:p>
            <w:pPr>
              <w:spacing w:after="0" w:line="240" w:lineRule="auto"/>
            </w:pPr>
            <w:r>
              <w:rPr>
                <w:sz w:val="18"/>
              </w:rPr>
              <w:t>Laptops, tablets, ITAD de cómputo corporativo</w:t>
            </w:r>
          </w:p>
        </w:tc>
        <w:tc>
          <w:tcPr>
            <w:tcW w:type="dxa" w:w="4986"/>
          </w:tcPr>
          <w:p>
            <w:pPr>
              <w:spacing w:after="0" w:line="240" w:lineRule="auto"/>
            </w:pPr>
            <w:r>
              <w:rPr>
                <w:sz w:val="18"/>
              </w:rPr>
              <w:t>Computadoras con conectividad y litio; discos con datos; los refurbishers R2v3 y los CISOs no auditan en un penal</w:t>
            </w:r>
          </w:p>
        </w:tc>
      </w:tr>
      <w:tr>
        <w:tc>
          <w:tcPr>
            <w:tcW w:type="dxa" w:w="4986"/>
          </w:tcPr>
          <w:p>
            <w:pPr>
              <w:spacing w:after="0" w:line="240" w:lineRule="auto"/>
            </w:pPr>
            <w:r>
              <w:rPr>
                <w:sz w:val="18"/>
              </w:rPr>
              <w:t>Anotación de datos para IA en red aislada</w:t>
            </w:r>
          </w:p>
        </w:tc>
        <w:tc>
          <w:tcPr>
            <w:tcW w:type="dxa" w:w="4986"/>
          </w:tcPr>
          <w:p>
            <w:pPr>
              <w:spacing w:after="0" w:line="240" w:lineRule="auto"/>
            </w:pPr>
            <w:r>
              <w:rPr>
                <w:sz w:val="18"/>
              </w:rPr>
              <w:t>35 PC y un servidor en un centro de alto riesgo: un puerto USB o un módem introducido lo convierte en un call center de extorsión; los clientes exigen ISO 27001</w:t>
            </w:r>
          </w:p>
        </w:tc>
      </w:tr>
      <w:tr>
        <w:tc>
          <w:tcPr>
            <w:tcW w:type="dxa" w:w="4986"/>
          </w:tcPr>
          <w:p>
            <w:pPr>
              <w:spacing w:after="0" w:line="240" w:lineRule="auto"/>
            </w:pPr>
            <w:r>
              <w:rPr>
                <w:sz w:val="18"/>
              </w:rPr>
              <w:t>Pelado de cobre y desensamble de RAEE a granel</w:t>
            </w:r>
          </w:p>
        </w:tc>
        <w:tc>
          <w:tcPr>
            <w:tcW w:type="dxa" w:w="4986"/>
          </w:tcPr>
          <w:p>
            <w:pPr>
              <w:spacing w:after="0" w:line="240" w:lineRule="auto"/>
            </w:pPr>
            <w:r>
              <w:rPr>
                <w:sz w:val="18"/>
              </w:rPr>
              <w:t>Alambre desnudo por kilos (arma, ganzúa, moneda interna); balance de masa que nunca cierra; NOM-161 y plan de manejo; UNICOR cerró plantas de e-waste tras un escándalo de cadmio y plomo (2010). El desensamble paga $45–140/h ligado al cobre y a la tarjeta: al nivel del costo</w:t>
            </w:r>
          </w:p>
        </w:tc>
      </w:tr>
      <w:tr>
        <w:tc>
          <w:tcPr>
            <w:tcW w:type="dxa" w:w="4986"/>
          </w:tcPr>
          <w:p>
            <w:pPr>
              <w:spacing w:after="0" w:line="240" w:lineRule="auto"/>
            </w:pPr>
            <w:r>
              <w:rPr>
                <w:sz w:val="18"/>
              </w:rPr>
              <w:t>Reciclaje textil y reacondicionamiento de uniformes usados</w:t>
            </w:r>
          </w:p>
        </w:tc>
        <w:tc>
          <w:tcPr>
            <w:tcW w:type="dxa" w:w="4986"/>
          </w:tcPr>
          <w:p>
            <w:pPr>
              <w:spacing w:after="0" w:line="240" w:lineRule="auto"/>
            </w:pPr>
            <w:r>
              <w:rPr>
                <w:sz w:val="18"/>
              </w:rPr>
              <w:t>Pacas post-consumo son el vector de contrabando más eficiente; ropa de civil y uniformes de corporaciones son material de fuga; casquillos de acero como arma</w:t>
            </w:r>
          </w:p>
        </w:tc>
      </w:tr>
      <w:tr>
        <w:tc>
          <w:tcPr>
            <w:tcW w:type="dxa" w:w="4986"/>
          </w:tcPr>
          <w:p>
            <w:pPr>
              <w:spacing w:after="0" w:line="240" w:lineRule="auto"/>
            </w:pPr>
            <w:r>
              <w:rPr>
                <w:sz w:val="18"/>
              </w:rPr>
              <w:t>Arneses automotrices y ensamble electrónico (THT, box-build IoT/GPS)</w:t>
            </w:r>
          </w:p>
        </w:tc>
        <w:tc>
          <w:tcPr>
            <w:tcW w:type="dxa" w:w="4986"/>
          </w:tcPr>
          <w:p>
            <w:pPr>
              <w:spacing w:after="0" w:line="240" w:lineRule="auto"/>
            </w:pPr>
            <w:r>
              <w:rPr>
                <w:sz w:val="18"/>
              </w:rPr>
              <w:t>Códigos de conducta Tier-1 prohíben trabajo penitenciario; IATF/PPAP e IPC inalcanzables sin auditoría de sitio; 20–30 cautines y flux por salón; módulos GSM/GPS "inactivos" siguen siendo dispositivos con conectividad; T-MEC 2026 congela proveedores nuevos; $90–130/h</w:t>
            </w:r>
          </w:p>
        </w:tc>
      </w:tr>
      <w:tr>
        <w:tc>
          <w:tcPr>
            <w:tcW w:type="dxa" w:w="4986"/>
          </w:tcPr>
          <w:p>
            <w:pPr>
              <w:spacing w:after="0" w:line="240" w:lineRule="auto"/>
            </w:pPr>
            <w:r>
              <w:rPr>
                <w:sz w:val="18"/>
              </w:rPr>
              <w:t>Extensiones eléctricas, luminarias LED, kits solares</w:t>
            </w:r>
          </w:p>
        </w:tc>
        <w:tc>
          <w:tcPr>
            <w:tcW w:type="dxa" w:w="4986"/>
          </w:tcPr>
          <w:p>
            <w:pPr>
              <w:spacing w:after="0" w:line="240" w:lineRule="auto"/>
            </w:pPr>
            <w:r>
              <w:rPr>
                <w:sz w:val="18"/>
              </w:rPr>
              <w:t>Cobre a granel, cuchillas de pelado, pruebas hipot a 3 kV y burn-in a 220 V sin cabina enclavada; commodity que no paga la carga de control</w:t>
            </w:r>
          </w:p>
        </w:tc>
      </w:tr>
      <w:tr>
        <w:tc>
          <w:tcPr>
            <w:tcW w:type="dxa" w:w="4986"/>
          </w:tcPr>
          <w:p>
            <w:pPr>
              <w:spacing w:after="0" w:line="240" w:lineRule="auto"/>
            </w:pPr>
            <w:r>
              <w:rPr>
                <w:sz w:val="18"/>
              </w:rPr>
              <w:t>Cosméticos (acondicionamiento secundario)</w:t>
            </w:r>
          </w:p>
        </w:tc>
        <w:tc>
          <w:tcPr>
            <w:tcW w:type="dxa" w:w="4986"/>
          </w:tcPr>
          <w:p>
            <w:pPr>
              <w:spacing w:after="0" w:line="240" w:lineRule="auto"/>
            </w:pPr>
            <w:r>
              <w:rPr>
                <w:sz w:val="18"/>
              </w:rPr>
              <w:t>Natura/Avon/Jafra auditan abastecimiento ético; COFEPRIS no aceptará domicilio penitenciario</w:t>
            </w:r>
          </w:p>
        </w:tc>
      </w:tr>
      <w:tr>
        <w:tc>
          <w:tcPr>
            <w:tcW w:type="dxa" w:w="4986"/>
          </w:tcPr>
          <w:p>
            <w:pPr>
              <w:spacing w:after="0" w:line="240" w:lineRule="auto"/>
            </w:pPr>
            <w:r>
              <w:rPr>
                <w:sz w:val="18"/>
              </w:rPr>
              <w:t>Velas</w:t>
            </w:r>
          </w:p>
        </w:tc>
        <w:tc>
          <w:tcPr>
            <w:tcW w:type="dxa" w:w="4986"/>
          </w:tcPr>
          <w:p>
            <w:pPr>
              <w:spacing w:after="0" w:line="240" w:lineRule="auto"/>
            </w:pPr>
            <w:r>
              <w:rPr>
                <w:sz w:val="18"/>
              </w:rPr>
              <w:t>Cera caliente (patrón conocido de agresión), vidrio y fragancias inflamables en un mismo proceso</w:t>
            </w:r>
          </w:p>
        </w:tc>
      </w:tr>
      <w:tr>
        <w:tc>
          <w:tcPr>
            <w:tcW w:type="dxa" w:w="4986"/>
          </w:tcPr>
          <w:p>
            <w:pPr>
              <w:spacing w:after="0" w:line="240" w:lineRule="auto"/>
            </w:pPr>
            <w:r>
              <w:rPr>
                <w:sz w:val="18"/>
              </w:rPr>
              <w:t>Uniformes escolares, piñatas, bolsas de rafia, reempaque de tornillería, ensobretado</w:t>
            </w:r>
          </w:p>
        </w:tc>
        <w:tc>
          <w:tcPr>
            <w:tcW w:type="dxa" w:w="4986"/>
          </w:tcPr>
          <w:p>
            <w:pPr>
              <w:spacing w:after="0" w:line="240" w:lineRule="auto"/>
            </w:pPr>
            <w:r>
              <w:rPr>
                <w:sz w:val="18"/>
              </w:rPr>
              <w:t>$40–110 por persona-hora: por debajo o al nivel del costo, en pérdida cuando el mínimo suba 10–12% anual</w:t>
            </w:r>
          </w:p>
        </w:tc>
      </w:tr>
      <w:tr>
        <w:tc>
          <w:tcPr>
            <w:tcW w:type="dxa" w:w="4986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Devoluciones de e-commerce y packs de consumo masivo </w:t>
            </w:r>
            <w:r>
              <w:rPr>
                <w:b/>
                <w:sz w:val="18"/>
              </w:rPr>
              <w:t>como líneas ancla directas</w:t>
            </w:r>
          </w:p>
        </w:tc>
        <w:tc>
          <w:tcPr>
            <w:tcW w:type="dxa" w:w="4986"/>
          </w:tcPr>
          <w:p>
            <w:pPr>
              <w:spacing w:after="0" w:line="240" w:lineRule="auto"/>
            </w:pPr>
            <w:r>
              <w:rPr>
                <w:sz w:val="18"/>
              </w:rPr>
              <w:t>Quienes concentran el volumen (Amazon, Mercado Libre, Walmart, P&amp;G, Unilever) prohíben trabajo penitenciario y auditan sitio; sólo vía 3PL/co-packer</w:t>
            </w:r>
          </w:p>
        </w:tc>
      </w:tr>
      <w:tr>
        <w:tc>
          <w:tcPr>
            <w:tcW w:type="dxa" w:w="4986"/>
          </w:tcPr>
          <w:p>
            <w:pPr>
              <w:spacing w:after="0" w:line="240" w:lineRule="auto"/>
            </w:pPr>
            <w:r>
              <w:rPr>
                <w:sz w:val="18"/>
              </w:rPr>
              <w:t>Exportación a EE.UU. de cualquier cosa</w:t>
            </w:r>
          </w:p>
        </w:tc>
        <w:tc>
          <w:tcPr>
            <w:tcW w:type="dxa" w:w="4986"/>
          </w:tcPr>
          <w:p>
            <w:pPr>
              <w:spacing w:after="0" w:line="240" w:lineRule="auto"/>
            </w:pPr>
            <w:r>
              <w:rPr>
                <w:sz w:val="18"/>
              </w:rPr>
              <w:t>19 U.S.C. §1307</w:t>
            </w:r>
          </w:p>
        </w:tc>
      </w:tr>
    </w:tbl>
    <w:p>
      <w:pPr>
        <w:spacing w:after="40"/>
      </w:pPr>
    </w:p>
    <w:p>
      <w:pPr>
        <w:pStyle w:val="Heading2"/>
      </w:pPr>
      <w:r>
        <w:t>7. Portafolio y plan de fases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E3EDF2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Fase</w:t>
            </w:r>
          </w:p>
        </w:tc>
        <w:tc>
          <w:tcPr>
            <w:tcW w:type="dxa" w:w="1425"/>
            <w:shd w:val="clear" w:color="auto" w:fill="E3EDF2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Cuándo</w:t>
            </w:r>
          </w:p>
        </w:tc>
        <w:tc>
          <w:tcPr>
            <w:tcW w:type="dxa" w:w="1425"/>
            <w:shd w:val="clear" w:color="auto" w:fill="E3EDF2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Salones</w:t>
            </w:r>
          </w:p>
        </w:tc>
        <w:tc>
          <w:tcPr>
            <w:tcW w:type="dxa" w:w="1425"/>
            <w:shd w:val="clear" w:color="auto" w:fill="E3EDF2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PPL</w:t>
            </w:r>
          </w:p>
        </w:tc>
        <w:tc>
          <w:tcPr>
            <w:tcW w:type="dxa" w:w="1425"/>
            <w:shd w:val="clear" w:color="auto" w:fill="E3EDF2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Qué entra</w:t>
            </w:r>
          </w:p>
        </w:tc>
        <w:tc>
          <w:tcPr>
            <w:tcW w:type="dxa" w:w="1425"/>
            <w:shd w:val="clear" w:color="auto" w:fill="E3EDF2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Condición previa</w:t>
            </w:r>
          </w:p>
        </w:tc>
        <w:tc>
          <w:tcPr>
            <w:tcW w:type="dxa" w:w="1425"/>
            <w:shd w:val="clear" w:color="auto" w:fill="E3EDF2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Capex acumulado</w:t>
            </w:r>
          </w:p>
        </w:tc>
      </w:tr>
      <w:tr>
        <w:tc>
          <w:tcPr>
            <w:tcW w:type="dxa" w:w="1425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Hoy</w:t>
            </w:r>
          </w:p>
        </w:tc>
        <w:tc>
          <w:tcPr>
            <w:tcW w:type="dxa" w:w="1425"/>
          </w:tcPr>
          <w:p>
            <w:pPr>
              <w:spacing w:after="0" w:line="240" w:lineRule="auto"/>
            </w:pPr>
            <w:r>
              <w:rPr>
                <w:sz w:val="16"/>
              </w:rPr>
              <w:t>sep-2026</w:t>
            </w:r>
          </w:p>
        </w:tc>
        <w:tc>
          <w:tcPr>
            <w:tcW w:type="dxa" w:w="1425"/>
          </w:tcPr>
          <w:p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1425"/>
          </w:tcPr>
          <w:p>
            <w:pPr>
              <w:spacing w:after="0" w:line="240" w:lineRule="auto"/>
            </w:pPr>
            <w:r>
              <w:rPr>
                <w:sz w:val="16"/>
              </w:rPr>
              <w:t>140</w:t>
            </w:r>
          </w:p>
        </w:tc>
        <w:tc>
          <w:tcPr>
            <w:tcW w:type="dxa" w:w="1425"/>
          </w:tcPr>
          <w:p>
            <w:pPr>
              <w:spacing w:after="0" w:line="240" w:lineRule="auto"/>
            </w:pPr>
            <w:r>
              <w:rPr>
                <w:sz w:val="16"/>
              </w:rPr>
              <w:t>Cosmética Totalplay</w:t>
            </w:r>
          </w:p>
        </w:tc>
        <w:tc>
          <w:tcPr>
            <w:tcW w:type="dxa" w:w="1425"/>
          </w:tcPr>
          <w:p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1425"/>
          </w:tcPr>
          <w:p>
            <w:pPr>
              <w:spacing w:after="0" w:line="240" w:lineRule="auto"/>
            </w:pPr>
            <w:r>
              <w:rPr>
                <w:sz w:val="16"/>
              </w:rPr>
              <w:t>$0</w:t>
            </w:r>
          </w:p>
        </w:tc>
      </w:tr>
      <w:tr>
        <w:tc>
          <w:tcPr>
            <w:tcW w:type="dxa" w:w="1425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Fase 1</w:t>
            </w:r>
          </w:p>
        </w:tc>
        <w:tc>
          <w:tcPr>
            <w:tcW w:type="dxa" w:w="1425"/>
          </w:tcPr>
          <w:p>
            <w:pPr>
              <w:spacing w:after="0" w:line="240" w:lineRule="auto"/>
            </w:pPr>
            <w:r>
              <w:rPr>
                <w:sz w:val="16"/>
              </w:rPr>
              <w:t>0–6 meses</w:t>
            </w:r>
          </w:p>
        </w:tc>
        <w:tc>
          <w:tcPr>
            <w:tcW w:type="dxa" w:w="1425"/>
          </w:tcPr>
          <w:p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1425"/>
          </w:tcPr>
          <w:p>
            <w:pPr>
              <w:spacing w:after="0" w:line="240" w:lineRule="auto"/>
            </w:pPr>
            <w:r>
              <w:rPr>
                <w:sz w:val="16"/>
              </w:rPr>
              <w:t>175</w:t>
            </w:r>
          </w:p>
        </w:tc>
        <w:tc>
          <w:tcPr>
            <w:tcW w:type="dxa" w:w="1425"/>
          </w:tcPr>
          <w:p>
            <w:pPr>
              <w:spacing w:after="0" w:line="240" w:lineRule="auto"/>
            </w:pPr>
            <w:r>
              <w:rPr>
                <w:sz w:val="16"/>
              </w:rPr>
              <w:t xml:space="preserve">2 salones siguen en cosmética; 2 migran a </w:t>
            </w:r>
            <w:r>
              <w:rPr>
                <w:b/>
                <w:sz w:val="16"/>
              </w:rPr>
              <w:t>kit de alta completo</w:t>
            </w:r>
            <w:r>
              <w:rPr>
                <w:sz w:val="16"/>
              </w:rPr>
              <w:t xml:space="preserve"> (5.1) con célula de accesorios (5.3); salón 5 abre con </w:t>
            </w:r>
            <w:r>
              <w:rPr>
                <w:b/>
                <w:sz w:val="16"/>
              </w:rPr>
              <w:t>CPE de otros operadores</w:t>
            </w:r>
            <w:r>
              <w:rPr>
                <w:sz w:val="16"/>
              </w:rPr>
              <w:t xml:space="preserve"> (5.2) vía 3PL/no competidores</w:t>
            </w:r>
          </w:p>
        </w:tc>
        <w:tc>
          <w:tcPr>
            <w:tcW w:type="dxa" w:w="1425"/>
          </w:tcPr>
          <w:p>
            <w:pPr>
              <w:spacing w:after="0" w:line="240" w:lineRule="auto"/>
            </w:pPr>
            <w:r>
              <w:rPr>
                <w:sz w:val="16"/>
              </w:rPr>
              <w:t>Adenda al convenio; medición de productividad 4 semanas; carta de no objeción de Totalplay; contrato de encargado LFPDPPP</w:t>
            </w:r>
          </w:p>
        </w:tc>
        <w:tc>
          <w:tcPr>
            <w:tcW w:type="dxa" w:w="1425"/>
          </w:tcPr>
          <w:p>
            <w:pPr>
              <w:spacing w:after="0" w:line="240" w:lineRule="auto"/>
            </w:pPr>
            <w:r>
              <w:rPr>
                <w:sz w:val="16"/>
              </w:rPr>
              <w:t>$550 mil</w:t>
            </w:r>
          </w:p>
        </w:tc>
      </w:tr>
      <w:tr>
        <w:tc>
          <w:tcPr>
            <w:tcW w:type="dxa" w:w="1425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Fase 2</w:t>
            </w:r>
          </w:p>
        </w:tc>
        <w:tc>
          <w:tcPr>
            <w:tcW w:type="dxa" w:w="1425"/>
          </w:tcPr>
          <w:p>
            <w:pPr>
              <w:spacing w:after="0" w:line="240" w:lineRule="auto"/>
            </w:pPr>
            <w:r>
              <w:rPr>
                <w:sz w:val="16"/>
              </w:rPr>
              <w:t>6–12 meses</w:t>
            </w:r>
          </w:p>
        </w:tc>
        <w:tc>
          <w:tcPr>
            <w:tcW w:type="dxa" w:w="1425"/>
          </w:tcPr>
          <w:p>
            <w:pPr>
              <w:spacing w:after="0" w:line="240" w:lineRule="auto"/>
            </w:pPr>
            <w:r>
              <w:rPr>
                <w:sz w:val="16"/>
              </w:rPr>
              <w:t>7</w:t>
            </w:r>
          </w:p>
        </w:tc>
        <w:tc>
          <w:tcPr>
            <w:tcW w:type="dxa" w:w="1425"/>
          </w:tcPr>
          <w:p>
            <w:pPr>
              <w:spacing w:after="0" w:line="240" w:lineRule="auto"/>
            </w:pPr>
            <w:r>
              <w:rPr>
                <w:sz w:val="16"/>
              </w:rPr>
              <w:t>245</w:t>
            </w:r>
          </w:p>
        </w:tc>
        <w:tc>
          <w:tcPr>
            <w:tcW w:type="dxa" w:w="1425"/>
          </w:tcPr>
          <w:p>
            <w:pPr>
              <w:spacing w:after="0" w:line="240" w:lineRule="auto"/>
            </w:pPr>
            <w:r>
              <w:rPr>
                <w:sz w:val="16"/>
              </w:rPr>
              <w:t xml:space="preserve">Salón 6: </w:t>
            </w:r>
            <w:r>
              <w:rPr>
                <w:b/>
                <w:sz w:val="16"/>
              </w:rPr>
              <w:t>etiquetado NOM</w:t>
            </w:r>
            <w:r>
              <w:rPr>
                <w:sz w:val="16"/>
              </w:rPr>
              <w:t xml:space="preserve"> (5.5); salón 7: </w:t>
            </w:r>
            <w:r>
              <w:rPr>
                <w:b/>
                <w:sz w:val="16"/>
              </w:rPr>
              <w:t>salón flexible</w:t>
            </w:r>
            <w:r>
              <w:rPr>
                <w:sz w:val="16"/>
              </w:rPr>
              <w:t xml:space="preserve"> (5.6) con kits corporativos y regalos ESG en Q4</w:t>
            </w:r>
          </w:p>
        </w:tc>
        <w:tc>
          <w:tcPr>
            <w:tcW w:type="dxa" w:w="1425"/>
          </w:tcPr>
          <w:p>
            <w:pPr>
              <w:spacing w:after="0" w:line="240" w:lineRule="auto"/>
            </w:pPr>
            <w:r>
              <w:rPr>
                <w:sz w:val="16"/>
              </w:rPr>
              <w:t>8–12 clientes de etiquetado; Grupo Salinas como ancla de regalos ESG; convertidor de empaque para cajas rígidas</w:t>
            </w:r>
          </w:p>
        </w:tc>
        <w:tc>
          <w:tcPr>
            <w:tcW w:type="dxa" w:w="1425"/>
          </w:tcPr>
          <w:p>
            <w:pPr>
              <w:spacing w:after="0" w:line="240" w:lineRule="auto"/>
            </w:pPr>
            <w:r>
              <w:rPr>
                <w:sz w:val="16"/>
              </w:rPr>
              <w:t>$1.05 millones</w:t>
            </w:r>
          </w:p>
        </w:tc>
      </w:tr>
      <w:tr>
        <w:tc>
          <w:tcPr>
            <w:tcW w:type="dxa" w:w="1425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Fase 3</w:t>
            </w:r>
          </w:p>
        </w:tc>
        <w:tc>
          <w:tcPr>
            <w:tcW w:type="dxa" w:w="1425"/>
          </w:tcPr>
          <w:p>
            <w:pPr>
              <w:spacing w:after="0" w:line="240" w:lineRule="auto"/>
            </w:pPr>
            <w:r>
              <w:rPr>
                <w:sz w:val="16"/>
              </w:rPr>
              <w:t>12–24 meses</w:t>
            </w:r>
          </w:p>
        </w:tc>
        <w:tc>
          <w:tcPr>
            <w:tcW w:type="dxa" w:w="1425"/>
          </w:tcPr>
          <w:p>
            <w:pPr>
              <w:spacing w:after="0" w:line="240" w:lineRule="auto"/>
            </w:pPr>
            <w:r>
              <w:rPr>
                <w:sz w:val="16"/>
              </w:rPr>
              <w:t>10</w:t>
            </w:r>
          </w:p>
        </w:tc>
        <w:tc>
          <w:tcPr>
            <w:tcW w:type="dxa" w:w="1425"/>
          </w:tcPr>
          <w:p>
            <w:pPr>
              <w:spacing w:after="0" w:line="240" w:lineRule="auto"/>
            </w:pPr>
            <w:r>
              <w:rPr>
                <w:sz w:val="16"/>
              </w:rPr>
              <w:t>350</w:t>
            </w:r>
          </w:p>
        </w:tc>
        <w:tc>
          <w:tcPr>
            <w:tcW w:type="dxa" w:w="1425"/>
          </w:tcPr>
          <w:p>
            <w:pPr>
              <w:spacing w:after="0" w:line="240" w:lineRule="auto"/>
            </w:pPr>
            <w:r>
              <w:rPr>
                <w:sz w:val="16"/>
              </w:rPr>
              <w:t xml:space="preserve">Salón 8: segunda ola de CPE de otros operadores; salón 9: </w:t>
            </w:r>
            <w:r>
              <w:rPr>
                <w:b/>
                <w:sz w:val="16"/>
              </w:rPr>
              <w:t>accesorios multi-operador</w:t>
            </w:r>
            <w:r>
              <w:rPr>
                <w:sz w:val="16"/>
              </w:rPr>
              <w:t xml:space="preserve"> a escala; salón 10: </w:t>
            </w:r>
            <w:r>
              <w:rPr>
                <w:b/>
                <w:sz w:val="16"/>
              </w:rPr>
              <w:t>célula de triage funcional</w:t>
            </w:r>
            <w:r>
              <w:rPr>
                <w:sz w:val="16"/>
              </w:rPr>
              <w:t xml:space="preserve"> (5.4) si hay oficio de seguridad, y si no, pintura a mano de tenis/figuras (ya autorizada en CEVASEP II) o segunda célula de kits</w:t>
            </w:r>
          </w:p>
        </w:tc>
        <w:tc>
          <w:tcPr>
            <w:tcW w:type="dxa" w:w="1425"/>
          </w:tcPr>
          <w:p>
            <w:pPr>
              <w:spacing w:after="0" w:line="240" w:lineRule="auto"/>
            </w:pPr>
            <w:r>
              <w:rPr>
                <w:sz w:val="16"/>
              </w:rPr>
              <w:t>Oficio de bancos aislados; diversificación: ningún cliente &gt;40% del ingreso</w:t>
            </w:r>
          </w:p>
        </w:tc>
        <w:tc>
          <w:tcPr>
            <w:tcW w:type="dxa" w:w="1425"/>
          </w:tcPr>
          <w:p>
            <w:pPr>
              <w:spacing w:after="0" w:line="240" w:lineRule="auto"/>
            </w:pPr>
            <w:r>
              <w:rPr>
                <w:sz w:val="16"/>
              </w:rPr>
              <w:t>$2.3 millones</w:t>
            </w:r>
          </w:p>
        </w:tc>
      </w:tr>
      <w:tr>
        <w:tc>
          <w:tcPr>
            <w:tcW w:type="dxa" w:w="1425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2028–2030</w:t>
            </w:r>
          </w:p>
        </w:tc>
        <w:tc>
          <w:tcPr>
            <w:tcW w:type="dxa" w:w="1425"/>
          </w:tcPr>
          <w:p>
            <w:pPr>
              <w:spacing w:after="0" w:line="240" w:lineRule="auto"/>
            </w:pPr>
          </w:p>
        </w:tc>
        <w:tc>
          <w:tcPr>
            <w:tcW w:type="dxa" w:w="1425"/>
          </w:tcPr>
          <w:p>
            <w:pPr>
              <w:spacing w:after="0" w:line="240" w:lineRule="auto"/>
            </w:pPr>
            <w:r>
              <w:rPr>
                <w:sz w:val="16"/>
              </w:rPr>
              <w:t>10</w:t>
            </w:r>
          </w:p>
        </w:tc>
        <w:tc>
          <w:tcPr>
            <w:tcW w:type="dxa" w:w="1425"/>
          </w:tcPr>
          <w:p>
            <w:pPr>
              <w:spacing w:after="0" w:line="240" w:lineRule="auto"/>
            </w:pPr>
            <w:r>
              <w:rPr>
                <w:sz w:val="16"/>
              </w:rPr>
              <w:t>350</w:t>
            </w:r>
          </w:p>
        </w:tc>
        <w:tc>
          <w:tcPr>
            <w:tcW w:type="dxa" w:w="1425"/>
          </w:tcPr>
          <w:p>
            <w:pPr>
              <w:spacing w:after="0" w:line="240" w:lineRule="auto"/>
            </w:pPr>
            <w:r>
              <w:rPr>
                <w:sz w:val="16"/>
              </w:rPr>
              <w:t>Sustituir líneas de menor valor por hora conforme suba el salario mínimo; opcionales 5.7 sólo con contrato plurianual</w:t>
            </w:r>
          </w:p>
        </w:tc>
        <w:tc>
          <w:tcPr>
            <w:tcW w:type="dxa" w:w="1425"/>
          </w:tcPr>
          <w:p>
            <w:pPr>
              <w:spacing w:after="0" w:line="240" w:lineRule="auto"/>
            </w:pPr>
            <w:r>
              <w:rPr>
                <w:sz w:val="16"/>
              </w:rPr>
              <w:t>Renovación del convenio antes del cambio de gobierno de la CDMX (2030)</w:t>
            </w:r>
          </w:p>
        </w:tc>
        <w:tc>
          <w:tcPr>
            <w:tcW w:type="dxa" w:w="1425"/>
          </w:tcPr>
          <w:p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40"/>
      </w:pPr>
    </w:p>
    <w:p>
      <w:r>
        <w:t>Hitos de control: (a) fin del mes 1: productividad medida (unidades/hora por salón) y tarifa real por unidad documentada; (b) mes 3: kit de alta vendido a Totalplay con precio indexado; (c) mes 6: primer cliente distinto de Totalplay facturando; (d) mes 12: Totalplay &lt;60% del ingreso; (e) mes 24: Totalplay &lt;40%, 10 salones, empleo a 6 meses de liberación medido.</w:t>
      </w:r>
    </w:p>
    <w:p>
      <w:pPr>
        <w:pStyle w:val="Heading2"/>
      </w:pPr>
      <w:r>
        <w:t>8. Modelo financiero</w:t>
      </w:r>
    </w:p>
    <w:p>
      <w:r>
        <w:t>El modelo es un script de Python reproducible (</w:t>
      </w:r>
      <w:r>
        <w:rPr>
          <w:rFonts w:ascii="Consolas" w:hAnsi="Consolas"/>
          <w:sz w:val="19"/>
        </w:rPr>
        <w:t>modelo_financiero.py</w:t>
      </w:r>
      <w:r>
        <w:t xml:space="preserve">, </w:t>
      </w:r>
      <w:r>
        <w:rPr>
          <w:rFonts w:ascii="Consolas" w:hAnsi="Consolas"/>
          <w:sz w:val="19"/>
        </w:rPr>
        <w:t>lineas.json</w:t>
      </w:r>
      <w:r>
        <w:t xml:space="preserve">, </w:t>
      </w:r>
      <w:r>
        <w:rPr>
          <w:rFonts w:ascii="Consolas" w:hAnsi="Consolas"/>
          <w:sz w:val="19"/>
        </w:rPr>
        <w:t>corre_modelo.py</w:t>
      </w:r>
      <w:r>
        <w:t>) incluido en esta carpeta; cambia los supuestos y vuelve a correrlo. Cifras mensuales en pesos de 2026.</w:t>
      </w:r>
    </w:p>
    <w:p>
      <w:pPr>
        <w:pStyle w:val="Heading3"/>
      </w:pPr>
      <w:r>
        <w:t>8.1 Costo mensual por tamaño de operación (pago de 22 días, sin IMSS)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  <w:shd w:val="clear" w:color="auto" w:fill="E3EDF2"/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Salones</w:t>
            </w:r>
          </w:p>
        </w:tc>
        <w:tc>
          <w:tcPr>
            <w:tcW w:type="dxa" w:w="1108"/>
            <w:shd w:val="clear" w:color="auto" w:fill="E3EDF2"/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PPL</w:t>
            </w:r>
          </w:p>
        </w:tc>
        <w:tc>
          <w:tcPr>
            <w:tcW w:type="dxa" w:w="1108"/>
            <w:shd w:val="clear" w:color="auto" w:fill="E3EDF2"/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Nómina</w:t>
            </w:r>
          </w:p>
        </w:tc>
        <w:tc>
          <w:tcPr>
            <w:tcW w:type="dxa" w:w="1108"/>
            <w:shd w:val="clear" w:color="auto" w:fill="E3EDF2"/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Indirectos</w:t>
            </w:r>
          </w:p>
        </w:tc>
        <w:tc>
          <w:tcPr>
            <w:tcW w:type="dxa" w:w="1108"/>
            <w:shd w:val="clear" w:color="auto" w:fill="E3EDF2"/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Admin fija</w:t>
            </w:r>
          </w:p>
        </w:tc>
        <w:tc>
          <w:tcPr>
            <w:tcW w:type="dxa" w:w="1108"/>
            <w:shd w:val="clear" w:color="auto" w:fill="E3EDF2"/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Total</w:t>
            </w:r>
          </w:p>
        </w:tc>
        <w:tc>
          <w:tcPr>
            <w:tcW w:type="dxa" w:w="1108"/>
            <w:shd w:val="clear" w:color="auto" w:fill="E3EDF2"/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$/h pagada</w:t>
            </w:r>
          </w:p>
        </w:tc>
        <w:tc>
          <w:tcPr>
            <w:tcW w:type="dxa" w:w="1108"/>
            <w:shd w:val="clear" w:color="auto" w:fill="E3EDF2"/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$/h productiva</w:t>
            </w:r>
          </w:p>
        </w:tc>
        <w:tc>
          <w:tcPr>
            <w:tcW w:type="dxa" w:w="1108"/>
            <w:shd w:val="clear" w:color="auto" w:fill="E3EDF2"/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$/PPL-mes</w:t>
            </w:r>
          </w:p>
        </w:tc>
      </w:tr>
      <w:tr>
        <w:tc>
          <w:tcPr>
            <w:tcW w:type="dxa" w:w="1108"/>
          </w:tcPr>
          <w:p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type="dxa" w:w="1108"/>
          </w:tcPr>
          <w:p>
            <w:pPr>
              <w:spacing w:after="0" w:line="240" w:lineRule="auto"/>
            </w:pPr>
            <w:r>
              <w:rPr>
                <w:sz w:val="14"/>
              </w:rPr>
              <w:t>140</w:t>
            </w:r>
          </w:p>
        </w:tc>
        <w:tc>
          <w:tcPr>
            <w:tcW w:type="dxa" w:w="1108"/>
          </w:tcPr>
          <w:p>
            <w:pPr>
              <w:spacing w:after="0" w:line="240" w:lineRule="auto"/>
            </w:pPr>
            <w:r>
              <w:rPr>
                <w:sz w:val="14"/>
              </w:rPr>
              <w:t>970,323</w:t>
            </w:r>
          </w:p>
        </w:tc>
        <w:tc>
          <w:tcPr>
            <w:tcW w:type="dxa" w:w="1108"/>
          </w:tcPr>
          <w:p>
            <w:pPr>
              <w:spacing w:after="0" w:line="240" w:lineRule="auto"/>
            </w:pPr>
            <w:r>
              <w:rPr>
                <w:sz w:val="14"/>
              </w:rPr>
              <w:t>303,820</w:t>
            </w:r>
          </w:p>
        </w:tc>
        <w:tc>
          <w:tcPr>
            <w:tcW w:type="dxa" w:w="1108"/>
          </w:tcPr>
          <w:p>
            <w:pPr>
              <w:spacing w:after="0" w:line="240" w:lineRule="auto"/>
            </w:pPr>
            <w:r>
              <w:rPr>
                <w:sz w:val="14"/>
              </w:rPr>
              <w:t>150,000</w:t>
            </w:r>
          </w:p>
        </w:tc>
        <w:tc>
          <w:tcPr>
            <w:tcW w:type="dxa" w:w="1108"/>
          </w:tcPr>
          <w:p>
            <w:pPr>
              <w:spacing w:after="0" w:line="240" w:lineRule="auto"/>
            </w:pPr>
            <w:r>
              <w:rPr>
                <w:sz w:val="14"/>
              </w:rPr>
              <w:t>1,424,143</w:t>
            </w:r>
          </w:p>
        </w:tc>
        <w:tc>
          <w:tcPr>
            <w:tcW w:type="dxa" w:w="1108"/>
          </w:tcPr>
          <w:p>
            <w:pPr>
              <w:spacing w:after="0" w:line="240" w:lineRule="auto"/>
            </w:pPr>
            <w:r>
              <w:rPr>
                <w:sz w:val="14"/>
              </w:rPr>
              <w:t>57.8</w:t>
            </w:r>
          </w:p>
        </w:tc>
        <w:tc>
          <w:tcPr>
            <w:tcW w:type="dxa" w:w="1108"/>
          </w:tcPr>
          <w:p>
            <w:pPr>
              <w:spacing w:after="0" w:line="240" w:lineRule="auto"/>
            </w:pPr>
            <w:r>
              <w:rPr>
                <w:sz w:val="14"/>
              </w:rPr>
              <w:t>72.2</w:t>
            </w:r>
          </w:p>
        </w:tc>
        <w:tc>
          <w:tcPr>
            <w:tcW w:type="dxa" w:w="1108"/>
          </w:tcPr>
          <w:p>
            <w:pPr>
              <w:spacing w:after="0" w:line="240" w:lineRule="auto"/>
            </w:pPr>
            <w:r>
              <w:rPr>
                <w:sz w:val="14"/>
              </w:rPr>
              <w:t>10,172</w:t>
            </w:r>
          </w:p>
        </w:tc>
      </w:tr>
      <w:tr>
        <w:tc>
          <w:tcPr>
            <w:tcW w:type="dxa" w:w="1108"/>
          </w:tcPr>
          <w:p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type="dxa" w:w="1108"/>
          </w:tcPr>
          <w:p>
            <w:pPr>
              <w:spacing w:after="0" w:line="240" w:lineRule="auto"/>
            </w:pPr>
            <w:r>
              <w:rPr>
                <w:sz w:val="14"/>
              </w:rPr>
              <w:t>245</w:t>
            </w:r>
          </w:p>
        </w:tc>
        <w:tc>
          <w:tcPr>
            <w:tcW w:type="dxa" w:w="1108"/>
          </w:tcPr>
          <w:p>
            <w:pPr>
              <w:spacing w:after="0" w:line="240" w:lineRule="auto"/>
            </w:pPr>
            <w:r>
              <w:rPr>
                <w:sz w:val="14"/>
              </w:rPr>
              <w:t>1,698,066</w:t>
            </w:r>
          </w:p>
        </w:tc>
        <w:tc>
          <w:tcPr>
            <w:tcW w:type="dxa" w:w="1108"/>
          </w:tcPr>
          <w:p>
            <w:pPr>
              <w:spacing w:after="0" w:line="240" w:lineRule="auto"/>
            </w:pPr>
            <w:r>
              <w:rPr>
                <w:sz w:val="14"/>
              </w:rPr>
              <w:t>497,935</w:t>
            </w:r>
          </w:p>
        </w:tc>
        <w:tc>
          <w:tcPr>
            <w:tcW w:type="dxa" w:w="1108"/>
          </w:tcPr>
          <w:p>
            <w:pPr>
              <w:spacing w:after="0" w:line="240" w:lineRule="auto"/>
            </w:pPr>
            <w:r>
              <w:rPr>
                <w:sz w:val="14"/>
              </w:rPr>
              <w:t>150,000</w:t>
            </w:r>
          </w:p>
        </w:tc>
        <w:tc>
          <w:tcPr>
            <w:tcW w:type="dxa" w:w="1108"/>
          </w:tcPr>
          <w:p>
            <w:pPr>
              <w:spacing w:after="0" w:line="240" w:lineRule="auto"/>
            </w:pPr>
            <w:r>
              <w:rPr>
                <w:sz w:val="14"/>
              </w:rPr>
              <w:t>2,346,001</w:t>
            </w:r>
          </w:p>
        </w:tc>
        <w:tc>
          <w:tcPr>
            <w:tcW w:type="dxa" w:w="1108"/>
          </w:tcPr>
          <w:p>
            <w:pPr>
              <w:spacing w:after="0" w:line="240" w:lineRule="auto"/>
            </w:pPr>
            <w:r>
              <w:rPr>
                <w:sz w:val="14"/>
              </w:rPr>
              <w:t>54.4</w:t>
            </w:r>
          </w:p>
        </w:tc>
        <w:tc>
          <w:tcPr>
            <w:tcW w:type="dxa" w:w="1108"/>
          </w:tcPr>
          <w:p>
            <w:pPr>
              <w:spacing w:after="0" w:line="240" w:lineRule="auto"/>
            </w:pPr>
            <w:r>
              <w:rPr>
                <w:sz w:val="14"/>
              </w:rPr>
              <w:t>68.0</w:t>
            </w:r>
          </w:p>
        </w:tc>
        <w:tc>
          <w:tcPr>
            <w:tcW w:type="dxa" w:w="1108"/>
          </w:tcPr>
          <w:p>
            <w:pPr>
              <w:spacing w:after="0" w:line="240" w:lineRule="auto"/>
            </w:pPr>
            <w:r>
              <w:rPr>
                <w:sz w:val="14"/>
              </w:rPr>
              <w:t>9,576</w:t>
            </w:r>
          </w:p>
        </w:tc>
      </w:tr>
      <w:tr>
        <w:tc>
          <w:tcPr>
            <w:tcW w:type="dxa" w:w="1108"/>
          </w:tcPr>
          <w:p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type="dxa" w:w="1108"/>
          </w:tcPr>
          <w:p>
            <w:pPr>
              <w:spacing w:after="0" w:line="240" w:lineRule="auto"/>
            </w:pPr>
            <w:r>
              <w:rPr>
                <w:sz w:val="14"/>
              </w:rPr>
              <w:t>350</w:t>
            </w:r>
          </w:p>
        </w:tc>
        <w:tc>
          <w:tcPr>
            <w:tcW w:type="dxa" w:w="1108"/>
          </w:tcPr>
          <w:p>
            <w:pPr>
              <w:spacing w:after="0" w:line="240" w:lineRule="auto"/>
            </w:pPr>
            <w:r>
              <w:rPr>
                <w:sz w:val="14"/>
              </w:rPr>
              <w:t>2,425,808</w:t>
            </w:r>
          </w:p>
        </w:tc>
        <w:tc>
          <w:tcPr>
            <w:tcW w:type="dxa" w:w="1108"/>
          </w:tcPr>
          <w:p>
            <w:pPr>
              <w:spacing w:after="0" w:line="240" w:lineRule="auto"/>
            </w:pPr>
            <w:r>
              <w:rPr>
                <w:sz w:val="14"/>
              </w:rPr>
              <w:t>692,050</w:t>
            </w:r>
          </w:p>
        </w:tc>
        <w:tc>
          <w:tcPr>
            <w:tcW w:type="dxa" w:w="1108"/>
          </w:tcPr>
          <w:p>
            <w:pPr>
              <w:spacing w:after="0" w:line="240" w:lineRule="auto"/>
            </w:pPr>
            <w:r>
              <w:rPr>
                <w:sz w:val="14"/>
              </w:rPr>
              <w:t>150,000</w:t>
            </w:r>
          </w:p>
        </w:tc>
        <w:tc>
          <w:tcPr>
            <w:tcW w:type="dxa" w:w="1108"/>
          </w:tcPr>
          <w:p>
            <w:pPr>
              <w:spacing w:after="0" w:line="240" w:lineRule="auto"/>
            </w:pPr>
            <w:r>
              <w:rPr>
                <w:sz w:val="14"/>
              </w:rPr>
              <w:t>3,267,858</w:t>
            </w:r>
          </w:p>
        </w:tc>
        <w:tc>
          <w:tcPr>
            <w:tcW w:type="dxa" w:w="1108"/>
          </w:tcPr>
          <w:p>
            <w:pPr>
              <w:spacing w:after="0" w:line="240" w:lineRule="auto"/>
            </w:pPr>
            <w:r>
              <w:rPr>
                <w:sz w:val="14"/>
              </w:rPr>
              <w:t>53.0</w:t>
            </w:r>
          </w:p>
        </w:tc>
        <w:tc>
          <w:tcPr>
            <w:tcW w:type="dxa" w:w="1108"/>
          </w:tcPr>
          <w:p>
            <w:pPr>
              <w:spacing w:after="0" w:line="240" w:lineRule="auto"/>
            </w:pPr>
            <w:r>
              <w:rPr>
                <w:sz w:val="14"/>
              </w:rPr>
              <w:t>66.3</w:t>
            </w:r>
          </w:p>
        </w:tc>
        <w:tc>
          <w:tcPr>
            <w:tcW w:type="dxa" w:w="1108"/>
          </w:tcPr>
          <w:p>
            <w:pPr>
              <w:spacing w:after="0" w:line="240" w:lineRule="auto"/>
            </w:pPr>
            <w:r>
              <w:rPr>
                <w:sz w:val="14"/>
              </w:rPr>
              <w:t>9,337</w:t>
            </w:r>
          </w:p>
        </w:tc>
      </w:tr>
    </w:tbl>
    <w:p>
      <w:pPr>
        <w:spacing w:after="40"/>
      </w:pPr>
    </w:p>
    <w:p>
      <w:r>
        <w:t>Indirectos con 4 salones: supervisores externos con cargas ($196,600: uno por salón, un líder, un coordinador y un encargado de ingreso/logística), fletes y esperas en la aduana del penal ($66,000), mermas y canibalización (~0.5% del valor manejado, $15,000), seguros de responsabilidad civil y mercancía ($10,000), capacitación de reposición ($8,300) y herramientas controladas ($8,000). Todos son estimaciones propias; no hay tarifas públicas para operar dentro de un penal y las aseguradoras pueden excluir el riesgo "centro penitenciario": cotizar antes de escalar.</w:t>
      </w:r>
    </w:p>
    <w:p>
      <w:pPr>
        <w:pStyle w:val="Heading3"/>
      </w:pPr>
      <w:r>
        <w:t>8.2 Resultado mensual por línea, un salón de 35 personas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c>
          <w:tcPr>
            <w:tcW w:type="dxa" w:w="907"/>
            <w:shd w:val="clear" w:color="auto" w:fill="E3EDF2"/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Línea</w:t>
            </w:r>
          </w:p>
        </w:tc>
        <w:tc>
          <w:tcPr>
            <w:tcW w:type="dxa" w:w="907"/>
            <w:shd w:val="clear" w:color="auto" w:fill="E3EDF2"/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$/h cons.</w:t>
            </w:r>
          </w:p>
        </w:tc>
        <w:tc>
          <w:tcPr>
            <w:tcW w:type="dxa" w:w="907"/>
            <w:shd w:val="clear" w:color="auto" w:fill="E3EDF2"/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$/h base</w:t>
            </w:r>
          </w:p>
        </w:tc>
        <w:tc>
          <w:tcPr>
            <w:tcW w:type="dxa" w:w="907"/>
            <w:shd w:val="clear" w:color="auto" w:fill="E3EDF2"/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$/h opt.</w:t>
            </w:r>
          </w:p>
        </w:tc>
        <w:tc>
          <w:tcPr>
            <w:tcW w:type="dxa" w:w="907"/>
            <w:shd w:val="clear" w:color="auto" w:fill="E3EDF2"/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Ingreso base</w:t>
            </w:r>
          </w:p>
        </w:tc>
        <w:tc>
          <w:tcPr>
            <w:tcW w:type="dxa" w:w="907"/>
            <w:shd w:val="clear" w:color="auto" w:fill="E3EDF2"/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EBITDA cons.</w:t>
            </w:r>
          </w:p>
        </w:tc>
        <w:tc>
          <w:tcPr>
            <w:tcW w:type="dxa" w:w="907"/>
            <w:shd w:val="clear" w:color="auto" w:fill="E3EDF2"/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EBITDA base</w:t>
            </w:r>
          </w:p>
        </w:tc>
        <w:tc>
          <w:tcPr>
            <w:tcW w:type="dxa" w:w="907"/>
            <w:shd w:val="clear" w:color="auto" w:fill="E3EDF2"/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EBITDA opt.</w:t>
            </w:r>
          </w:p>
        </w:tc>
        <w:tc>
          <w:tcPr>
            <w:tcW w:type="dxa" w:w="907"/>
            <w:shd w:val="clear" w:color="auto" w:fill="E3EDF2"/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Margen base</w:t>
            </w:r>
          </w:p>
        </w:tc>
        <w:tc>
          <w:tcPr>
            <w:tcW w:type="dxa" w:w="907"/>
            <w:shd w:val="clear" w:color="auto" w:fill="E3EDF2"/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Capex</w:t>
            </w:r>
          </w:p>
        </w:tc>
        <w:tc>
          <w:tcPr>
            <w:tcW w:type="dxa" w:w="907"/>
            <w:shd w:val="clear" w:color="auto" w:fill="E3EDF2"/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Payback base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Cosmética actual Totalplay (calibrar con tarifa real)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100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150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220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739,200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125,514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371,914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716,874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50%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Kit de alta / re-kitting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110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190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320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936,320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174,794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569,034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1,209,674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61%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150,000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&lt;1 mes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CPE de otros operadores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100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175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300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862,400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125,514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495,114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1,111,114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57%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250,000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&lt;1 mes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Triage funcional (célula)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120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180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260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887,040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224,074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519,754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913,994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59%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900,000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1.7 meses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Accesorios multi-operador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90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130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190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640,640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76,234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273,354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569,034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43%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100,000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&lt;1 mes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Etiquetado NOM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84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144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240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709,632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46,666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342,346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815,434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48%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150,000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&lt;1 mes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Kitting corporativo B2B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90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180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310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887,040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76,234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519,754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1,160,394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59%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120,000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&lt;1 mes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Regalos ESG (Q4)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150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250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400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1,232,000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371,914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864,714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1,603,914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70%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800,000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0.9 meses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Cajas rígidas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120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200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300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985,600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224,074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618,314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1,111,114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63%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600,000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1.0 mes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Exhibidores POP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90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150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240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739,200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76,234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371,914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815,434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50%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100,000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&lt;1 mes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Salón flexible (mezcla anual)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95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165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270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813,120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100,874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445,834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963,274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55%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350,000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0.8 meses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Devoluciones e-commerce vía 3PL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90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140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220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689,920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76,234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322,634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716,874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47%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300,000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0.9 meses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Uniformes (sólo con contrato plurianual)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60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80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110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394,240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-71,606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26,954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174,794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7%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850,000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31 meses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Arneses (mercado nacional)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80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105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130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517,440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26,954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150,154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273,354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29%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500,000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3.3 meses</w:t>
            </w:r>
          </w:p>
        </w:tc>
      </w:tr>
    </w:tbl>
    <w:p>
      <w:pPr>
        <w:spacing w:after="40"/>
      </w:pPr>
    </w:p>
    <w:p>
      <w:r>
        <w:t>Lectura: las líneas telecom y de manipulados de valor agregado rinden 2–4 veces el costo por hora; uniformes y arneses no pagan ni la carga de control. La columna "conservador" es la que debes usar para comprometerte con volúmenes.</w:t>
      </w:r>
    </w:p>
    <w:p>
      <w:pPr>
        <w:pStyle w:val="Heading3"/>
      </w:pPr>
      <w:r>
        <w:t>8.3 Portafolio por fases (mensual)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c>
          <w:tcPr>
            <w:tcW w:type="dxa" w:w="907"/>
            <w:shd w:val="clear" w:color="auto" w:fill="E3EDF2"/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Fase</w:t>
            </w:r>
          </w:p>
        </w:tc>
        <w:tc>
          <w:tcPr>
            <w:tcW w:type="dxa" w:w="907"/>
            <w:shd w:val="clear" w:color="auto" w:fill="E3EDF2"/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Salones</w:t>
            </w:r>
          </w:p>
        </w:tc>
        <w:tc>
          <w:tcPr>
            <w:tcW w:type="dxa" w:w="907"/>
            <w:shd w:val="clear" w:color="auto" w:fill="E3EDF2"/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PPL</w:t>
            </w:r>
          </w:p>
        </w:tc>
        <w:tc>
          <w:tcPr>
            <w:tcW w:type="dxa" w:w="907"/>
            <w:shd w:val="clear" w:color="auto" w:fill="E3EDF2"/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Ingreso cons.</w:t>
            </w:r>
          </w:p>
        </w:tc>
        <w:tc>
          <w:tcPr>
            <w:tcW w:type="dxa" w:w="907"/>
            <w:shd w:val="clear" w:color="auto" w:fill="E3EDF2"/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Ingreso base</w:t>
            </w:r>
          </w:p>
        </w:tc>
        <w:tc>
          <w:tcPr>
            <w:tcW w:type="dxa" w:w="907"/>
            <w:shd w:val="clear" w:color="auto" w:fill="E3EDF2"/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Ingreso opt.</w:t>
            </w:r>
          </w:p>
        </w:tc>
        <w:tc>
          <w:tcPr>
            <w:tcW w:type="dxa" w:w="907"/>
            <w:shd w:val="clear" w:color="auto" w:fill="E3EDF2"/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EBITDA cons.</w:t>
            </w:r>
          </w:p>
        </w:tc>
        <w:tc>
          <w:tcPr>
            <w:tcW w:type="dxa" w:w="907"/>
            <w:shd w:val="clear" w:color="auto" w:fill="E3EDF2"/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EBITDA base</w:t>
            </w:r>
          </w:p>
        </w:tc>
        <w:tc>
          <w:tcPr>
            <w:tcW w:type="dxa" w:w="907"/>
            <w:shd w:val="clear" w:color="auto" w:fill="E3EDF2"/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EBITDA opt.</w:t>
            </w:r>
          </w:p>
        </w:tc>
        <w:tc>
          <w:tcPr>
            <w:tcW w:type="dxa" w:w="907"/>
            <w:shd w:val="clear" w:color="auto" w:fill="E3EDF2"/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Margen base</w:t>
            </w:r>
          </w:p>
        </w:tc>
        <w:tc>
          <w:tcPr>
            <w:tcW w:type="dxa" w:w="907"/>
            <w:shd w:val="clear" w:color="auto" w:fill="E3EDF2"/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Capex acumulado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Hoy: 4 salones cosmética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140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1,971,200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2,956,800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4,336,640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547,057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1,532,657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2,912,497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52%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Fase 1: 2 cosmética + 2 kit de alta + 1 CPE otros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175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2,562,560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4,213,440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6,800,640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831,131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2,482,011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5,069,211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59%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550,000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Fase 2: + etiquetado NOM + salón flexible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245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3,444,672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5,736,192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9,313,920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1,098,671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3,390,191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6,967,919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59%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1,050,000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Fase 3: 10 salones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350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4,972,352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8,126,272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13,009,920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1,704,494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4,858,414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9,742,062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60%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>
              <w:rPr>
                <w:sz w:val="14"/>
              </w:rPr>
              <w:t>2,300,000</w:t>
            </w:r>
          </w:p>
        </w:tc>
      </w:tr>
    </w:tbl>
    <w:p>
      <w:pPr>
        <w:spacing w:after="40"/>
      </w:pPr>
    </w:p>
    <w:p>
      <w:pPr>
        <w:pStyle w:val="Heading3"/>
      </w:pPr>
      <w:r>
        <w:t>8.4 Proyección 2026–2030 del portafolio de 10 salones (escenario base)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E3EDF2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Año</w:t>
            </w:r>
          </w:p>
        </w:tc>
        <w:tc>
          <w:tcPr>
            <w:tcW w:type="dxa" w:w="1662"/>
            <w:shd w:val="clear" w:color="auto" w:fill="E3EDF2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Salario mínimo diario</w:t>
            </w:r>
          </w:p>
        </w:tc>
        <w:tc>
          <w:tcPr>
            <w:tcW w:type="dxa" w:w="1662"/>
            <w:shd w:val="clear" w:color="auto" w:fill="E3EDF2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Precios +4%/año: EBITDA/mes</w:t>
            </w:r>
          </w:p>
        </w:tc>
        <w:tc>
          <w:tcPr>
            <w:tcW w:type="dxa" w:w="1662"/>
            <w:shd w:val="clear" w:color="auto" w:fill="E3EDF2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Margen</w:t>
            </w:r>
          </w:p>
        </w:tc>
        <w:tc>
          <w:tcPr>
            <w:tcW w:type="dxa" w:w="1662"/>
            <w:shd w:val="clear" w:color="auto" w:fill="E3EDF2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Precios indexados al mínimo (+11%): EBITDA/mes</w:t>
            </w:r>
          </w:p>
        </w:tc>
        <w:tc>
          <w:tcPr>
            <w:tcW w:type="dxa" w:w="1662"/>
            <w:shd w:val="clear" w:color="auto" w:fill="E3EDF2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Margen</w:t>
            </w:r>
          </w:p>
        </w:tc>
      </w:tr>
      <w:tr>
        <w:tc>
          <w:tcPr>
            <w:tcW w:type="dxa" w:w="1662"/>
          </w:tcPr>
          <w:p>
            <w:pPr>
              <w:spacing w:after="0" w:line="240" w:lineRule="auto"/>
            </w:pPr>
            <w:r>
              <w:rPr>
                <w:sz w:val="16"/>
              </w:rPr>
              <w:t>2026</w:t>
            </w:r>
          </w:p>
        </w:tc>
        <w:tc>
          <w:tcPr>
            <w:tcW w:type="dxa" w:w="1662"/>
          </w:tcPr>
          <w:p>
            <w:pPr>
              <w:spacing w:after="0" w:line="240" w:lineRule="auto"/>
            </w:pPr>
            <w:r>
              <w:rPr>
                <w:sz w:val="16"/>
              </w:rPr>
              <w:t>315.04</w:t>
            </w:r>
          </w:p>
        </w:tc>
        <w:tc>
          <w:tcPr>
            <w:tcW w:type="dxa" w:w="1662"/>
          </w:tcPr>
          <w:p>
            <w:pPr>
              <w:spacing w:after="0" w:line="240" w:lineRule="auto"/>
            </w:pPr>
            <w:r>
              <w:rPr>
                <w:sz w:val="16"/>
              </w:rPr>
              <w:t>4,858,414</w:t>
            </w:r>
          </w:p>
        </w:tc>
        <w:tc>
          <w:tcPr>
            <w:tcW w:type="dxa" w:w="1662"/>
          </w:tcPr>
          <w:p>
            <w:pPr>
              <w:spacing w:after="0" w:line="240" w:lineRule="auto"/>
            </w:pPr>
            <w:r>
              <w:rPr>
                <w:sz w:val="16"/>
              </w:rPr>
              <w:t>60%</w:t>
            </w:r>
          </w:p>
        </w:tc>
        <w:tc>
          <w:tcPr>
            <w:tcW w:type="dxa" w:w="1662"/>
          </w:tcPr>
          <w:p>
            <w:pPr>
              <w:spacing w:after="0" w:line="240" w:lineRule="auto"/>
            </w:pPr>
            <w:r>
              <w:rPr>
                <w:sz w:val="16"/>
              </w:rPr>
              <w:t>4,858,414</w:t>
            </w:r>
          </w:p>
        </w:tc>
        <w:tc>
          <w:tcPr>
            <w:tcW w:type="dxa" w:w="1662"/>
          </w:tcPr>
          <w:p>
            <w:pPr>
              <w:spacing w:after="0" w:line="240" w:lineRule="auto"/>
            </w:pPr>
            <w:r>
              <w:rPr>
                <w:sz w:val="16"/>
              </w:rPr>
              <w:t>60%</w:t>
            </w:r>
          </w:p>
        </w:tc>
      </w:tr>
      <w:tr>
        <w:tc>
          <w:tcPr>
            <w:tcW w:type="dxa" w:w="1662"/>
          </w:tcPr>
          <w:p>
            <w:pPr>
              <w:spacing w:after="0" w:line="240" w:lineRule="auto"/>
            </w:pPr>
            <w:r>
              <w:rPr>
                <w:sz w:val="16"/>
              </w:rPr>
              <w:t>2027</w:t>
            </w:r>
          </w:p>
        </w:tc>
        <w:tc>
          <w:tcPr>
            <w:tcW w:type="dxa" w:w="1662"/>
          </w:tcPr>
          <w:p>
            <w:pPr>
              <w:spacing w:after="0" w:line="240" w:lineRule="auto"/>
            </w:pPr>
            <w:r>
              <w:rPr>
                <w:sz w:val="16"/>
              </w:rPr>
              <w:t>349.69</w:t>
            </w:r>
          </w:p>
        </w:tc>
        <w:tc>
          <w:tcPr>
            <w:tcW w:type="dxa" w:w="1662"/>
          </w:tcPr>
          <w:p>
            <w:pPr>
              <w:spacing w:after="0" w:line="240" w:lineRule="auto"/>
            </w:pPr>
            <w:r>
              <w:rPr>
                <w:sz w:val="16"/>
              </w:rPr>
              <w:t>4,864,951</w:t>
            </w:r>
          </w:p>
        </w:tc>
        <w:tc>
          <w:tcPr>
            <w:tcW w:type="dxa" w:w="1662"/>
          </w:tcPr>
          <w:p>
            <w:pPr>
              <w:spacing w:after="0" w:line="240" w:lineRule="auto"/>
            </w:pPr>
            <w:r>
              <w:rPr>
                <w:sz w:val="16"/>
              </w:rPr>
              <w:t>58%</w:t>
            </w:r>
          </w:p>
        </w:tc>
        <w:tc>
          <w:tcPr>
            <w:tcW w:type="dxa" w:w="1662"/>
          </w:tcPr>
          <w:p>
            <w:pPr>
              <w:spacing w:after="0" w:line="240" w:lineRule="auto"/>
            </w:pPr>
            <w:r>
              <w:rPr>
                <w:sz w:val="16"/>
              </w:rPr>
              <w:t>5,423,290</w:t>
            </w:r>
          </w:p>
        </w:tc>
        <w:tc>
          <w:tcPr>
            <w:tcW w:type="dxa" w:w="1662"/>
          </w:tcPr>
          <w:p>
            <w:pPr>
              <w:spacing w:after="0" w:line="240" w:lineRule="auto"/>
            </w:pPr>
            <w:r>
              <w:rPr>
                <w:sz w:val="16"/>
              </w:rPr>
              <w:t>60%</w:t>
            </w:r>
          </w:p>
        </w:tc>
      </w:tr>
      <w:tr>
        <w:tc>
          <w:tcPr>
            <w:tcW w:type="dxa" w:w="1662"/>
          </w:tcPr>
          <w:p>
            <w:pPr>
              <w:spacing w:after="0" w:line="240" w:lineRule="auto"/>
            </w:pPr>
            <w:r>
              <w:rPr>
                <w:sz w:val="16"/>
              </w:rPr>
              <w:t>2028</w:t>
            </w:r>
          </w:p>
        </w:tc>
        <w:tc>
          <w:tcPr>
            <w:tcW w:type="dxa" w:w="1662"/>
          </w:tcPr>
          <w:p>
            <w:pPr>
              <w:spacing w:after="0" w:line="240" w:lineRule="auto"/>
            </w:pPr>
            <w:r>
              <w:rPr>
                <w:sz w:val="16"/>
              </w:rPr>
              <w:t>388.16</w:t>
            </w:r>
          </w:p>
        </w:tc>
        <w:tc>
          <w:tcPr>
            <w:tcW w:type="dxa" w:w="1662"/>
          </w:tcPr>
          <w:p>
            <w:pPr>
              <w:spacing w:after="0" w:line="240" w:lineRule="auto"/>
            </w:pPr>
            <w:r>
              <w:rPr>
                <w:sz w:val="16"/>
              </w:rPr>
              <w:t>4,851,883</w:t>
            </w:r>
          </w:p>
        </w:tc>
        <w:tc>
          <w:tcPr>
            <w:tcW w:type="dxa" w:w="1662"/>
          </w:tcPr>
          <w:p>
            <w:pPr>
              <w:spacing w:after="0" w:line="240" w:lineRule="auto"/>
            </w:pPr>
            <w:r>
              <w:rPr>
                <w:sz w:val="16"/>
              </w:rPr>
              <w:t>55%</w:t>
            </w:r>
          </w:p>
        </w:tc>
        <w:tc>
          <w:tcPr>
            <w:tcW w:type="dxa" w:w="1662"/>
          </w:tcPr>
          <w:p>
            <w:pPr>
              <w:spacing w:after="0" w:line="240" w:lineRule="auto"/>
            </w:pPr>
            <w:r>
              <w:rPr>
                <w:sz w:val="16"/>
              </w:rPr>
              <w:t>6,052,312</w:t>
            </w:r>
          </w:p>
        </w:tc>
        <w:tc>
          <w:tcPr>
            <w:tcW w:type="dxa" w:w="1662"/>
          </w:tcPr>
          <w:p>
            <w:pPr>
              <w:spacing w:after="0" w:line="240" w:lineRule="auto"/>
            </w:pPr>
            <w:r>
              <w:rPr>
                <w:sz w:val="16"/>
              </w:rPr>
              <w:t>60%</w:t>
            </w:r>
          </w:p>
        </w:tc>
      </w:tr>
      <w:tr>
        <w:tc>
          <w:tcPr>
            <w:tcW w:type="dxa" w:w="1662"/>
          </w:tcPr>
          <w:p>
            <w:pPr>
              <w:spacing w:after="0" w:line="240" w:lineRule="auto"/>
            </w:pPr>
            <w:r>
              <w:rPr>
                <w:sz w:val="16"/>
              </w:rPr>
              <w:t>2029</w:t>
            </w:r>
          </w:p>
        </w:tc>
        <w:tc>
          <w:tcPr>
            <w:tcW w:type="dxa" w:w="1662"/>
          </w:tcPr>
          <w:p>
            <w:pPr>
              <w:spacing w:after="0" w:line="240" w:lineRule="auto"/>
            </w:pPr>
            <w:r>
              <w:rPr>
                <w:sz w:val="16"/>
              </w:rPr>
              <w:t>430.86</w:t>
            </w:r>
          </w:p>
        </w:tc>
        <w:tc>
          <w:tcPr>
            <w:tcW w:type="dxa" w:w="1662"/>
          </w:tcPr>
          <w:p>
            <w:pPr>
              <w:spacing w:after="0" w:line="240" w:lineRule="auto"/>
            </w:pPr>
            <w:r>
              <w:rPr>
                <w:sz w:val="16"/>
              </w:rPr>
              <w:t>4,816,292</w:t>
            </w:r>
          </w:p>
        </w:tc>
        <w:tc>
          <w:tcPr>
            <w:tcW w:type="dxa" w:w="1662"/>
          </w:tcPr>
          <w:p>
            <w:pPr>
              <w:spacing w:after="0" w:line="240" w:lineRule="auto"/>
            </w:pPr>
            <w:r>
              <w:rPr>
                <w:sz w:val="16"/>
              </w:rPr>
              <w:t>53%</w:t>
            </w:r>
          </w:p>
        </w:tc>
        <w:tc>
          <w:tcPr>
            <w:tcW w:type="dxa" w:w="1662"/>
          </w:tcPr>
          <w:p>
            <w:pPr>
              <w:spacing w:after="0" w:line="240" w:lineRule="auto"/>
            </w:pPr>
            <w:r>
              <w:rPr>
                <w:sz w:val="16"/>
              </w:rPr>
              <w:t>6,752,668</w:t>
            </w:r>
          </w:p>
        </w:tc>
        <w:tc>
          <w:tcPr>
            <w:tcW w:type="dxa" w:w="1662"/>
          </w:tcPr>
          <w:p>
            <w:pPr>
              <w:spacing w:after="0" w:line="240" w:lineRule="auto"/>
            </w:pPr>
            <w:r>
              <w:rPr>
                <w:sz w:val="16"/>
              </w:rPr>
              <w:t>61%</w:t>
            </w:r>
          </w:p>
        </w:tc>
      </w:tr>
      <w:tr>
        <w:tc>
          <w:tcPr>
            <w:tcW w:type="dxa" w:w="1662"/>
          </w:tcPr>
          <w:p>
            <w:pPr>
              <w:spacing w:after="0" w:line="240" w:lineRule="auto"/>
            </w:pPr>
            <w:r>
              <w:rPr>
                <w:sz w:val="16"/>
              </w:rPr>
              <w:t>2030</w:t>
            </w:r>
          </w:p>
        </w:tc>
        <w:tc>
          <w:tcPr>
            <w:tcW w:type="dxa" w:w="1662"/>
          </w:tcPr>
          <w:p>
            <w:pPr>
              <w:spacing w:after="0" w:line="240" w:lineRule="auto"/>
            </w:pPr>
            <w:r>
              <w:rPr>
                <w:sz w:val="16"/>
              </w:rPr>
              <w:t>478.25</w:t>
            </w:r>
          </w:p>
        </w:tc>
        <w:tc>
          <w:tcPr>
            <w:tcW w:type="dxa" w:w="1662"/>
          </w:tcPr>
          <w:p>
            <w:pPr>
              <w:spacing w:after="0" w:line="240" w:lineRule="auto"/>
            </w:pPr>
            <w:r>
              <w:rPr>
                <w:sz w:val="16"/>
              </w:rPr>
              <w:t>4,754,915</w:t>
            </w:r>
          </w:p>
        </w:tc>
        <w:tc>
          <w:tcPr>
            <w:tcW w:type="dxa" w:w="1662"/>
          </w:tcPr>
          <w:p>
            <w:pPr>
              <w:spacing w:after="0" w:line="240" w:lineRule="auto"/>
            </w:pPr>
            <w:r>
              <w:rPr>
                <w:sz w:val="16"/>
              </w:rPr>
              <w:t>50%</w:t>
            </w:r>
          </w:p>
        </w:tc>
        <w:tc>
          <w:tcPr>
            <w:tcW w:type="dxa" w:w="1662"/>
          </w:tcPr>
          <w:p>
            <w:pPr>
              <w:spacing w:after="0" w:line="240" w:lineRule="auto"/>
            </w:pPr>
            <w:r>
              <w:rPr>
                <w:sz w:val="16"/>
              </w:rPr>
              <w:t>7,532,348</w:t>
            </w:r>
          </w:p>
        </w:tc>
        <w:tc>
          <w:tcPr>
            <w:tcW w:type="dxa" w:w="1662"/>
          </w:tcPr>
          <w:p>
            <w:pPr>
              <w:spacing w:after="0" w:line="240" w:lineRule="auto"/>
            </w:pPr>
            <w:r>
              <w:rPr>
                <w:sz w:val="16"/>
              </w:rPr>
              <w:t>61%</w:t>
            </w:r>
          </w:p>
        </w:tc>
      </w:tr>
    </w:tbl>
    <w:p>
      <w:pPr>
        <w:spacing w:after="40"/>
      </w:pPr>
    </w:p>
    <w:p>
      <w:pPr>
        <w:pStyle w:val="Heading3"/>
      </w:pPr>
      <w:r>
        <w:t>8.5 Advertencias sobre estos números</w:t>
      </w:r>
    </w:p>
    <w:p>
      <w:pPr>
        <w:pStyle w:val="ListBullet"/>
        <w:spacing w:after="40"/>
      </w:pPr>
      <w:r>
        <w:t xml:space="preserve">Los ingresos por persona-hora son </w:t>
      </w:r>
      <w:r>
        <w:rPr>
          <w:b/>
        </w:rPr>
        <w:t>estimaciones propias</w:t>
      </w:r>
      <w:r>
        <w:t xml:space="preserve"> sobre precios de mercado no públicos. El único ancla dura es </w:t>
      </w:r>
      <w:r>
        <w:rPr>
          <w:b/>
        </w:rPr>
        <w:t>la tarifa que ya cobras a Totalplay</w:t>
      </w:r>
      <w:r>
        <w:t>: úsala para calibrar la línea base antes de cualquier proyección.</w:t>
      </w:r>
    </w:p>
    <w:p>
      <w:pPr>
        <w:pStyle w:val="ListBullet"/>
        <w:spacing w:after="40"/>
      </w:pPr>
      <w:r>
        <w:t xml:space="preserve">El escenario base supone que el pago es por día laborado y sin IMSS. Con 30.4 días e IMSS el costo por hora productiva sube a $111 y el EBITDA base de 10 salones cae aproximadamente a la mitad; el conservador se acerca a cero. </w:t>
      </w:r>
      <w:r>
        <w:rPr>
          <w:b/>
        </w:rPr>
        <w:t>Por eso las condiciones 2 y 3 de la sección 1.3 son las más importantes del proyecto.</w:t>
      </w:r>
    </w:p>
    <w:p>
      <w:pPr>
        <w:pStyle w:val="ListBullet"/>
        <w:spacing w:after="40"/>
      </w:pPr>
      <w:r>
        <w:t>El modelo no incluye ISR ni PTU (si se reconoce relación laboral) ni el costo de oportunidad de capital de trabajo (los clientes corporativos pagan a 60–90 días; con 350 personas la nómina quincenal es de ~$1.2 millones).</w:t>
      </w:r>
    </w:p>
    <w:p>
      <w:pPr>
        <w:pStyle w:val="Heading2"/>
      </w:pPr>
      <w:r>
        <w:t>9. Business Model Canvas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4986"/>
        <w:gridCol w:w="4986"/>
      </w:tblGrid>
      <w:tr>
        <w:tc>
          <w:tcPr>
            <w:tcW w:type="dxa" w:w="4986"/>
            <w:shd w:val="clear" w:color="auto" w:fill="E3EDF2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Bloque</w:t>
            </w:r>
          </w:p>
        </w:tc>
        <w:tc>
          <w:tcPr>
            <w:tcW w:type="dxa" w:w="4986"/>
            <w:shd w:val="clear" w:color="auto" w:fill="E3EDF2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Contenido</w:t>
            </w:r>
          </w:p>
        </w:tc>
      </w:tr>
      <w:tr>
        <w:tc>
          <w:tcPr>
            <w:tcW w:type="dxa" w:w="498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Propuesta de valor</w:t>
            </w:r>
          </w:p>
        </w:tc>
        <w:tc>
          <w:tcPr>
            <w:tcW w:type="dxa" w:w="4986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Capacidad de manipulados y logística inversa </w:t>
            </w:r>
            <w:r>
              <w:rPr>
                <w:b/>
                <w:sz w:val="18"/>
              </w:rPr>
              <w:t>garantizada</w:t>
            </w:r>
            <w:r>
              <w:rPr>
                <w:sz w:val="18"/>
              </w:rPr>
              <w:t xml:space="preserve"> (cero rotación, asistencia diaria, sin fugas de información por celulares), con cadena de custodia por número de serie, a 30–35% menos costo que un taller externo, con </w:t>
            </w:r>
            <w:r>
              <w:rPr>
                <w:b/>
                <w:sz w:val="18"/>
              </w:rPr>
              <w:t>narrativa verificable de reinserción</w:t>
            </w:r>
            <w:r>
              <w:rPr>
                <w:sz w:val="18"/>
              </w:rPr>
              <w:t xml:space="preserve"> (salario mínimo íntegro, capacitación certificable, empleo al salir) que el cliente puede usar en su reporte de sustentabilidad</w:t>
            </w:r>
          </w:p>
        </w:tc>
      </w:tr>
      <w:tr>
        <w:tc>
          <w:tcPr>
            <w:tcW w:type="dxa" w:w="498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Segmentos de clientes</w:t>
            </w:r>
          </w:p>
        </w:tc>
        <w:tc>
          <w:tcPr>
            <w:tcW w:type="dxa" w:w="4986"/>
          </w:tcPr>
          <w:p>
            <w:pPr>
              <w:spacing w:after="0" w:line="240" w:lineRule="auto"/>
            </w:pPr>
            <w:r>
              <w:rPr>
                <w:sz w:val="18"/>
              </w:rPr>
              <w:t>(1) Operadores de telecomunicaciones fijos y sus 3PL/OEM: Totalplay hoy; Sky/Dish, Telcel/AT&amp;T FWA, y vía 3PL Megacable/Izzi; (2) importadores medianos de electrónicos, accesorios, textil y calzado de la zona norte; (3) agencias de promocionales, convertidores de empaque, fabricantes de POP; (4) áreas de RH y sustentabilidad de corporativos mexicanos (Grupo Salinas primero) para regalos de impacto; (5) 3PL de e-commerce como subcontratista (2028+)</w:t>
            </w:r>
          </w:p>
        </w:tc>
      </w:tr>
      <w:tr>
        <w:tc>
          <w:tcPr>
            <w:tcW w:type="dxa" w:w="498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Canales</w:t>
            </w:r>
          </w:p>
        </w:tc>
        <w:tc>
          <w:tcPr>
            <w:tcW w:type="dxa" w:w="4986"/>
          </w:tcPr>
          <w:p>
            <w:pPr>
              <w:spacing w:after="0" w:line="240" w:lineRule="auto"/>
            </w:pPr>
            <w:r>
              <w:rPr>
                <w:sz w:val="18"/>
              </w:rPr>
              <w:t>Venta directa B2B del dueño y un vendedor; el 3PL/co-packer/convertidor como canal indirecto ante multinacionales; "Hazme Valer" y las tiendas de la SSC como vitrina de legitimidad; ferias de logística y empaque; referencias de Totalplay</w:t>
            </w:r>
          </w:p>
        </w:tc>
      </w:tr>
      <w:tr>
        <w:tc>
          <w:tcPr>
            <w:tcW w:type="dxa" w:w="498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Relación con clientes</w:t>
            </w:r>
          </w:p>
        </w:tc>
        <w:tc>
          <w:tcPr>
            <w:tcW w:type="dxa" w:w="4986"/>
          </w:tcPr>
          <w:p>
            <w:pPr>
              <w:spacing w:after="0" w:line="240" w:lineRule="auto"/>
            </w:pPr>
            <w:r>
              <w:rPr>
                <w:sz w:val="18"/>
              </w:rPr>
              <w:t>Contratos anuales o plurianuales con volumen mínimo, SLA de calidad (defectos por millón, tiempo de ciclo), reporte mensual por serie, precio indexado al salario mínimo, auditoría documental abierta (dossier de proveedor) y visita al centro coordinada con la Subsecretaría</w:t>
            </w:r>
          </w:p>
        </w:tc>
      </w:tr>
      <w:tr>
        <w:tc>
          <w:tcPr>
            <w:tcW w:type="dxa" w:w="498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Fuentes de ingreso</w:t>
            </w:r>
          </w:p>
        </w:tc>
        <w:tc>
          <w:tcPr>
            <w:tcW w:type="dxa" w:w="4986"/>
          </w:tcPr>
          <w:p>
            <w:pPr>
              <w:spacing w:after="0" w:line="240" w:lineRule="auto"/>
            </w:pPr>
            <w:r>
              <w:rPr>
                <w:sz w:val="18"/>
              </w:rPr>
              <w:t>Tarifa por unidad procesada (kit, equipo, pieza etiquetada, caja); tarifa por hora-persona para proyectos; venta de producto terminado con marca propia (regalos ESG, cajas)</w:t>
            </w:r>
          </w:p>
        </w:tc>
      </w:tr>
      <w:tr>
        <w:tc>
          <w:tcPr>
            <w:tcW w:type="dxa" w:w="498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Recursos clave</w:t>
            </w:r>
          </w:p>
        </w:tc>
        <w:tc>
          <w:tcPr>
            <w:tcW w:type="dxa" w:w="4986"/>
          </w:tcPr>
          <w:p>
            <w:pPr>
              <w:spacing w:after="0" w:line="240" w:lineRule="auto"/>
            </w:pPr>
            <w:r>
              <w:rPr>
                <w:sz w:val="18"/>
              </w:rPr>
              <w:t>Convenio plurianual como Socio Industrial; 8–10 salones; 280–350 PPL seleccionados y capacitados; supervisores externos credencializados; protocolos de seguridad y de datos aprobados; bancos de prueba (si se autorizan); marca de impacto</w:t>
            </w:r>
          </w:p>
        </w:tc>
      </w:tr>
      <w:tr>
        <w:tc>
          <w:tcPr>
            <w:tcW w:type="dxa" w:w="498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Actividades clave</w:t>
            </w:r>
          </w:p>
        </w:tc>
        <w:tc>
          <w:tcPr>
            <w:tcW w:type="dxa" w:w="4986"/>
          </w:tcPr>
          <w:p>
            <w:pPr>
              <w:spacing w:after="0" w:line="240" w:lineRule="auto"/>
            </w:pPr>
            <w:r>
              <w:rPr>
                <w:sz w:val="18"/>
              </w:rPr>
              <w:t>Recepción y manifiesto; cosmética, kitting, etiquetado, ensamble de mesa; control de calidad; cadena de custodia; nómina a cuenta administrada por la autoridad; capacitación y certificación (ICAT/CONOCER); relación diaria con custodia y Dirección del centro</w:t>
            </w:r>
          </w:p>
        </w:tc>
      </w:tr>
      <w:tr>
        <w:tc>
          <w:tcPr>
            <w:tcW w:type="dxa" w:w="498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Socios clave</w:t>
            </w:r>
          </w:p>
        </w:tc>
        <w:tc>
          <w:tcPr>
            <w:tcW w:type="dxa" w:w="4986"/>
          </w:tcPr>
          <w:p>
            <w:pPr>
              <w:spacing w:after="0" w:line="240" w:lineRule="auto"/>
            </w:pPr>
            <w:r>
              <w:rPr>
                <w:sz w:val="18"/>
              </w:rPr>
              <w:t>Subsecretaría de Sistema Penitenciario (SSC CDMX) y Dirección Ejecutiva de Trabajo Penitenciario; Dirección Ejecutiva de Seguridad Penitenciaria; Totalplay/Grupo Salinas; 3PL de logística inversa; ICAT y SEDECO (capacitación y certificación); Instituto de Reinserción Social y empresas sociales (La Cana, Reinserta) para empleo al salir; abogado laboral y de datos personales; aseguradora</w:t>
            </w:r>
          </w:p>
        </w:tc>
      </w:tr>
      <w:tr>
        <w:tc>
          <w:tcPr>
            <w:tcW w:type="dxa" w:w="498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Estructura de costos</w:t>
            </w:r>
          </w:p>
        </w:tc>
        <w:tc>
          <w:tcPr>
            <w:tcW w:type="dxa" w:w="4986"/>
          </w:tcPr>
          <w:p>
            <w:pPr>
              <w:spacing w:after="0" w:line="240" w:lineRule="auto"/>
            </w:pPr>
            <w:r>
              <w:rPr>
                <w:sz w:val="18"/>
              </w:rPr>
              <w:t>Nómina de PPL (≈ 74% del costo con 10 salones); supervisión externa; logística de ingreso/egreso; mermas; seguros; capacitación; herramientas; administración fija. Sin renta ni servicios mientras el convenio lo exente</w:t>
            </w:r>
          </w:p>
        </w:tc>
      </w:tr>
    </w:tbl>
    <w:p>
      <w:pPr>
        <w:spacing w:after="40"/>
      </w:pPr>
    </w:p>
    <w:p>
      <w:pPr>
        <w:pStyle w:val="Heading2"/>
      </w:pPr>
      <w:r>
        <w:t>10. Operación</w:t>
      </w:r>
    </w:p>
    <w:p>
      <w:pPr>
        <w:pStyle w:val="Heading3"/>
      </w:pPr>
      <w:r>
        <w:t>10.1 Protocolo de seguridad y cadena de custodia (aplica a todas las líneas)</w:t>
      </w:r>
    </w:p>
    <w:p>
      <w:pPr>
        <w:pStyle w:val="ListNumber"/>
        <w:spacing w:after="40"/>
      </w:pPr>
      <w:r>
        <w:rPr>
          <w:b/>
        </w:rPr>
        <w:t>Ingreso.</w:t>
      </w:r>
      <w:r>
        <w:t xml:space="preserve"> Manifiesto por lote y por número de serie; revisión por seguridad penitenciaria con equipo; sello; conteo firmado por supervisor y custodio.</w:t>
      </w:r>
    </w:p>
    <w:p>
      <w:pPr>
        <w:pStyle w:val="ListNumber"/>
        <w:spacing w:after="40"/>
      </w:pPr>
      <w:r>
        <w:rPr>
          <w:b/>
        </w:rPr>
        <w:t>Herramientas.</w:t>
      </w:r>
      <w:r>
        <w:t xml:space="preserve"> Tablero de sombras por salón; conteo al inicio y fin de cada turno; un faltante detiene el salón hasta localizarlo; cutters de hoja oculta, aplicadores de plástico, sin desarmadores metálicos salvo en la célula de triage.</w:t>
      </w:r>
    </w:p>
    <w:p>
      <w:pPr>
        <w:pStyle w:val="ListNumber"/>
        <w:spacing w:after="40"/>
      </w:pPr>
      <w:r>
        <w:rPr>
          <w:b/>
        </w:rPr>
        <w:t>Materiales de riesgo.</w:t>
      </w:r>
      <w:r>
        <w:t xml:space="preserve"> Cables en tramos cortos, contados y con retorno de sobrantes pesados; pilas fuera del salón (caja del supervisor); químicos de limpieza en envases no presurizados, cantidad diaria medida, hoja de seguridad y resguardo bajo llave; nada de aerosoles ni inflamables en volumen.</w:t>
      </w:r>
    </w:p>
    <w:p>
      <w:pPr>
        <w:pStyle w:val="ListNumber"/>
        <w:spacing w:after="40"/>
      </w:pPr>
      <w:r>
        <w:rPr>
          <w:b/>
        </w:rPr>
        <w:t>Datos.</w:t>
      </w:r>
      <w:r>
        <w:t xml:space="preserve"> Ningún equipo entra sin reset de fábrica/borrado certificado por serie; ningún equipo se energiza en salón salvo en bancos autorizados; contrato de encargado LFPDPPP con cada cliente; registro de incidentes.</w:t>
      </w:r>
    </w:p>
    <w:p>
      <w:pPr>
        <w:pStyle w:val="ListNumber"/>
        <w:spacing w:after="40"/>
      </w:pPr>
      <w:r>
        <w:rPr>
          <w:b/>
        </w:rPr>
        <w:t>Salida.</w:t>
      </w:r>
      <w:r>
        <w:t xml:space="preserve"> Cuadre de producto terminado contra ingreso; merma documentada; lote sellado; salida escoltada.</w:t>
      </w:r>
    </w:p>
    <w:p>
      <w:pPr>
        <w:pStyle w:val="ListNumber"/>
        <w:spacing w:after="40"/>
      </w:pPr>
      <w:r>
        <w:rPr>
          <w:b/>
        </w:rPr>
        <w:t>Personal externo.</w:t>
      </w:r>
      <w:r>
        <w:t xml:space="preserve"> Credencialización y revisión de antecedentes; prohibido introducir celulares; política anticorrupción: pagos únicamente por la vía institucional (cuenta administrada, LNEP 93); cero pagos a PPL o custodios fuera de canal.</w:t>
      </w:r>
    </w:p>
    <w:p>
      <w:pPr>
        <w:pStyle w:val="ListNumber"/>
        <w:spacing w:after="40"/>
      </w:pPr>
      <w:r>
        <w:rPr>
          <w:b/>
        </w:rPr>
        <w:t>Continuidad.</w:t>
      </w:r>
      <w:r>
        <w:t xml:space="preserve"> Plan para cierres por revisión general, audiencias masivas o incidentes: inventario de seguridad de 72 h fuera del centro; clientes informados de que los plazos se miden en días hábiles del centro.</w:t>
      </w:r>
    </w:p>
    <w:p>
      <w:pPr>
        <w:pStyle w:val="Heading3"/>
      </w:pPr>
      <w:r>
        <w:t>10.2 Supervisión y estructura mínima</w:t>
      </w:r>
    </w:p>
    <w:p>
      <w:r>
        <w:t>Un supervisor externo por salón de 35 PPL (comparable a los modelos revisados), un líder de calidad, un coordinador general y un encargado de ingreso/logística; con 10 salones, unas 13 personas externas. Dentro de cada salón, 2–3 PPL líderes de línea seleccionados por desempeño (con pago diferenciado si el convenio lo permite).</w:t>
      </w:r>
    </w:p>
    <w:p>
      <w:pPr>
        <w:pStyle w:val="Heading3"/>
      </w:pPr>
      <w:r>
        <w:t>10.3 Capacitación como "academia"</w:t>
      </w:r>
    </w:p>
    <w:p>
      <w:r>
        <w:t xml:space="preserve">Los 15 días iniciales se complementan con certificación oficial (ICAT ya capacitó a 960 PPL con convenio de la SSC; CONOCER para competencias de manipulados, ESD y control de calidad) y con una </w:t>
      </w:r>
      <w:r>
        <w:rPr>
          <w:b/>
        </w:rPr>
        <w:t>ruta de contratación al salir</w:t>
      </w:r>
      <w:r>
        <w:t xml:space="preserve"> (supervisores y técnicos de refurbishment en tus operaciones exteriores o en las de tus clientes). Cuesta poco y es la principal defensa reputacional: Timpson (Reino Unido) contrató a 1,500 egresados con 4 reincidencias; Recycling Lives reporta menos de 5% de reincidencia y más de 70% de empleo al salir.</w:t>
      </w:r>
    </w:p>
    <w:p>
      <w:pPr>
        <w:pStyle w:val="Heading3"/>
      </w:pPr>
      <w:r>
        <w:t>10.4 Indicadores que hay que medir desde el día uno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4986"/>
        <w:gridCol w:w="4986"/>
      </w:tblGrid>
      <w:tr>
        <w:tc>
          <w:tcPr>
            <w:tcW w:type="dxa" w:w="4986"/>
            <w:shd w:val="clear" w:color="auto" w:fill="E3EDF2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Indicador</w:t>
            </w:r>
          </w:p>
        </w:tc>
        <w:tc>
          <w:tcPr>
            <w:tcW w:type="dxa" w:w="4986"/>
            <w:shd w:val="clear" w:color="auto" w:fill="E3EDF2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Meta</w:t>
            </w:r>
          </w:p>
        </w:tc>
      </w:tr>
      <w:tr>
        <w:tc>
          <w:tcPr>
            <w:tcW w:type="dxa" w:w="4986"/>
          </w:tcPr>
          <w:p>
            <w:pPr>
              <w:spacing w:after="0" w:line="240" w:lineRule="auto"/>
            </w:pPr>
            <w:r>
              <w:rPr>
                <w:sz w:val="18"/>
              </w:rPr>
              <w:t>Unidades por persona-hora productiva, por salón y por línea</w:t>
            </w:r>
          </w:p>
        </w:tc>
        <w:tc>
          <w:tcPr>
            <w:tcW w:type="dxa" w:w="4986"/>
          </w:tcPr>
          <w:p>
            <w:pPr>
              <w:spacing w:after="0" w:line="240" w:lineRule="auto"/>
            </w:pPr>
            <w:r>
              <w:rPr>
                <w:sz w:val="18"/>
              </w:rPr>
              <w:t>Medido en 4 semanas; base para toda cotización</w:t>
            </w:r>
          </w:p>
        </w:tc>
      </w:tr>
      <w:tr>
        <w:tc>
          <w:tcPr>
            <w:tcW w:type="dxa" w:w="4986"/>
          </w:tcPr>
          <w:p>
            <w:pPr>
              <w:spacing w:after="0" w:line="240" w:lineRule="auto"/>
            </w:pPr>
            <w:r>
              <w:rPr>
                <w:sz w:val="18"/>
              </w:rPr>
              <w:t>Horas productivas / horas pagadas</w:t>
            </w:r>
          </w:p>
        </w:tc>
        <w:tc>
          <w:tcPr>
            <w:tcW w:type="dxa" w:w="4986"/>
          </w:tcPr>
          <w:p>
            <w:pPr>
              <w:spacing w:after="0" w:line="240" w:lineRule="auto"/>
            </w:pPr>
            <w:r>
              <w:rPr>
                <w:sz w:val="18"/>
              </w:rPr>
              <w:t>≥ 0.80</w:t>
            </w:r>
          </w:p>
        </w:tc>
      </w:tr>
      <w:tr>
        <w:tc>
          <w:tcPr>
            <w:tcW w:type="dxa" w:w="4986"/>
          </w:tcPr>
          <w:p>
            <w:pPr>
              <w:spacing w:after="0" w:line="240" w:lineRule="auto"/>
            </w:pPr>
            <w:r>
              <w:rPr>
                <w:sz w:val="18"/>
              </w:rPr>
              <w:t>Defectos por millón / devoluciones del cliente</w:t>
            </w:r>
          </w:p>
        </w:tc>
        <w:tc>
          <w:tcPr>
            <w:tcW w:type="dxa" w:w="4986"/>
          </w:tcPr>
          <w:p>
            <w:pPr>
              <w:spacing w:after="0" w:line="240" w:lineRule="auto"/>
            </w:pPr>
            <w:r>
              <w:rPr>
                <w:sz w:val="18"/>
              </w:rPr>
              <w:t>Según SLA (por ejemplo &lt; 5,000 ppm en kits)</w:t>
            </w:r>
          </w:p>
        </w:tc>
      </w:tr>
      <w:tr>
        <w:tc>
          <w:tcPr>
            <w:tcW w:type="dxa" w:w="4986"/>
          </w:tcPr>
          <w:p>
            <w:pPr>
              <w:spacing w:after="0" w:line="240" w:lineRule="auto"/>
            </w:pPr>
            <w:r>
              <w:rPr>
                <w:sz w:val="18"/>
              </w:rPr>
              <w:t>Merma y faltantes por serie</w:t>
            </w:r>
          </w:p>
        </w:tc>
        <w:tc>
          <w:tcPr>
            <w:tcW w:type="dxa" w:w="4986"/>
          </w:tcPr>
          <w:p>
            <w:pPr>
              <w:spacing w:after="0" w:line="240" w:lineRule="auto"/>
            </w:pPr>
            <w:r>
              <w:rPr>
                <w:sz w:val="18"/>
              </w:rPr>
              <w:t>&lt; 0.5% del valor manejado</w:t>
            </w:r>
          </w:p>
        </w:tc>
      </w:tr>
      <w:tr>
        <w:tc>
          <w:tcPr>
            <w:tcW w:type="dxa" w:w="4986"/>
          </w:tcPr>
          <w:p>
            <w:pPr>
              <w:spacing w:after="0" w:line="240" w:lineRule="auto"/>
            </w:pPr>
            <w:r>
              <w:rPr>
                <w:sz w:val="18"/>
              </w:rPr>
              <w:t>Incidentes de seguridad (herramienta faltante, objeto no autorizado)</w:t>
            </w:r>
          </w:p>
        </w:tc>
        <w:tc>
          <w:tcPr>
            <w:tcW w:type="dxa" w:w="4986"/>
          </w:tcPr>
          <w:p>
            <w:pPr>
              <w:spacing w:after="0" w:line="240" w:lineRule="auto"/>
            </w:pPr>
            <w:r>
              <w:rPr>
                <w:sz w:val="18"/>
              </w:rPr>
              <w:t>0 tolerados; registro y reporte a la Dirección</w:t>
            </w:r>
          </w:p>
        </w:tc>
      </w:tr>
      <w:tr>
        <w:tc>
          <w:tcPr>
            <w:tcW w:type="dxa" w:w="4986"/>
          </w:tcPr>
          <w:p>
            <w:pPr>
              <w:spacing w:after="0" w:line="240" w:lineRule="auto"/>
            </w:pPr>
            <w:r>
              <w:rPr>
                <w:sz w:val="18"/>
              </w:rPr>
              <w:t>Concentración de cliente</w:t>
            </w:r>
          </w:p>
        </w:tc>
        <w:tc>
          <w:tcPr>
            <w:tcW w:type="dxa" w:w="4986"/>
          </w:tcPr>
          <w:p>
            <w:pPr>
              <w:spacing w:after="0" w:line="240" w:lineRule="auto"/>
            </w:pPr>
            <w:r>
              <w:rPr>
                <w:sz w:val="18"/>
              </w:rPr>
              <w:t>Totalplay &lt; 60% al mes 12, &lt; 40% al mes 24</w:t>
            </w:r>
          </w:p>
        </w:tc>
      </w:tr>
      <w:tr>
        <w:tc>
          <w:tcPr>
            <w:tcW w:type="dxa" w:w="4986"/>
          </w:tcPr>
          <w:p>
            <w:pPr>
              <w:spacing w:after="0" w:line="240" w:lineRule="auto"/>
            </w:pPr>
            <w:r>
              <w:rPr>
                <w:sz w:val="18"/>
              </w:rPr>
              <w:t>PPL capacitadas y certificadas; egresados contratados; empleo a 6 meses de liberación; reincidencia de participantes</w:t>
            </w:r>
          </w:p>
        </w:tc>
        <w:tc>
          <w:tcPr>
            <w:tcW w:type="dxa" w:w="4986"/>
          </w:tcPr>
          <w:p>
            <w:pPr>
              <w:spacing w:after="0" w:line="240" w:lineRule="auto"/>
            </w:pPr>
            <w:r>
              <w:rPr>
                <w:sz w:val="18"/>
              </w:rPr>
              <w:t>Es lo que defiende políticamente al programa (Reino Unido pasó de 15% a 38% de empleo a 6 meses)</w:t>
            </w:r>
          </w:p>
        </w:tc>
      </w:tr>
    </w:tbl>
    <w:p>
      <w:pPr>
        <w:spacing w:after="40"/>
      </w:pPr>
    </w:p>
    <w:p>
      <w:pPr>
        <w:pStyle w:val="Heading2"/>
      </w:pPr>
      <w:r>
        <w:t>11. Comercial</w:t>
      </w:r>
    </w:p>
    <w:p>
      <w:pPr>
        <w:pStyle w:val="ListNumber"/>
        <w:spacing w:after="40"/>
      </w:pPr>
      <w:r>
        <w:rPr>
          <w:b/>
        </w:rPr>
        <w:t>Dossier de proveedor</w:t>
      </w:r>
      <w:r>
        <w:t xml:space="preserve"> listo para cualquier auditoría documental: convenio, fundamento LNEP 91–93, comprobantes de pago a cuenta individual, voluntariedad, capacitación, EPP, protocolos, póliza de seguro, aviso de privacidad. Es lo que convierte "maquila en cárcel" en "proveedor de impacto".</w:t>
      </w:r>
    </w:p>
    <w:p>
      <w:pPr>
        <w:pStyle w:val="ListNumber"/>
        <w:spacing w:after="40"/>
      </w:pPr>
      <w:r>
        <w:rPr>
          <w:b/>
        </w:rPr>
        <w:t>Nunca vender directo a una multinacional con código de conducta anti-trabajo penitenciario;</w:t>
      </w:r>
      <w:r>
        <w:t xml:space="preserve"> entrar por 3PL, co-packer o convertidor mexicano que asuma el compliance. A empresas mexicanas medianas y a Grupo Salinas, directo.</w:t>
      </w:r>
    </w:p>
    <w:p>
      <w:pPr>
        <w:pStyle w:val="ListNumber"/>
        <w:spacing w:after="40"/>
      </w:pPr>
      <w:r>
        <w:rPr>
          <w:b/>
        </w:rPr>
        <w:t>Vender capacidad garantizada, no mano de obra barata.</w:t>
      </w:r>
      <w:r>
        <w:t xml:space="preserve"> El pitch: cero rotación, asistencia diaria, cadena de custodia, sin fugas de información, precio estable e indexado.</w:t>
      </w:r>
    </w:p>
    <w:p>
      <w:pPr>
        <w:pStyle w:val="ListNumber"/>
        <w:spacing w:after="40"/>
      </w:pPr>
      <w:r>
        <w:rPr>
          <w:b/>
        </w:rPr>
        <w:t>Nunca sustituir empleos exteriores</w:t>
      </w:r>
      <w:r>
        <w:t xml:space="preserve"> propios ni de proveedores locales para moverlos al penal (el caso Lockhart en Texas se cita 30 años después). Cada salón nuevo se presenta como capacidad adicional y clientes nuevos.</w:t>
      </w:r>
    </w:p>
    <w:p>
      <w:pPr>
        <w:pStyle w:val="ListNumber"/>
        <w:spacing w:after="40"/>
      </w:pPr>
      <w:r>
        <w:rPr>
          <w:b/>
        </w:rPr>
        <w:t>Acordar con cada cliente el relato público</w:t>
      </w:r>
      <w:r>
        <w:t xml:space="preserve"> (reinserción, salario mínimo íntegro, capacitación, contratación al salir) antes de que la prensa o una ONG lo construyan. El riesgo reputacional recae en el cliente visible (Whole Foods retiró productos hechos con reclusos tras una sola protesta en 2015).</w:t>
      </w:r>
    </w:p>
    <w:p>
      <w:pPr>
        <w:pStyle w:val="ListNumber"/>
        <w:spacing w:after="40"/>
      </w:pPr>
      <w:r>
        <w:rPr>
          <w:b/>
        </w:rPr>
        <w:t>Indexación anual al salario mínimo</w:t>
      </w:r>
      <w:r>
        <w:t xml:space="preserve"> en todos los contratos.</w:t>
      </w:r>
    </w:p>
    <w:p>
      <w:pPr>
        <w:pStyle w:val="ListNumber"/>
        <w:spacing w:after="40"/>
      </w:pPr>
      <w:r>
        <w:rPr>
          <w:b/>
        </w:rPr>
        <w:t>Diversificación programada:</w:t>
      </w:r>
      <w:r>
        <w:t xml:space="preserve"> 2–3 clientes antes de pasar de 4 a 8 salones.</w:t>
      </w:r>
    </w:p>
    <w:p>
      <w:pPr>
        <w:pStyle w:val="Heading2"/>
      </w:pPr>
      <w:r>
        <w:t>12. Riesgos y mitigaciones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3EDF2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Riesgo</w:t>
            </w:r>
          </w:p>
        </w:tc>
        <w:tc>
          <w:tcPr>
            <w:tcW w:type="dxa" w:w="3324"/>
            <w:shd w:val="clear" w:color="auto" w:fill="E3EDF2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Probabilidad / impacto</w:t>
            </w:r>
          </w:p>
        </w:tc>
        <w:tc>
          <w:tcPr>
            <w:tcW w:type="dxa" w:w="3324"/>
            <w:shd w:val="clear" w:color="auto" w:fill="E3EDF2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Mitigación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sz w:val="18"/>
              </w:rPr>
              <w:t>Recaracterización laboral e IMSS retroactivo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sz w:val="18"/>
              </w:rPr>
              <w:t>Media / alto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sz w:val="18"/>
              </w:rPr>
              <w:t>Dictamen laboral; considerar afiliación voluntaria; provisionar; convenio con esquema explícito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sz w:val="18"/>
              </w:rPr>
              <w:t>Exigencia de pagar 30.4 días o cuota por espacio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sz w:val="18"/>
              </w:rPr>
              <w:t>Media / alto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sz w:val="18"/>
              </w:rPr>
              <w:t>Cláusula expresa en el convenio; renegociación automática de precios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sz w:val="18"/>
              </w:rPr>
              <w:t>Veto de exclusividad de Totalplay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sz w:val="18"/>
              </w:rPr>
              <w:t>Media / medio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sz w:val="18"/>
              </w:rPr>
              <w:t>Carta de no objeción; salones separados; clientes no competidores primero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sz w:val="18"/>
              </w:rPr>
              <w:t>Negativa a bancos de prueba (triage)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sz w:val="18"/>
              </w:rPr>
              <w:t>Alta / medio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sz w:val="18"/>
              </w:rPr>
              <w:t>Plan B en el mismo salón (cosmética/kits/pintura)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sz w:val="18"/>
              </w:rPr>
              <w:t>Incidente de datos personales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sz w:val="18"/>
              </w:rPr>
              <w:t>Baja / muy alto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sz w:val="18"/>
              </w:rPr>
              <w:t>Reset certificado antes de ingresar; contrato de encargado; auditoría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sz w:val="18"/>
              </w:rPr>
              <w:t>Acusación pública de explotación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sz w:val="18"/>
              </w:rPr>
              <w:t>Media / alto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sz w:val="18"/>
              </w:rPr>
              <w:t>Dossier, salario íntegro, academia, métricas de reinserción, relato acordado con clientes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sz w:val="18"/>
              </w:rPr>
              <w:t>Cierres del centro (revisiones, motines, paros de custodios)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sz w:val="18"/>
              </w:rPr>
              <w:t>Alta / medio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sz w:val="18"/>
              </w:rPr>
              <w:t>Inventario de 72 h fuera; ≤ 40% de capacidad en líneas de entrega &lt; 72 h; SLA en días hábiles del centro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sz w:val="18"/>
              </w:rPr>
              <w:t>Cambio de gobierno / de titular de la SSC (2030)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sz w:val="18"/>
              </w:rPr>
              <w:t>Media / alto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sz w:val="18"/>
              </w:rPr>
              <w:t>Convenio plurianual con cláusula de salida y traslado de activos; renovación anticipada en 2029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sz w:val="18"/>
              </w:rPr>
              <w:t>Corrupción y cuotas informales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sz w:val="18"/>
              </w:rPr>
              <w:t>Media / alto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sz w:val="18"/>
              </w:rPr>
              <w:t>Pagos sólo por vía institucional; política anticorrupción; canal de denuncia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sz w:val="18"/>
              </w:rPr>
              <w:t>Pérdida de merma / canibalización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sz w:val="18"/>
              </w:rPr>
              <w:t>Media / bajo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sz w:val="18"/>
              </w:rPr>
              <w:t>Conteo por serie, sellos, CCTV propio autorizado, seguro específico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sz w:val="18"/>
              </w:rPr>
              <w:t>Cliente único (hoy ~100% Totalplay)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sz w:val="18"/>
              </w:rPr>
              <w:t>Alta / alto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sz w:val="18"/>
              </w:rPr>
              <w:t>Metas de concentración; fases 1–2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sz w:val="18"/>
              </w:rPr>
              <w:t>Alza del salario mínimo 10–12% anual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sz w:val="18"/>
              </w:rPr>
              <w:t>Cierta / medio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sz w:val="18"/>
              </w:rPr>
              <w:t>Sólo líneas &gt; $110/h conservador; indexación; sustitución de líneas de bajo valor</w:t>
            </w:r>
          </w:p>
        </w:tc>
      </w:tr>
    </w:tbl>
    <w:p>
      <w:pPr>
        <w:spacing w:after="40"/>
      </w:pPr>
    </w:p>
    <w:p>
      <w:pPr>
        <w:pStyle w:val="Heading2"/>
      </w:pPr>
      <w:r>
        <w:t>13. Próximos 90 días</w:t>
      </w:r>
    </w:p>
    <w:p>
      <w:r>
        <w:rPr>
          <w:b/>
        </w:rPr>
        <w:t>Semanas 1–4</w:t>
      </w:r>
    </w:p>
    <w:p>
      <w:pPr>
        <w:pStyle w:val="ListBullet"/>
        <w:spacing w:after="40"/>
      </w:pPr>
      <w:r>
        <w:t>Medir productividad real por salón (unidades/hora, horas productivas/horas pagadas) y documentar la tarifa por unidad con Totalplay.</w:t>
      </w:r>
    </w:p>
    <w:p>
      <w:pPr>
        <w:pStyle w:val="ListBullet"/>
        <w:spacing w:after="40"/>
      </w:pPr>
      <w:r>
        <w:t>Solicitar a la Dirección Ejecutiva de Trabajo Penitenciario la adenda/convenio plurianual con objeto ampliado y las cinco condiciones de la sección 1.3; pedir a la Dirección Ejecutiva de Seguridad la lista autorizada de herramientas y materiales de CEVASEP II y el criterio sobre bancos de prueba aislados.</w:t>
      </w:r>
    </w:p>
    <w:p>
      <w:pPr>
        <w:pStyle w:val="ListBullet"/>
        <w:spacing w:after="40"/>
      </w:pPr>
      <w:r>
        <w:t>Dictamen laboral (relación de trabajo, IMSS, ISN) y de datos personales (contrato de encargado con Totalplay).</w:t>
      </w:r>
    </w:p>
    <w:p>
      <w:pPr>
        <w:pStyle w:val="ListBullet"/>
        <w:spacing w:after="40"/>
      </w:pPr>
      <w:r>
        <w:t>Cotizar seguro de responsabilidad civil y mercancía en centro penitenciario.</w:t>
      </w:r>
    </w:p>
    <w:p>
      <w:r>
        <w:rPr>
          <w:b/>
        </w:rPr>
        <w:t>Semanas 5–8</w:t>
      </w:r>
    </w:p>
    <w:p>
      <w:pPr>
        <w:pStyle w:val="ListBullet"/>
        <w:spacing w:after="40"/>
      </w:pPr>
      <w:r>
        <w:t>Propuesta a Totalplay: kit de alta certificado (precio por kit, volumen mínimo, indexación, SLA, trazabilidad) y carta de no objeción para operadores no competidores.</w:t>
      </w:r>
    </w:p>
    <w:p>
      <w:pPr>
        <w:pStyle w:val="ListBullet"/>
        <w:spacing w:after="40"/>
      </w:pPr>
      <w:r>
        <w:t>Prospección: 3 3PL/OEM de logística inversa telecom; Sky/Dish; Telcel/AT&amp;T (FWA); 10 importadores de la zona norte; 3 agencias de promocionales; 2 convertidores de empaque; área de sustentabilidad de Grupo Salinas.</w:t>
      </w:r>
    </w:p>
    <w:p>
      <w:pPr>
        <w:pStyle w:val="ListBullet"/>
        <w:spacing w:after="40"/>
      </w:pPr>
      <w:r>
        <w:t>Diseño de layout y lista de capex para salones 5–7; solicitud de custodios por salón y horario.</w:t>
      </w:r>
    </w:p>
    <w:p>
      <w:r>
        <w:rPr>
          <w:b/>
        </w:rPr>
        <w:t>Semanas 9–13</w:t>
      </w:r>
    </w:p>
    <w:p>
      <w:pPr>
        <w:pStyle w:val="ListBullet"/>
        <w:spacing w:after="40"/>
      </w:pPr>
      <w:r>
        <w:t>Piloto de kit de alta en 1 salón (4 semanas) con medición de ppm y tiempo de ciclo.</w:t>
      </w:r>
    </w:p>
    <w:p>
      <w:pPr>
        <w:pStyle w:val="ListBullet"/>
        <w:spacing w:after="40"/>
      </w:pPr>
      <w:r>
        <w:t>Arranque de la academia: convenio ICAT/CONOCER; ruta de contratación al salir.</w:t>
      </w:r>
    </w:p>
    <w:p>
      <w:pPr>
        <w:pStyle w:val="ListBullet"/>
        <w:spacing w:after="40"/>
      </w:pPr>
      <w:r>
        <w:t>Dossier de proveedor terminado; relato público acordado con Totalplay.</w:t>
      </w:r>
    </w:p>
    <w:p>
      <w:pPr>
        <w:pStyle w:val="ListBullet"/>
        <w:spacing w:after="40"/>
      </w:pPr>
      <w:r>
        <w:t>Decisión de fase 1 con números reales.</w:t>
      </w:r>
    </w:p>
    <w:p>
      <w:pPr>
        <w:pStyle w:val="Heading2"/>
      </w:pPr>
      <w:r>
        <w:t>14. Lecciones de otros países</w:t>
      </w:r>
    </w:p>
    <w:p>
      <w:pPr>
        <w:pStyle w:val="ListBullet"/>
        <w:spacing w:after="40"/>
      </w:pPr>
      <w:r>
        <w:rPr>
          <w:b/>
        </w:rPr>
        <w:t>Lo que mejor funciona dentro de prisión es exactamente lo que ya haces:</w:t>
      </w:r>
      <w:r>
        <w:t xml:space="preserve"> logística ligera y logística inversa (DHL opera 18 talleres con 520 PPL y 66,000 pedidos semanales en Reino Unido), refurbish de electrónica con cliente corporativo ancla y certificación de datos (Recycling Lives procesa residuos eléctricos de BT y British Gas con hasta 250 PPL en 11 prisiones; DSA Connect/Xerox en HMP Highpoint), y "manipulados" para fabricantes (CIRE en Cataluña y TPFE en España mueven miles de internos en kits, empaque, etiquetado y retrabajos).</w:t>
      </w:r>
    </w:p>
    <w:p>
      <w:pPr>
        <w:pStyle w:val="ListBullet"/>
        <w:spacing w:after="40"/>
      </w:pPr>
      <w:r>
        <w:rPr>
          <w:b/>
        </w:rPr>
        <w:t>Lo que fracasa:</w:t>
      </w:r>
      <w:r>
        <w:t xml:space="preserve"> pasar de cosmética a desensamble sin control ambiental (UNICOR, cadmio y plomo, 2010; cinco plantas cerradas en 2016); mover una planta exterior al penal (Lockhart, Texas, 1993); productos B2C con marca visible (Whole Foods, 2015); competir con industria nacional intensiva en mano de obra en el mismo mercado (textiles de UNICOR); talleres sin custodios ni contratos (Inglaterra, 2024).</w:t>
      </w:r>
    </w:p>
    <w:p>
      <w:pPr>
        <w:pStyle w:val="ListBullet"/>
        <w:spacing w:after="40"/>
      </w:pPr>
      <w:r>
        <w:rPr>
          <w:b/>
        </w:rPr>
        <w:t>Brasil</w:t>
      </w:r>
      <w:r>
        <w:t xml:space="preserve"> (salario reducido, sin cargas, Estado pone galpón) es el esquema más parecido al tuyo y atrajo 640 empresas en Minas Gerais gracias a una gestora estatal con área comercial; Río, sin ella, tiene 12. En la CDMX esa función comercial la tienes que hacer tú.</w:t>
      </w:r>
    </w:p>
    <w:p>
      <w:pPr>
        <w:pStyle w:val="ListBullet"/>
        <w:spacing w:after="40"/>
      </w:pPr>
      <w:r>
        <w:rPr>
          <w:b/>
        </w:rPr>
        <w:t>Alemania (2023)</w:t>
      </w:r>
      <w:r>
        <w:t xml:space="preserve"> y </w:t>
      </w:r>
      <w:r>
        <w:rPr>
          <w:b/>
        </w:rPr>
        <w:t>California</w:t>
      </w:r>
      <w:r>
        <w:t xml:space="preserve"> muestran que un salario sin justificación legal explícita o con deducciones opacas termina en litigio o paros: apóyate en la LNEP y en el salario mínimo vigente, y deja por escrito la distribución del ingreso de la PPL.</w:t>
      </w:r>
    </w:p>
    <w:p>
      <w:pPr>
        <w:pStyle w:val="Heading2"/>
      </w:pPr>
      <w:r>
        <w:t>15. Fuentes y notas metodológicas</w:t>
      </w:r>
    </w:p>
    <w:p>
      <w:r>
        <w:rPr>
          <w:b/>
        </w:rPr>
        <w:t>Qué se verificó con fuentes de 2025–2026</w:t>
      </w:r>
      <w:r>
        <w:t xml:space="preserve"> (los agentes con acceso web las citan por URL en </w:t>
      </w:r>
      <w:r>
        <w:rPr>
          <w:rFonts w:ascii="Consolas" w:hAnsi="Consolas"/>
          <w:sz w:val="19"/>
        </w:rPr>
        <w:t>investigacion/</w:t>
      </w:r>
      <w:r>
        <w:t>): salario mínimo 2026 (CONASAMI/DOF 9-dic-2025), programa institucional CONASAMI 2025–2030 y propuestas para 2027; LNEP arts. 91–93 (última reforma 1-abr-2024); Ley y Reglamento de Centros Penitenciarios de la CDMX; lineamientos de ayuda económica (Gaceta 4-may-2022); boletines de la SSC sobre convenios, PPL en comisión laboral, tiendas Hazme Valer, capacitación ICAT/SEDECO y acreditación ACA de CEVASEP II; Airtrak México en el Reclusorio Norte (El Universal, 2023–2024); cifras de Totalplay 2T-2026, Megacable 2T-2026, Telmex 2025; e-commerce (AMVO EVO 2026, Hot Sale y Buen Fin 2025), devoluciones y recommerce; aranceles 2026 e importaciones (El Financiero, Expansión); T-MEC 2026; 19 U.S.C. §1307; nueva LFPDPPP; reglas de etiquetado de la SE y NOM-051 fase 3; vacantes 2026 en la zona norte; renta industrial ZMVM 2T-2026; industria penitenciaria del Estado de México (Secretaría de Seguridad Edomex); casos internacionales (UNICOR/OIG, CALPIA, PIECP, Televerde, HMPPS/NFN, DHL, Timpson, Recycling Lives, Brasil/Senappen, INPEC, Gendarmería de Chile, INPE, ENCOPE, TPFE/CIRE, Italia, BVerfG 2023).</w:t>
      </w:r>
    </w:p>
    <w:p>
      <w:r>
        <w:rPr>
          <w:b/>
        </w:rPr>
        <w:t>Qué es estimación propia</w:t>
      </w:r>
      <w:r>
        <w:t xml:space="preserve"> (y así se marca en el texto): productividad 0.80; costos indirectos de operar dentro del penal; precios por pieza, piezas por hora y márgenes de todas las líneas; volúmenes de CPE devueltos por operador; proyección del salario mínimo 2027–2030.</w:t>
      </w:r>
    </w:p>
    <w:p>
      <w:r>
        <w:rPr>
          <w:b/>
        </w:rPr>
        <w:t>Qué no se pudo verificar hoy:</w:t>
      </w:r>
      <w:r>
        <w:t xml:space="preserve"> el proxy de red bloqueó la descarga íntegra de leyes y boletines (las citas provienen de extractos indexados); varios agentes de categoría agotaron su presupuesto de búsqueda y trabajaron con conocimiento previo (textil, ensamble eléctrico, reciclaje y no convencionales lo advierten explícitamente); el agente de casos mexicanos, el tercer juez y los 16 escépticos adversariales no se ejecutaron por límite de uso, y su función la cubrí con el modelo financiero y la lectura crítica de las fichas. El porcentaje de retenciones sobre el pago a la PPL en CDMX, la afiliación al IMSS y los manuales internos de seguridad de CEVASEP II no son públicos: confirmarlos con la Subsecretaría.</w:t>
      </w: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Modelo de negocio · Taller CEVASEP II 2026–2030 · página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45A72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45A72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3A4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