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D3149"/>
          <w:sz w:val="36"/>
        </w:rPr>
        <w:t>ROWAPA – Sitemap v4 · CMS-Seiten und Anzahl</w:t>
      </w:r>
    </w:p>
    <w:p>
      <w:pPr>
        <w:spacing w:before="0" w:after="120"/>
      </w:pPr>
      <w:r>
        <w:rPr>
          <w:rFonts w:ascii="Arial" w:hAnsi="Arial"/>
          <w:b w:val="0"/>
          <w:color w:val="6A7480"/>
          <w:sz w:val="19"/>
        </w:rPr>
        <w:t>Aus dem finalen Prototyp v11 · Stand 30.09.2026 · 68 öffentliche Seiten</w:t>
      </w:r>
    </w:p>
    <w:p>
      <w:pPr>
        <w:spacing w:before="40" w:after="40"/>
      </w:pPr>
      <w:r>
        <w:rPr>
          <w:rFonts w:ascii="Arial" w:hAnsi="Arial"/>
          <w:b/>
          <w:color w:val="1D3149"/>
          <w:sz w:val="24"/>
        </w:rPr>
        <w:t>Auf einen Blick</w:t>
      </w:r>
    </w:p>
    <w:p>
      <w:pPr>
        <w:spacing w:after="80"/>
      </w:pPr>
      <w:r>
        <w:rPr>
          <w:rFonts w:ascii="Arial" w:hAnsi="Arial"/>
          <w:b/>
          <w:color w:val="6A4C93"/>
          <w:sz w:val="18"/>
        </w:rPr>
        <w:t xml:space="preserve">CMS-Seitentypen mit festen Detailseiten: </w:t>
      </w:r>
      <w:r>
        <w:rPr>
          <w:rFonts w:ascii="Arial" w:hAnsi="Arial"/>
          <w:b w:val="0"/>
          <w:color w:val="222222"/>
          <w:sz w:val="18"/>
        </w:rPr>
        <w:t xml:space="preserve">8 Typen, 37 Seiten. </w:t>
      </w:r>
      <w:r>
        <w:rPr>
          <w:rFonts w:ascii="Arial" w:hAnsi="Arial"/>
          <w:b/>
          <w:color w:val="6A4C93"/>
          <w:sz w:val="18"/>
        </w:rPr>
        <w:t xml:space="preserve">CMS-Collections (offen, wachsend): </w:t>
      </w:r>
      <w:r>
        <w:rPr>
          <w:rFonts w:ascii="Arial" w:hAnsi="Arial"/>
          <w:b w:val="0"/>
          <w:color w:val="222222"/>
          <w:sz w:val="18"/>
        </w:rPr>
        <w:t xml:space="preserve">7. </w:t>
      </w:r>
      <w:r>
        <w:rPr>
          <w:rFonts w:ascii="Arial" w:hAnsi="Arial"/>
          <w:b/>
          <w:color w:val="486EA3"/>
          <w:sz w:val="18"/>
        </w:rPr>
        <w:t xml:space="preserve">Unikat-Seiten (individuell gestaltet): </w:t>
      </w:r>
      <w:r>
        <w:rPr>
          <w:rFonts w:ascii="Arial" w:hAnsi="Arial"/>
          <w:b w:val="0"/>
          <w:color w:val="222222"/>
          <w:sz w:val="18"/>
        </w:rPr>
        <w:t>29.</w:t>
      </w:r>
    </w:p>
    <w:p>
      <w:pPr>
        <w:spacing w:after="160"/>
      </w:pPr>
      <w:r>
        <w:rPr>
          <w:rFonts w:ascii="Arial" w:hAnsi="Arial"/>
          <w:b/>
          <w:color w:val="1D3149"/>
          <w:sz w:val="18"/>
        </w:rPr>
        <w:t xml:space="preserve">Rechnung: </w:t>
      </w:r>
      <w:r>
        <w:rPr>
          <w:rFonts w:ascii="Arial" w:hAnsi="Arial"/>
          <w:b w:val="0"/>
          <w:color w:val="222222"/>
          <w:sz w:val="18"/>
        </w:rPr>
        <w:t>37 feste CMS-Detailseiten + 1 Muster-Blogartikel + 1 Muster-Case-Story + 29 Unikat = 68 Seiten. Die Collections erzeugen darüber hinaus beliebig viele Einträge (Blogartikel, Downloads, Kurse, Personen, Cases).</w:t>
      </w:r>
    </w:p>
    <w:p>
      <w:pPr>
        <w:spacing w:before="120" w:after="60"/>
      </w:pPr>
      <w:r>
        <w:rPr>
          <w:rFonts w:ascii="Arial" w:hAnsi="Arial"/>
          <w:b/>
          <w:color w:val="6A4C93"/>
          <w:sz w:val="26"/>
        </w:rPr>
        <w:t>A · CMS-Seitentypen mit festen Detailseiten (8 Typen, 37 Seiten)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8DC"/>
          <w:left w:val="single" w:sz="4" w:color="D5D8DC"/>
          <w:bottom w:val="single" w:sz="4" w:color="D5D8DC"/>
          <w:right w:val="single" w:sz="4" w:color="D5D8DC"/>
          <w:insideH w:val="single" w:sz="4" w:color="D5D8DC"/>
          <w:insideV w:val="single" w:sz="4" w:color="D5D8DC"/>
        </w:tblBorders>
      </w:tblPr>
      <w:tblGrid>
        <w:gridCol w:w="5046"/>
        <w:gridCol w:w="5046"/>
        <w:gridCol w:w="5046"/>
      </w:tblGrid>
      <w:tr>
        <w:tc>
          <w:tcPr>
            <w:tcW w:type="dxa" w:w="5046"/>
            <w:tcW w:w="3200" w:type="dxa"/>
            <w:shd w:val="clear" w:fill="1D314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CMS-Seitentyp</w:t>
            </w:r>
          </w:p>
        </w:tc>
        <w:tc>
          <w:tcPr>
            <w:tcW w:type="dxa" w:w="5046"/>
            <w:tcW w:w="900" w:type="dxa"/>
            <w:shd w:val="clear" w:fill="1D3149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Anzahl</w:t>
            </w:r>
          </w:p>
        </w:tc>
        <w:tc>
          <w:tcPr>
            <w:tcW w:type="dxa" w:w="5046"/>
            <w:tcW w:w="10500" w:type="dxa"/>
            <w:shd w:val="clear" w:fill="1D314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Detailseiten</w:t>
            </w:r>
          </w:p>
        </w:tc>
      </w:tr>
      <w:tr>
        <w:tc>
          <w:tcPr>
            <w:tcW w:type="dxa" w:w="5046"/>
            <w:tcW w:w="3200" w:type="dxa"/>
            <w:shd w:val="clear" w:fill="FBEEF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Themenlinien-Hub</w:t>
            </w:r>
          </w:p>
        </w:tc>
        <w:tc>
          <w:tcPr>
            <w:tcW w:type="dxa" w:w="5046"/>
            <w:tcW w:w="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color w:val="1D3149"/>
                <w:sz w:val="20"/>
              </w:rPr>
              <w:t>5</w:t>
            </w:r>
          </w:p>
        </w:tc>
        <w:tc>
          <w:tcPr>
            <w:tcW w:type="dxa" w:w="5046"/>
            <w:tcW w:w="105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Vertriebsperformance · Mensch &amp; Potenzial · Leadership &amp; Team · Recruiting &amp; Retention · Digitale Lösungen</w:t>
            </w:r>
          </w:p>
        </w:tc>
      </w:tr>
      <w:tr>
        <w:tc>
          <w:tcPr>
            <w:tcW w:type="dxa" w:w="5046"/>
            <w:tcW w:w="3200" w:type="dxa"/>
            <w:shd w:val="clear" w:fill="FBEEF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Hebel-/Lösungsseite</w:t>
            </w:r>
          </w:p>
        </w:tc>
        <w:tc>
          <w:tcPr>
            <w:tcW w:type="dxa" w:w="5046"/>
            <w:tcW w:w="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color w:val="1D3149"/>
                <w:sz w:val="20"/>
              </w:rPr>
              <w:t>9</w:t>
            </w:r>
          </w:p>
        </w:tc>
        <w:tc>
          <w:tcPr>
            <w:tcW w:type="dxa" w:w="5046"/>
            <w:tcW w:w="105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4 × Vertriebsperformance (bestehend) + 5 neu: Diagnostik &amp; Potenzialanalyse · Executive Coaching · Recruiting &amp; Candidate Experience · Onboarding · Mitarbeiterbindung</w:t>
            </w:r>
          </w:p>
        </w:tc>
      </w:tr>
      <w:tr>
        <w:tc>
          <w:tcPr>
            <w:tcW w:type="dxa" w:w="5046"/>
            <w:tcW w:w="3200" w:type="dxa"/>
            <w:shd w:val="clear" w:fill="FBEEF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Lösungswelt-Seite</w:t>
            </w:r>
          </w:p>
        </w:tc>
        <w:tc>
          <w:tcPr>
            <w:tcW w:type="dxa" w:w="5046"/>
            <w:tcW w:w="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color w:val="1D3149"/>
                <w:sz w:val="20"/>
              </w:rPr>
              <w:t>5</w:t>
            </w:r>
          </w:p>
        </w:tc>
        <w:tc>
          <w:tcPr>
            <w:tcW w:type="dxa" w:w="5046"/>
            <w:tcW w:w="105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Segel · Kompass · Anker · Lotse · Logbuch</w:t>
            </w:r>
          </w:p>
        </w:tc>
      </w:tr>
      <w:tr>
        <w:tc>
          <w:tcPr>
            <w:tcW w:type="dxa" w:w="5046"/>
            <w:tcW w:w="3200" w:type="dxa"/>
            <w:shd w:val="clear" w:fill="FBEEF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Kategorie-Hub (B2C)</w:t>
            </w:r>
          </w:p>
        </w:tc>
        <w:tc>
          <w:tcPr>
            <w:tcW w:type="dxa" w:w="5046"/>
            <w:tcW w:w="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color w:val="1D3149"/>
                <w:sz w:val="20"/>
              </w:rPr>
              <w:t>3</w:t>
            </w:r>
          </w:p>
        </w:tc>
        <w:tc>
          <w:tcPr>
            <w:tcW w:type="dxa" w:w="5046"/>
            <w:tcW w:w="105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Fit for Sales · Fit for Leadership · Standortbestimmung &amp; Wachstum</w:t>
            </w:r>
          </w:p>
        </w:tc>
      </w:tr>
      <w:tr>
        <w:tc>
          <w:tcPr>
            <w:tcW w:type="dxa" w:w="5046"/>
            <w:tcW w:w="3200" w:type="dxa"/>
            <w:shd w:val="clear" w:fill="FBEEF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Programm-/Angebotsseite</w:t>
            </w:r>
          </w:p>
        </w:tc>
        <w:tc>
          <w:tcPr>
            <w:tcW w:type="dxa" w:w="5046"/>
            <w:tcW w:w="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color w:val="1D3149"/>
                <w:sz w:val="20"/>
              </w:rPr>
              <w:t>6</w:t>
            </w:r>
          </w:p>
        </w:tc>
        <w:tc>
          <w:tcPr>
            <w:tcW w:type="dxa" w:w="5046"/>
            <w:tcW w:w="105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Berater-Zertifizierung · Sales-Methoden · Training on the Job · Leadership-Trainings · Coaching · Entwicklungsprogramm</w:t>
            </w:r>
          </w:p>
        </w:tc>
      </w:tr>
      <w:tr>
        <w:tc>
          <w:tcPr>
            <w:tcW w:type="dxa" w:w="5046"/>
            <w:tcW w:w="3200" w:type="dxa"/>
            <w:shd w:val="clear" w:fill="FBEEF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Mentoring-Seite</w:t>
            </w:r>
          </w:p>
        </w:tc>
        <w:tc>
          <w:tcPr>
            <w:tcW w:type="dxa" w:w="5046"/>
            <w:tcW w:w="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color w:val="1D3149"/>
                <w:sz w:val="20"/>
              </w:rPr>
              <w:t>3</w:t>
            </w:r>
          </w:p>
        </w:tc>
        <w:tc>
          <w:tcPr>
            <w:tcW w:type="dxa" w:w="5046"/>
            <w:tcW w:w="105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Sales-Mentoring · Leadership-Mentoring · Persönliches Mentoring (eine Vorlage, drei Kontexte)</w:t>
            </w:r>
          </w:p>
        </w:tc>
      </w:tr>
      <w:tr>
        <w:tc>
          <w:tcPr>
            <w:tcW w:type="dxa" w:w="5046"/>
            <w:tcW w:w="3200" w:type="dxa"/>
            <w:shd w:val="clear" w:fill="FBEEF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Selbstcheck-Seite</w:t>
            </w:r>
          </w:p>
        </w:tc>
        <w:tc>
          <w:tcPr>
            <w:tcW w:type="dxa" w:w="5046"/>
            <w:tcW w:w="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color w:val="1D3149"/>
                <w:sz w:val="20"/>
              </w:rPr>
              <w:t>3</w:t>
            </w:r>
          </w:p>
        </w:tc>
        <w:tc>
          <w:tcPr>
            <w:tcW w:type="dxa" w:w="5046"/>
            <w:tcW w:w="105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SalesStep · Reiss-Profil · Bluquist (B2C-Produkt)</w:t>
            </w:r>
          </w:p>
        </w:tc>
      </w:tr>
      <w:tr>
        <w:tc>
          <w:tcPr>
            <w:tcW w:type="dxa" w:w="5046"/>
            <w:tcW w:w="3200" w:type="dxa"/>
            <w:shd w:val="clear" w:fill="FBEEF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Partnerrolle-Seite</w:t>
            </w:r>
          </w:p>
        </w:tc>
        <w:tc>
          <w:tcPr>
            <w:tcW w:type="dxa" w:w="5046"/>
            <w:tcW w:w="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color w:val="1D3149"/>
                <w:sz w:val="20"/>
              </w:rPr>
              <w:t>3</w:t>
            </w:r>
          </w:p>
        </w:tc>
        <w:tc>
          <w:tcPr>
            <w:tcW w:type="dxa" w:w="5046"/>
            <w:tcW w:w="105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Managing Partner · Education Partner · Trainer Academy</w:t>
            </w:r>
          </w:p>
        </w:tc>
      </w:tr>
      <w:tr>
        <w:tc>
          <w:tcPr>
            <w:tcW w:type="dxa" w:w="5046"/>
            <w:tcW w:w="3200" w:type="dxa"/>
            <w:shd w:val="clear" w:fill="E8E9E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1D3149"/>
                <w:sz w:val="19"/>
              </w:rPr>
              <w:t>Summe feste CMS-Detailseiten</w:t>
            </w:r>
          </w:p>
        </w:tc>
        <w:tc>
          <w:tcPr>
            <w:tcW w:type="dxa" w:w="5046"/>
            <w:tcW w:w="900" w:type="dxa"/>
            <w:shd w:val="clear" w:fill="E8E9E9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color w:val="AA1351"/>
                <w:sz w:val="22"/>
              </w:rPr>
              <w:t>37</w:t>
            </w:r>
          </w:p>
        </w:tc>
        <w:tc>
          <w:tcPr>
            <w:tcW w:type="dxa" w:w="5046"/>
            <w:tcW w:w="10500" w:type="dxa"/>
            <w:shd w:val="clear" w:fill="E8E9E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6A7480"/>
                <w:sz w:val="17"/>
              </w:rPr>
              <w:t>aus 8 Vorlagen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6A4C93"/>
          <w:sz w:val="26"/>
        </w:rPr>
        <w:t>B · CMS-Collections (offen, wachsend, 7)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8DC"/>
          <w:left w:val="single" w:sz="4" w:color="D5D8DC"/>
          <w:bottom w:val="single" w:sz="4" w:color="D5D8DC"/>
          <w:right w:val="single" w:sz="4" w:color="D5D8DC"/>
          <w:insideH w:val="single" w:sz="4" w:color="D5D8DC"/>
          <w:insideV w:val="single" w:sz="4" w:color="D5D8DC"/>
        </w:tblBorders>
      </w:tblPr>
      <w:tblGrid>
        <w:gridCol w:w="5046"/>
        <w:gridCol w:w="5046"/>
        <w:gridCol w:w="5046"/>
      </w:tblGrid>
      <w:tr>
        <w:tc>
          <w:tcPr>
            <w:tcW w:type="dxa" w:w="5046"/>
            <w:tcW w:w="3200" w:type="dxa"/>
            <w:shd w:val="clear" w:fill="1D314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5046"/>
            <w:tcW w:w="2400" w:type="dxa"/>
            <w:shd w:val="clear" w:fill="1D314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Umfang</w:t>
            </w:r>
          </w:p>
        </w:tc>
        <w:tc>
          <w:tcPr>
            <w:tcW w:type="dxa" w:w="5046"/>
            <w:tcW w:w="9000" w:type="dxa"/>
            <w:shd w:val="clear" w:fill="1D314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Speist</w:t>
            </w:r>
          </w:p>
        </w:tc>
      </w:tr>
      <w:tr>
        <w:tc>
          <w:tcPr>
            <w:tcW w:type="dxa" w:w="5046"/>
            <w:tcW w:w="3200" w:type="dxa"/>
            <w:shd w:val="clear" w:fill="F3EE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Blog-Artikel</w:t>
            </w:r>
          </w:p>
        </w:tc>
        <w:tc>
          <w:tcPr>
            <w:tcW w:type="dxa" w:w="5046"/>
            <w:tcW w:w="24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~58 Bestand + neue</w:t>
            </w:r>
          </w:p>
        </w:tc>
        <w:tc>
          <w:tcPr>
            <w:tcW w:type="dxa" w:w="5046"/>
            <w:tcW w:w="90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Über uns · Wissen &amp; Impulse (1 Muster-Artikel im Prototyp)</w:t>
            </w:r>
          </w:p>
        </w:tc>
      </w:tr>
      <w:tr>
        <w:tc>
          <w:tcPr>
            <w:tcW w:type="dxa" w:w="5046"/>
            <w:tcW w:w="3200" w:type="dxa"/>
            <w:shd w:val="clear" w:fill="F3EE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Download</w:t>
            </w:r>
          </w:p>
        </w:tc>
        <w:tc>
          <w:tcPr>
            <w:tcW w:type="dxa" w:w="5046"/>
            <w:tcW w:w="24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~16</w:t>
            </w:r>
          </w:p>
        </w:tc>
        <w:tc>
          <w:tcPr>
            <w:tcW w:type="dxa" w:w="5046"/>
            <w:tcW w:w="90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Über uns · Wissen &amp; Impulse</w:t>
            </w:r>
          </w:p>
        </w:tc>
      </w:tr>
      <w:tr>
        <w:tc>
          <w:tcPr>
            <w:tcW w:type="dxa" w:w="5046"/>
            <w:tcW w:w="3200" w:type="dxa"/>
            <w:shd w:val="clear" w:fill="F3EE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Webinar</w:t>
            </w:r>
          </w:p>
        </w:tc>
        <w:tc>
          <w:tcPr>
            <w:tcW w:type="dxa" w:w="5046"/>
            <w:tcW w:w="24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laufend</w:t>
            </w:r>
          </w:p>
        </w:tc>
        <w:tc>
          <w:tcPr>
            <w:tcW w:type="dxa" w:w="5046"/>
            <w:tcW w:w="90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Über uns · Wissen &amp; Impulse</w:t>
            </w:r>
          </w:p>
        </w:tc>
      </w:tr>
      <w:tr>
        <w:tc>
          <w:tcPr>
            <w:tcW w:type="dxa" w:w="5046"/>
            <w:tcW w:w="3200" w:type="dxa"/>
            <w:shd w:val="clear" w:fill="F3EE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Video / ROWAPA TV</w:t>
            </w:r>
          </w:p>
        </w:tc>
        <w:tc>
          <w:tcPr>
            <w:tcW w:type="dxa" w:w="5046"/>
            <w:tcW w:w="24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laufend</w:t>
            </w:r>
          </w:p>
        </w:tc>
        <w:tc>
          <w:tcPr>
            <w:tcW w:type="dxa" w:w="5046"/>
            <w:tcW w:w="90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Über uns · Wissen &amp; Impulse</w:t>
            </w:r>
          </w:p>
        </w:tc>
      </w:tr>
      <w:tr>
        <w:tc>
          <w:tcPr>
            <w:tcW w:type="dxa" w:w="5046"/>
            <w:tcW w:w="3200" w:type="dxa"/>
            <w:shd w:val="clear" w:fill="F3EE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Kurs &amp; Termin</w:t>
            </w:r>
          </w:p>
        </w:tc>
        <w:tc>
          <w:tcPr>
            <w:tcW w:type="dxa" w:w="5046"/>
            <w:tcW w:w="24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laufend</w:t>
            </w:r>
          </w:p>
        </w:tc>
        <w:tc>
          <w:tcPr>
            <w:tcW w:type="dxa" w:w="5046"/>
            <w:tcW w:w="90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Broker Excellence · Kurse &amp; Termine</w:t>
            </w:r>
          </w:p>
        </w:tc>
      </w:tr>
      <w:tr>
        <w:tc>
          <w:tcPr>
            <w:tcW w:type="dxa" w:w="5046"/>
            <w:tcW w:w="3200" w:type="dxa"/>
            <w:shd w:val="clear" w:fill="F3EE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Person / Dozent</w:t>
            </w:r>
          </w:p>
        </w:tc>
        <w:tc>
          <w:tcPr>
            <w:tcW w:type="dxa" w:w="5046"/>
            <w:tcW w:w="24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Team + Dozenten</w:t>
            </w:r>
          </w:p>
        </w:tc>
        <w:tc>
          <w:tcPr>
            <w:tcW w:type="dxa" w:w="5046"/>
            <w:tcW w:w="90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Über uns · Team; Broker-Dozenten; Female-Dozentinnen</w:t>
            </w:r>
          </w:p>
        </w:tc>
      </w:tr>
      <w:tr>
        <w:tc>
          <w:tcPr>
            <w:tcW w:type="dxa" w:w="5046"/>
            <w:tcW w:w="3200" w:type="dxa"/>
            <w:shd w:val="clear" w:fill="F3EE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6A4C93"/>
                <w:sz w:val="18"/>
              </w:rPr>
              <w:t>Referenz / Case-Story</w:t>
            </w:r>
          </w:p>
        </w:tc>
        <w:tc>
          <w:tcPr>
            <w:tcW w:type="dxa" w:w="5046"/>
            <w:tcW w:w="24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2–3 zum Start</w:t>
            </w:r>
          </w:p>
        </w:tc>
        <w:tc>
          <w:tcPr>
            <w:tcW w:type="dxa" w:w="5046"/>
            <w:tcW w:w="90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Unsere Kunden (Real Cases, 1 Muster-Case im Prototyp), auch auf Themenseiten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color w:val="6A7480"/>
          <w:sz w:val="17"/>
        </w:rPr>
        <w:t>Collections erzeugen viele Einträge aus je einer Vorlage. Im Prototyp sind die Übersichtsseiten (Blog, Downloads, Webinare, TV, Kurse, Team) als Unikat angelegt; die Einträge dahinter laufen über die Collection.</w:t>
      </w:r>
    </w:p>
    <w:p>
      <w:pPr>
        <w:spacing w:before="160" w:after="60"/>
      </w:pPr>
      <w:r>
        <w:rPr>
          <w:rFonts w:ascii="Arial" w:hAnsi="Arial"/>
          <w:b/>
          <w:color w:val="486EA3"/>
          <w:sz w:val="26"/>
        </w:rPr>
        <w:t>C · Unikat-Seiten (individuell gestaltet, 29)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8DC"/>
          <w:left w:val="single" w:sz="4" w:color="D5D8DC"/>
          <w:bottom w:val="single" w:sz="4" w:color="D5D8DC"/>
          <w:right w:val="single" w:sz="4" w:color="D5D8DC"/>
          <w:insideH w:val="single" w:sz="4" w:color="D5D8DC"/>
          <w:insideV w:val="single" w:sz="4" w:color="D5D8DC"/>
        </w:tblBorders>
      </w:tblPr>
      <w:tblGrid>
        <w:gridCol w:w="7569"/>
        <w:gridCol w:w="7569"/>
      </w:tblGrid>
      <w:tr>
        <w:tc>
          <w:tcPr>
            <w:tcW w:type="dxa" w:w="7569"/>
            <w:tcW w:w="3000" w:type="dxa"/>
            <w:shd w:val="clear" w:fill="1D314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Menü-Bereich</w:t>
            </w:r>
          </w:p>
        </w:tc>
        <w:tc>
          <w:tcPr>
            <w:tcW w:type="dxa" w:w="7569"/>
            <w:tcW w:w="12600" w:type="dxa"/>
            <w:shd w:val="clear" w:fill="1D314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Unikat-Seiten</w:t>
            </w:r>
          </w:p>
        </w:tc>
      </w:tr>
      <w:tr>
        <w:tc>
          <w:tcPr>
            <w:tcW w:type="dxa" w:w="7569"/>
            <w:tcW w:w="3000" w:type="dxa"/>
            <w:shd w:val="clear" w:fill="EAF2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486EA3"/>
                <w:sz w:val="18"/>
              </w:rPr>
              <w:t>Home</w:t>
            </w:r>
          </w:p>
        </w:tc>
        <w:tc>
          <w:tcPr>
            <w:tcW w:type="dxa" w:w="7569"/>
            <w:tcW w:w="126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Home</w:t>
            </w:r>
          </w:p>
        </w:tc>
      </w:tr>
      <w:tr>
        <w:tc>
          <w:tcPr>
            <w:tcW w:type="dxa" w:w="7569"/>
            <w:tcW w:w="3000" w:type="dxa"/>
            <w:shd w:val="clear" w:fill="EAF2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486EA3"/>
                <w:sz w:val="18"/>
              </w:rPr>
              <w:t>Was wir tun</w:t>
            </w:r>
          </w:p>
        </w:tc>
        <w:tc>
          <w:tcPr>
            <w:tcW w:type="dxa" w:w="7569"/>
            <w:tcW w:w="126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Für Organisationen (Übersicht) · Meine persönliche Entwicklung (Übersicht)</w:t>
            </w:r>
          </w:p>
        </w:tc>
      </w:tr>
      <w:tr>
        <w:tc>
          <w:tcPr>
            <w:tcW w:type="dxa" w:w="7569"/>
            <w:tcW w:w="3000" w:type="dxa"/>
            <w:shd w:val="clear" w:fill="EAF2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486EA3"/>
                <w:sz w:val="18"/>
              </w:rPr>
              <w:t>Fokusprogramme</w:t>
            </w:r>
          </w:p>
        </w:tc>
        <w:tc>
          <w:tcPr>
            <w:tcW w:type="dxa" w:w="7569"/>
            <w:tcW w:w="126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Broker Excellence (Hub) · Für Brokerfirmen · Für einzelne Broker · Kurse-Übersicht · Dozenten-Übersicht · Female Empowerment (Hub) · SOUVERÄN ICH · Keynotes für Unternehmen · Dozentinnen-Übersicht</w:t>
            </w:r>
          </w:p>
        </w:tc>
      </w:tr>
      <w:tr>
        <w:tc>
          <w:tcPr>
            <w:tcW w:type="dxa" w:w="7569"/>
            <w:tcW w:w="3000" w:type="dxa"/>
            <w:shd w:val="clear" w:fill="EAF2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486EA3"/>
                <w:sz w:val="18"/>
              </w:rPr>
              <w:t>Meine persönliche Entwicklung</w:t>
            </w:r>
          </w:p>
        </w:tc>
        <w:tc>
          <w:tcPr>
            <w:tcW w:type="dxa" w:w="7569"/>
            <w:tcW w:w="126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CAS Leadership (Flagship) · Selbstchecks (Übersicht) · E-Learnings · Persönliche Beratung</w:t>
            </w:r>
          </w:p>
        </w:tc>
      </w:tr>
      <w:tr>
        <w:tc>
          <w:tcPr>
            <w:tcW w:type="dxa" w:w="7569"/>
            <w:tcW w:w="3000" w:type="dxa"/>
            <w:shd w:val="clear" w:fill="EAF2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486EA3"/>
                <w:sz w:val="18"/>
              </w:rPr>
              <w:t>So arbeiten wir</w:t>
            </w:r>
          </w:p>
        </w:tc>
        <w:tc>
          <w:tcPr>
            <w:tcW w:type="dxa" w:w="7569"/>
            <w:tcW w:w="126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So arbeiten wir · Tools &amp; Methoden</w:t>
            </w:r>
          </w:p>
        </w:tc>
      </w:tr>
      <w:tr>
        <w:tc>
          <w:tcPr>
            <w:tcW w:type="dxa" w:w="7569"/>
            <w:tcW w:w="3000" w:type="dxa"/>
            <w:shd w:val="clear" w:fill="EAF2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486EA3"/>
                <w:sz w:val="18"/>
              </w:rPr>
              <w:t>Unsere Kunden</w:t>
            </w:r>
          </w:p>
        </w:tc>
        <w:tc>
          <w:tcPr>
            <w:tcW w:type="dxa" w:w="7569"/>
            <w:tcW w:w="126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Unsere Kunden</w:t>
            </w:r>
          </w:p>
        </w:tc>
      </w:tr>
      <w:tr>
        <w:tc>
          <w:tcPr>
            <w:tcW w:type="dxa" w:w="7569"/>
            <w:tcW w:w="3000" w:type="dxa"/>
            <w:shd w:val="clear" w:fill="EAF2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486EA3"/>
                <w:sz w:val="18"/>
              </w:rPr>
              <w:t>Über uns</w:t>
            </w:r>
          </w:p>
        </w:tc>
        <w:tc>
          <w:tcPr>
            <w:tcW w:type="dxa" w:w="7569"/>
            <w:tcW w:w="126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Über uns · Team (Übersicht) · Kontakt · Wissen &amp; Impulse (Übersicht) · Blog-Übersicht · Downloads-Übersicht · Webinare-Übersicht · ROWAPA TV-Übersicht</w:t>
            </w:r>
          </w:p>
        </w:tc>
      </w:tr>
      <w:tr>
        <w:tc>
          <w:tcPr>
            <w:tcW w:type="dxa" w:w="7569"/>
            <w:tcW w:w="3000" w:type="dxa"/>
            <w:shd w:val="clear" w:fill="EAF2F9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486EA3"/>
                <w:sz w:val="18"/>
              </w:rPr>
              <w:t>Partner werden</w:t>
            </w:r>
          </w:p>
        </w:tc>
        <w:tc>
          <w:tcPr>
            <w:tcW w:type="dxa" w:w="7569"/>
            <w:tcW w:w="126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333333"/>
                <w:sz w:val="17"/>
              </w:rPr>
              <w:t>Partner werden (Übersicht) · Partner &amp; Kooperationen</w:t>
            </w:r>
          </w:p>
        </w:tc>
      </w:tr>
    </w:tbl>
    <w:p>
      <w:pPr>
        <w:spacing w:after="0"/>
      </w:pPr>
      <w:r>
        <w:rPr>
          <w:rFonts w:ascii="Arial" w:hAnsi="Arial"/>
          <w:b/>
          <w:color w:val="1D3149"/>
          <w:sz w:val="17"/>
        </w:rPr>
        <w:t xml:space="preserve">Hinweis: </w:t>
      </w:r>
      <w:r>
        <w:rPr>
          <w:rFonts w:ascii="Arial" w:hAnsi="Arial"/>
          <w:b w:val="0"/>
          <w:color w:val="6A7480"/>
          <w:sz w:val="17"/>
        </w:rPr>
        <w:t>Diese Aufteilung ist die Grundlage für die Aufwand- und Preisschätzung mit der Agentur. Beide Angebote (IPD, Cluma) rechnen mit 15 bis 20 Seitentypen. Hier: 8 feste CMS-Typen + 7 Collections = 15 Vorlagen, plus 29 Unikat-Seiten.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640B48849D12B4EBBE3E0B326FF64A8" ma:contentTypeVersion="16" ma:contentTypeDescription="Ein neues Dokument erstellen." ma:contentTypeScope="" ma:versionID="f62622590910b0c95530dbd0922234d2">
  <xsd:schema xmlns:xsd="http://www.w3.org/2001/XMLSchema" xmlns:xs="http://www.w3.org/2001/XMLSchema" xmlns:p="http://schemas.microsoft.com/office/2006/metadata/properties" xmlns:ns2="d0a85c0c-1987-4550-883e-72cfe448937c" xmlns:ns3="bf975b40-821a-48d0-a0b3-170ffccc6d87" targetNamespace="http://schemas.microsoft.com/office/2006/metadata/properties" ma:root="true" ma:fieldsID="c139af89b9aa02da521c4108ed04c93d" ns2:_="" ns3:_="">
    <xsd:import namespace="d0a85c0c-1987-4550-883e-72cfe448937c"/>
    <xsd:import namespace="bf975b40-821a-48d0-a0b3-170ffccc6d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85c0c-1987-4550-883e-72cfe44893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276d50f9-e8fb-4064-9e80-e4ac580c5f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975b40-821a-48d0-a0b3-170ffccc6d8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2bc2046-a48e-4abe-a371-690ed7203d61}" ma:internalName="TaxCatchAll" ma:showField="CatchAllData" ma:web="bf975b40-821a-48d0-a0b3-170ffccc6d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a85c0c-1987-4550-883e-72cfe448937c">
      <Terms xmlns="http://schemas.microsoft.com/office/infopath/2007/PartnerControls"/>
    </lcf76f155ced4ddcb4097134ff3c332f>
    <TaxCatchAll xmlns="bf975b40-821a-48d0-a0b3-170ffccc6d8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5A0694-02F7-4FC9-BF0D-1CC1A4415499}"/>
</file>

<file path=customXml/itemProps3.xml><?xml version="1.0" encoding="utf-8"?>
<ds:datastoreItem xmlns:ds="http://schemas.openxmlformats.org/officeDocument/2006/customXml" ds:itemID="{84B2798D-F81B-4B76-B0D2-E2BF65194437}"/>
</file>

<file path=customXml/itemProps4.xml><?xml version="1.0" encoding="utf-8"?>
<ds:datastoreItem xmlns:ds="http://schemas.openxmlformats.org/officeDocument/2006/customXml" ds:itemID="{CFF5716B-EB3C-462F-A71E-4C255DBF7B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0x0101000640B48849D12B4EBBE3E0B326FF64A8</vt:lpwstr>
  </property>
</Properties>
</file>