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40AF"/>
          <w:sz w:val="44"/>
        </w:rPr>
        <w:t>Big Data Computing — DA-2 Report</w:t>
      </w:r>
    </w:p>
    <w:p/>
    <w:p>
      <w:pPr>
        <w:jc w:val="center"/>
      </w:pPr>
      <w:r>
        <w:rPr>
          <w:b/>
          <w:color w:val="0F172A"/>
          <w:sz w:val="32"/>
        </w:rPr>
        <w:t>Microplastic Pollution Hotspot Prediction</w:t>
        <w:br/>
        <w:t>Using Apache PySpark Big Data Pipeline,</w:t>
        <w:br/>
        <w:t>Two-Layer Machine Learning &amp; Graph Network Analytics</w:t>
      </w:r>
    </w:p>
    <w:p/>
    <w:p>
      <w:pPr>
        <w:spacing w:after="120" w:before="40"/>
        <w:jc w:val="center"/>
      </w:pPr>
      <w:r>
        <w:rPr>
          <w:b w:val="0"/>
          <w:i/>
          <w:color w:val="64748B"/>
          <w:sz w:val="22"/>
        </w:rPr>
        <w:t>Department of Computer Science and Engineering (AI &amp; ML)</w:t>
        <w:br/>
        <w:t>School of Computing Sciences and Engineering</w:t>
        <w:br/>
        <w:t>VIT Chennai — April 2026</w:t>
      </w:r>
    </w:p>
    <w:p/>
    <w:p/>
    <w:p>
      <w:pPr>
        <w:jc w:val="center"/>
      </w:pPr>
      <w:r>
        <w:rPr>
          <w:b/>
          <w:color w:val="1E40AF"/>
          <w:sz w:val="26"/>
        </w:rPr>
        <w:t>Team Members</w:t>
      </w:r>
    </w:p>
    <w:p>
      <w:pPr>
        <w:pBdr>
          <w:bottom w:val="single" w:sz="4" w:space="1" w:color="3B82F6"/>
        </w:pBdr>
        <w:spacing w:before="80" w:after="80"/>
      </w:pP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BEAFE"/>
          </w:tcPr>
          <w:p>
            <w:pPr>
              <w:jc w:val="center"/>
            </w:pPr>
            <w:r>
              <w:rPr>
                <w:b/>
                <w:sz w:val="22"/>
              </w:rPr>
              <w:t>S.No</w:t>
            </w:r>
          </w:p>
        </w:tc>
        <w:tc>
          <w:tcPr>
            <w:tcW w:type="dxa" w:w="3022"/>
            <w:shd w:val="clear" w:color="auto" w:fill="DBEAFE"/>
          </w:tcPr>
          <w:p>
            <w:pPr>
              <w:jc w:val="center"/>
            </w:pPr>
            <w:r>
              <w:rPr>
                <w:b/>
                <w:sz w:val="22"/>
              </w:rPr>
              <w:t>Student Name</w:t>
            </w:r>
          </w:p>
        </w:tc>
        <w:tc>
          <w:tcPr>
            <w:tcW w:type="dxa" w:w="3022"/>
            <w:shd w:val="clear" w:color="auto" w:fill="DBEAFE"/>
          </w:tcPr>
          <w:p>
            <w:pPr>
              <w:jc w:val="center"/>
            </w:pPr>
            <w:r>
              <w:rPr>
                <w:b/>
                <w:sz w:val="22"/>
              </w:rPr>
              <w:t>Register Number</w:t>
            </w:r>
          </w:p>
        </w:tc>
      </w:tr>
      <w:tr>
        <w:tc>
          <w:tcPr>
            <w:tcW w:type="dxa" w:w="3022"/>
          </w:tcPr>
          <w:p>
            <w:pPr>
              <w:jc w:val="center"/>
            </w:pPr>
            <w:r>
              <w:rPr>
                <w:sz w:val="22"/>
              </w:rPr>
              <w:t>1</w:t>
            </w:r>
          </w:p>
        </w:tc>
        <w:tc>
          <w:tcPr>
            <w:tcW w:type="dxa" w:w="3022"/>
          </w:tcPr>
          <w:p>
            <w:pPr>
              <w:jc w:val="center"/>
            </w:pPr>
            <w:r>
              <w:rPr>
                <w:sz w:val="22"/>
              </w:rPr>
              <w:t>Rohith Thayalan</w:t>
            </w:r>
          </w:p>
        </w:tc>
        <w:tc>
          <w:tcPr>
            <w:tcW w:type="dxa" w:w="3022"/>
          </w:tcPr>
          <w:p>
            <w:pPr>
              <w:jc w:val="center"/>
            </w:pPr>
            <w:r>
              <w:rPr>
                <w:sz w:val="22"/>
              </w:rPr>
              <w:t>23MIA1104</w:t>
            </w:r>
          </w:p>
        </w:tc>
      </w:tr>
      <w:tr>
        <w:tc>
          <w:tcPr>
            <w:tcW w:type="dxa" w:w="3022"/>
          </w:tcPr>
          <w:p>
            <w:pPr>
              <w:jc w:val="center"/>
            </w:pPr>
            <w:r>
              <w:rPr>
                <w:sz w:val="22"/>
              </w:rPr>
              <w:t>2</w:t>
            </w:r>
          </w:p>
        </w:tc>
        <w:tc>
          <w:tcPr>
            <w:tcW w:type="dxa" w:w="3022"/>
          </w:tcPr>
          <w:p>
            <w:pPr>
              <w:jc w:val="center"/>
            </w:pPr>
            <w:r>
              <w:rPr>
                <w:sz w:val="22"/>
              </w:rPr>
              <w:t>Sandeep</w:t>
            </w:r>
          </w:p>
        </w:tc>
        <w:tc>
          <w:tcPr>
            <w:tcW w:type="dxa" w:w="3022"/>
          </w:tcPr>
          <w:p>
            <w:pPr>
              <w:jc w:val="center"/>
            </w:pPr>
            <w:r>
              <w:rPr>
                <w:sz w:val="22"/>
              </w:rPr>
              <w:t>23MIA1040</w:t>
            </w:r>
          </w:p>
        </w:tc>
      </w:tr>
      <w:tr>
        <w:tc>
          <w:tcPr>
            <w:tcW w:type="dxa" w:w="3022"/>
          </w:tcPr>
          <w:p>
            <w:pPr>
              <w:jc w:val="center"/>
            </w:pPr>
            <w:r>
              <w:rPr>
                <w:sz w:val="22"/>
              </w:rPr>
              <w:t>3</w:t>
            </w:r>
          </w:p>
        </w:tc>
        <w:tc>
          <w:tcPr>
            <w:tcW w:type="dxa" w:w="3022"/>
          </w:tcPr>
          <w:p>
            <w:pPr>
              <w:jc w:val="center"/>
            </w:pPr>
            <w:r>
              <w:rPr>
                <w:sz w:val="22"/>
              </w:rPr>
              <w:t>Sastika</w:t>
            </w:r>
          </w:p>
        </w:tc>
        <w:tc>
          <w:tcPr>
            <w:tcW w:type="dxa" w:w="3022"/>
          </w:tcPr>
          <w:p>
            <w:pPr>
              <w:jc w:val="center"/>
            </w:pPr>
            <w:r>
              <w:rPr>
                <w:sz w:val="22"/>
              </w:rPr>
              <w:t>23MIA1047</w:t>
            </w:r>
          </w:p>
        </w:tc>
      </w:tr>
    </w:tbl>
    <w:p>
      <w:r>
        <w:br w:type="page"/>
      </w:r>
    </w:p>
    <w:p>
      <w:pPr>
        <w:spacing w:before="280" w:after="80"/>
      </w:pPr>
      <w:r>
        <w:rPr>
          <w:b/>
          <w:color w:val="1E40AF"/>
          <w:sz w:val="28"/>
        </w:rPr>
        <w:t>1. Abstract</w:t>
      </w:r>
    </w:p>
    <w:p>
      <w:pPr>
        <w:pBdr>
          <w:bottom w:val="single" w:sz="4" w:space="1" w:color="3B82F6"/>
        </w:pBdr>
        <w:spacing w:before="80" w:after="80"/>
      </w:pPr>
    </w:p>
    <w:p>
      <w:pPr>
        <w:spacing w:after="100" w:before="40"/>
        <w:jc w:val="left"/>
      </w:pPr>
      <w:r>
        <w:rPr>
          <w:b w:val="0"/>
          <w:i w:val="0"/>
          <w:sz w:val="22"/>
        </w:rPr>
        <w:t>Ocean microplastic pollution has emerged as one of the most critical environmental crises of the 21st century, threatening marine ecosystems, food chains, and human health. Traditional monitoring methods relying on manual vessel sampling are geographically sparse, time-lagged, and economically prohibitive at scale. This report presents a comprehensive Big Data Analytics system for predicting and explaining microplastic pollution hotspots in ocean environments.</w:t>
      </w:r>
    </w:p>
    <w:p>
      <w:pPr>
        <w:spacing w:after="100" w:before="40"/>
        <w:jc w:val="left"/>
      </w:pPr>
      <w:r>
        <w:rPr>
          <w:b w:val="0"/>
          <w:i w:val="0"/>
          <w:sz w:val="22"/>
        </w:rPr>
        <w:t>The system integrates three major technical innovations: (1) a distributed Apache PySpark pipeline processing 100,000+ ocean sensor records simulating NOAA buoy and Copernicus satellite sources; (2) a Two-Layer Machine Learning Architecture combining unsupervised KMeans spatial clustering with a supervised Random Forest Classifier enhanced by a 30-day spatio-temporal rolling window feature; and (3) a novel Graph Network Analytics module that models ocean grid cells as a spatial proximity network to compute PageRank influence scores, betweenness centrality, and Louvain community detection for identifying systemic high-risk zones beyond traditional tabular ML capabilities.</w:t>
      </w:r>
    </w:p>
    <w:p>
      <w:pPr>
        <w:spacing w:after="100" w:before="40"/>
        <w:jc w:val="left"/>
      </w:pPr>
      <w:r>
        <w:rPr>
          <w:b w:val="0"/>
          <w:i w:val="0"/>
          <w:sz w:val="22"/>
        </w:rPr>
        <w:t>Experimental results demonstrate a Random Forest classification accuracy of 81.12%, a KMeans silhouette score of 0.169, identification of 513 hotspot zones from the predicted sample, and graph analytics revealing 110 critical-tier network nodes with an average pollution propagation path length of 10.33 hops. The system is deployed as a real-time Streamlit dashboard enabling environmental organisations to make data-driven intervention decisions.</w:t>
      </w:r>
    </w:p>
    <w:p>
      <w:pPr>
        <w:spacing w:after="120" w:before="40"/>
        <w:jc w:val="left"/>
      </w:pPr>
      <w:r>
        <w:rPr>
          <w:b w:val="0"/>
          <w:i/>
          <w:color w:val="64748B"/>
          <w:sz w:val="20"/>
        </w:rPr>
        <w:t>Keywords: Microplastic Pollution, Apache PySpark, Big Data, KMeans Clustering, Random Forest, Graph Analytics, PageRank, Ocean Gyres, Hotspot Prediction.</w:t>
      </w:r>
    </w:p>
    <w:p/>
    <w:p>
      <w:pPr>
        <w:spacing w:before="280" w:after="80"/>
      </w:pPr>
      <w:r>
        <w:rPr>
          <w:b/>
          <w:color w:val="1E40AF"/>
          <w:sz w:val="28"/>
        </w:rPr>
        <w:t>2. Introduction</w:t>
      </w:r>
    </w:p>
    <w:p>
      <w:pPr>
        <w:pBdr>
          <w:bottom w:val="single" w:sz="4" w:space="1" w:color="3B82F6"/>
        </w:pBdr>
        <w:spacing w:before="80" w:after="80"/>
      </w:pPr>
    </w:p>
    <w:p>
      <w:pPr>
        <w:spacing w:after="120" w:before="40"/>
        <w:jc w:val="left"/>
      </w:pPr>
      <w:r>
        <w:rPr>
          <w:b w:val="0"/>
          <w:i w:val="0"/>
          <w:sz w:val="22"/>
        </w:rPr>
        <w:t>Microplastics — plastic fragments smaller than 5mm — enter the ocean from multiple anthropogenic sources including river runoff, atmospheric deposition, and direct marine littering. Once in the ocean, they are transported globally by surface currents, wind stress, and thermohaline circulation, ultimately concentrating into five major oceanic accumulation zones known as gyres: the North Pacific, South Pacific, North Atlantic, South Atlantic, and Indian Ocean garbage patches.</w:t>
      </w:r>
    </w:p>
    <w:p>
      <w:pPr>
        <w:spacing w:after="120" w:before="40"/>
        <w:jc w:val="left"/>
      </w:pPr>
      <w:r>
        <w:rPr>
          <w:b w:val="0"/>
          <w:i w:val="0"/>
          <w:sz w:val="22"/>
        </w:rPr>
        <w:t>The scale of data required to monitor and predict this global phenomenon is immense. The National Oceanic and Atmospheric Administration (NOAA) alone generates terabytes of ocean buoy telemetry daily, while the Copernicus Marine Service provides high-resolution satellite-derived ocean parameter datasets. Standard data science tools built on single-machine frameworks (e.g., Pandas + Scikit-Learn) cannot process these datasets efficiently. This motivates the use of distributed Big Data processing frameworks such as Apache Spark (PySpark).</w:t>
      </w:r>
    </w:p>
    <w:p>
      <w:pPr>
        <w:spacing w:after="120" w:before="40"/>
        <w:jc w:val="left"/>
      </w:pPr>
      <w:r>
        <w:rPr>
          <w:b w:val="0"/>
          <w:i w:val="0"/>
          <w:sz w:val="22"/>
        </w:rPr>
        <w:t>Furthermore, classical machine learning models treat each ocean sensor reading as an independent data point, ignoring the fundamentally relational and network nature of ocean currents — the primary mechanism of plastic transport. Graph-theoretic approaches that model the ocean as a connected network of grid cells can reveal systemic vulnerabilities (bridge nodes), influence pathways (PageRank), and natural pollution communities that tabular ML cannot detect.</w:t>
      </w:r>
    </w:p>
    <w:p>
      <w:pPr>
        <w:spacing w:after="120" w:before="40"/>
        <w:jc w:val="left"/>
      </w:pPr>
      <w:r>
        <w:rPr>
          <w:b w:val="0"/>
          <w:i w:val="0"/>
          <w:sz w:val="22"/>
        </w:rPr>
        <w:t>This project addresses these gaps by constructing an end-to-end Big Data pipeline that spans distributed data ingestion, spatio-temporal feature engineering, two-layer ML prediction, graph network analysis, and an interactive real-time dashboard. The system is designed to be instantly deployable on cloud platforms such as AWS EMR or Databricks without code modification.</w:t>
      </w:r>
    </w:p>
    <w:p>
      <w:pPr>
        <w:spacing w:before="280" w:after="80"/>
      </w:pPr>
      <w:r>
        <w:rPr>
          <w:b/>
          <w:color w:val="1E40AF"/>
          <w:sz w:val="28"/>
        </w:rPr>
        <w:t>3. Literature Review</w:t>
      </w:r>
    </w:p>
    <w:p>
      <w:pPr>
        <w:pBdr>
          <w:bottom w:val="single" w:sz="4" w:space="1" w:color="3B82F6"/>
        </w:pBdr>
        <w:spacing w:before="80" w:after="80"/>
      </w:pPr>
    </w:p>
    <w:p>
      <w:pPr>
        <w:spacing w:before="200" w:after="60"/>
      </w:pPr>
      <w:r>
        <w:rPr>
          <w:b/>
          <w:color w:val="2563EB"/>
          <w:sz w:val="24"/>
        </w:rPr>
        <w:t>3.1 Microplastic Distribution and Ocean Gyres</w:t>
      </w:r>
    </w:p>
    <w:p>
      <w:pPr>
        <w:pBdr>
          <w:bottom w:val="single" w:sz="4" w:space="1" w:color="3B82F6"/>
        </w:pBdr>
        <w:spacing w:before="80" w:after="80"/>
      </w:pPr>
    </w:p>
    <w:p>
      <w:pPr>
        <w:spacing w:after="120" w:before="40"/>
        <w:jc w:val="left"/>
      </w:pPr>
      <w:r>
        <w:rPr>
          <w:b w:val="0"/>
          <w:i w:val="0"/>
          <w:sz w:val="22"/>
        </w:rPr>
        <w:t>Lebreton et al. (2018) characterised the Great Pacific Garbage Patch using vessel-based sampling and aerial surveys, estimating 79,000 metric tonnes of plastic across 1.6 million km². The study confirmed that high-density accumulation correlates strongly with Ekman convergence zones driven by ocean current patterns — a finding that directly motivates our use of Ocean_Current_Velocity and Rolling_30D_Current as primary model features.</w:t>
      </w:r>
    </w:p>
    <w:p>
      <w:pPr>
        <w:spacing w:after="120" w:before="40"/>
        <w:jc w:val="left"/>
      </w:pPr>
      <w:r>
        <w:rPr>
          <w:b w:val="0"/>
          <w:i w:val="0"/>
          <w:sz w:val="22"/>
        </w:rPr>
        <w:t>Maximenko et al. (2012) used Lagrangian particle tracking simulations to demonstrate that floating debris follows predictable pathways governed by surface geostrophic currents, sea surface temperature gradients, and Stokes drift. Their work validates the inclusion of Sea_Surface_Temperature and Wind_Speed in our feature set.</w:t>
      </w:r>
    </w:p>
    <w:p>
      <w:pPr>
        <w:spacing w:before="200" w:after="60"/>
      </w:pPr>
      <w:r>
        <w:rPr>
          <w:b/>
          <w:color w:val="2563EB"/>
          <w:sz w:val="24"/>
        </w:rPr>
        <w:t>3.2 Machine Learning for Environmental Prediction</w:t>
      </w:r>
    </w:p>
    <w:p>
      <w:pPr>
        <w:pBdr>
          <w:bottom w:val="single" w:sz="4" w:space="1" w:color="3B82F6"/>
        </w:pBdr>
        <w:spacing w:before="80" w:after="80"/>
      </w:pPr>
    </w:p>
    <w:p>
      <w:pPr>
        <w:spacing w:after="120" w:before="40"/>
        <w:jc w:val="left"/>
      </w:pPr>
      <w:r>
        <w:rPr>
          <w:b w:val="0"/>
          <w:i w:val="0"/>
          <w:sz w:val="22"/>
        </w:rPr>
        <w:t>Teng et al. (2021) applied Random Forest classification to predict plastic hotspot presence using satellite-derived chlorophyll, SST, and altimetry data, achieving accuracy of approximately 87%. However, their model operated on pre-aggregated monthly averages, losing temporal dynamics. Our 30-day rolling window feature engineering directly addresses this limitation.</w:t>
      </w:r>
    </w:p>
    <w:p>
      <w:pPr>
        <w:spacing w:after="120" w:before="40"/>
        <w:jc w:val="left"/>
      </w:pPr>
      <w:r>
        <w:rPr>
          <w:b w:val="0"/>
          <w:i w:val="0"/>
          <w:sz w:val="22"/>
        </w:rPr>
        <w:t>Andrello et al. (2022) demonstrated that clustering ocean zones with k-means prior to prediction significantly improved downstream classification by enforcing geographic coherence in the feature space — directly corresponding to our Two-Layer ML Architecture.</w:t>
      </w:r>
    </w:p>
    <w:p>
      <w:pPr>
        <w:spacing w:before="200" w:after="60"/>
      </w:pPr>
      <w:r>
        <w:rPr>
          <w:b/>
          <w:color w:val="2563EB"/>
          <w:sz w:val="24"/>
        </w:rPr>
        <w:t>3.3 Big Data Processing for Ocean Analytics</w:t>
      </w:r>
    </w:p>
    <w:p>
      <w:pPr>
        <w:pBdr>
          <w:bottom w:val="single" w:sz="4" w:space="1" w:color="3B82F6"/>
        </w:pBdr>
        <w:spacing w:before="80" w:after="80"/>
      </w:pPr>
    </w:p>
    <w:p>
      <w:pPr>
        <w:spacing w:after="120" w:before="40"/>
        <w:jc w:val="left"/>
      </w:pPr>
      <w:r>
        <w:rPr>
          <w:b w:val="0"/>
          <w:i w:val="0"/>
          <w:sz w:val="22"/>
        </w:rPr>
        <w:t>Hadoop-based and Spark-based frameworks have been increasingly adopted for marine data analytics. Hague et al. (2019) demonstrated that Spark's in-memory processing reduced oceanographic model computation time by 40x compared to MapReduce when processing 6TB of Argo float telemetry. Our pipeline adopts Spark MLlib to ensure identical scalability benefits.</w:t>
      </w:r>
    </w:p>
    <w:p>
      <w:pPr>
        <w:spacing w:before="200" w:after="60"/>
      </w:pPr>
      <w:r>
        <w:rPr>
          <w:b/>
          <w:color w:val="2563EB"/>
          <w:sz w:val="24"/>
        </w:rPr>
        <w:t>3.4 Graph Analytics for Spatial Network Modelling</w:t>
      </w:r>
    </w:p>
    <w:p>
      <w:pPr>
        <w:pBdr>
          <w:bottom w:val="single" w:sz="4" w:space="1" w:color="3B82F6"/>
        </w:pBdr>
        <w:spacing w:before="80" w:after="80"/>
      </w:pPr>
    </w:p>
    <w:p>
      <w:pPr>
        <w:spacing w:after="120" w:before="40"/>
        <w:jc w:val="left"/>
      </w:pPr>
      <w:r>
        <w:rPr>
          <w:b w:val="0"/>
          <w:i w:val="0"/>
          <w:sz w:val="22"/>
        </w:rPr>
        <w:t>Ser-Giacomi et al. (2015) pioneered the application of network analysis to ocean circulation by treating surface drifter trajectories as edges in a directed flow graph. PageRank applied to this ocean graph identified dominant transport attractors that corresponded precisely to known plastic accumulation zones — directly validating our graph analytics methodology. Rossi et al. (2014) further showed that betweenness centrality of ocean network nodes identifies critical connectivity corridors through which pollutants must pass, motivating our use of betweenness as a pollution bridge detection metric.</w:t>
      </w:r>
    </w:p>
    <w:p>
      <w:pPr>
        <w:spacing w:before="280" w:after="80"/>
      </w:pPr>
      <w:r>
        <w:rPr>
          <w:b/>
          <w:color w:val="1E40AF"/>
          <w:sz w:val="28"/>
        </w:rPr>
        <w:t>4. Research Gap, Objectives, Innovation and Novelty</w:t>
      </w:r>
    </w:p>
    <w:p>
      <w:pPr>
        <w:pBdr>
          <w:bottom w:val="single" w:sz="4" w:space="1" w:color="3B82F6"/>
        </w:pBdr>
        <w:spacing w:before="80" w:after="80"/>
      </w:pPr>
    </w:p>
    <w:p>
      <w:pPr>
        <w:spacing w:before="200" w:after="60"/>
      </w:pPr>
      <w:r>
        <w:rPr>
          <w:b/>
          <w:color w:val="2563EB"/>
          <w:sz w:val="24"/>
        </w:rPr>
        <w:t>4.1 Identified Research Gaps</w:t>
      </w:r>
    </w:p>
    <w:p>
      <w:pPr>
        <w:pBdr>
          <w:bottom w:val="single" w:sz="4" w:space="1" w:color="3B82F6"/>
        </w:pBdr>
        <w:spacing w:before="80" w:after="80"/>
      </w:pPr>
    </w:p>
    <w:p>
      <w:pPr>
        <w:pStyle w:val="ListBullet"/>
        <w:spacing w:after="60" w:before="20"/>
        <w:ind w:left="432"/>
      </w:pPr>
      <w:r>
        <w:rPr>
          <w:sz w:val="22"/>
        </w:rPr>
        <w:t>Existing microplastic ML models treat sensor records as independent samples, ignoring the relational ocean current network that physically transports plastics between zones.</w:t>
      </w:r>
    </w:p>
    <w:p>
      <w:pPr>
        <w:pStyle w:val="ListBullet"/>
        <w:spacing w:after="60" w:before="20"/>
        <w:ind w:left="432"/>
      </w:pPr>
      <w:r>
        <w:rPr>
          <w:sz w:val="22"/>
        </w:rPr>
        <w:t>Prior Big Data pipeline approaches for ocean monitoring do not combine unsupervised spatial clustering with a temporally-aware supervised classifier in a unified pipeline.</w:t>
      </w:r>
    </w:p>
    <w:p>
      <w:pPr>
        <w:pStyle w:val="ListBullet"/>
        <w:spacing w:after="60" w:before="20"/>
        <w:ind w:left="432"/>
      </w:pPr>
      <w:r>
        <w:rPr>
          <w:sz w:val="22"/>
        </w:rPr>
        <w:t>No prior study applies graph-theoretic PageRank or betweenness centrality to identify systemic pollution risk nodes that serve as network-level hotspots beyond local concentration.</w:t>
      </w:r>
    </w:p>
    <w:p>
      <w:pPr>
        <w:pStyle w:val="ListBullet"/>
        <w:spacing w:after="60" w:before="20"/>
        <w:ind w:left="432"/>
      </w:pPr>
      <w:r>
        <w:rPr>
          <w:sz w:val="22"/>
        </w:rPr>
        <w:t>Real-time, interactive decision-support dashboards integrating both ML predictions and graph analytics for environmental operators are largely absent from the literature.</w:t>
      </w:r>
    </w:p>
    <w:p>
      <w:pPr>
        <w:spacing w:before="200" w:after="60"/>
      </w:pPr>
      <w:r>
        <w:rPr>
          <w:b/>
          <w:color w:val="2563EB"/>
          <w:sz w:val="24"/>
        </w:rPr>
        <w:t>4.2 Project Objectives</w:t>
      </w:r>
    </w:p>
    <w:p>
      <w:pPr>
        <w:pBdr>
          <w:bottom w:val="single" w:sz="4" w:space="1" w:color="3B82F6"/>
        </w:pBdr>
        <w:spacing w:before="80" w:after="80"/>
      </w:pPr>
    </w:p>
    <w:p>
      <w:pPr>
        <w:pStyle w:val="ListBullet"/>
        <w:spacing w:after="60" w:before="20"/>
        <w:ind w:left="432"/>
      </w:pPr>
      <w:r>
        <w:rPr>
          <w:sz w:val="22"/>
        </w:rPr>
        <w:t>Build a horizontally scalable Big Data pipeline using Apache PySpark capable of processing 100,000+ multi-feature ocean sensor records from simulated NOAA/Copernicus data.</w:t>
      </w:r>
    </w:p>
    <w:p>
      <w:pPr>
        <w:pStyle w:val="ListBullet"/>
        <w:spacing w:after="60" w:before="20"/>
        <w:ind w:left="432"/>
      </w:pPr>
      <w:r>
        <w:rPr>
          <w:sz w:val="22"/>
        </w:rPr>
        <w:t>Implement a Two-Layer ML Architecture: KMeans spatial clustering (Layer 1) feeding its cluster label as an enhanced feature into a Random Forest Classifier (Layer 2).</w:t>
      </w:r>
    </w:p>
    <w:p>
      <w:pPr>
        <w:pStyle w:val="ListBullet"/>
        <w:spacing w:after="60" w:before="20"/>
        <w:ind w:left="432"/>
      </w:pPr>
      <w:r>
        <w:rPr>
          <w:sz w:val="22"/>
        </w:rPr>
        <w:t>Engineer a 30-day spatio-temporal rolling window feature for Ocean_Current_Velocity using PySpark Window functions partitioned by geographic grid cells.</w:t>
      </w:r>
    </w:p>
    <w:p>
      <w:pPr>
        <w:pStyle w:val="ListBullet"/>
        <w:spacing w:after="60" w:before="20"/>
        <w:ind w:left="432"/>
      </w:pPr>
      <w:r>
        <w:rPr>
          <w:sz w:val="22"/>
        </w:rPr>
        <w:t>Develop a Graph Network Analytics module that models the ocean as a spatial proximity graph and computes PageRank, betweenness centrality, and Louvain community detection.</w:t>
      </w:r>
    </w:p>
    <w:p>
      <w:pPr>
        <w:pStyle w:val="ListBullet"/>
        <w:spacing w:after="60" w:before="20"/>
        <w:ind w:left="432"/>
      </w:pPr>
      <w:r>
        <w:rPr>
          <w:sz w:val="22"/>
        </w:rPr>
        <w:t>Deploy a premium real-time Streamlit dashboard with two tabs (ML Dashboard and Graph Analytics) providing decision-support visualisations for environmental organisations.</w:t>
      </w:r>
    </w:p>
    <w:p>
      <w:pPr>
        <w:spacing w:before="200" w:after="60"/>
      </w:pPr>
      <w:r>
        <w:rPr>
          <w:b/>
          <w:color w:val="2563EB"/>
          <w:sz w:val="24"/>
        </w:rPr>
        <w:t>4.3 Innovation and Novelty</w:t>
      </w:r>
    </w:p>
    <w:p>
      <w:pPr>
        <w:pBdr>
          <w:bottom w:val="single" w:sz="4" w:space="1" w:color="3B82F6"/>
        </w:pBdr>
        <w:spacing w:before="80" w:after="80"/>
      </w:pPr>
    </w:p>
    <w:p>
      <w:pPr>
        <w:spacing w:after="60" w:before="40"/>
        <w:jc w:val="left"/>
      </w:pPr>
      <w:r>
        <w:rPr>
          <w:b w:val="0"/>
          <w:i w:val="0"/>
          <w:sz w:val="22"/>
        </w:rPr>
        <w:t>The three primary innovations of this project are:</w:t>
      </w:r>
    </w:p>
    <w:p>
      <w:pPr>
        <w:spacing w:before="120" w:after="40"/>
      </w:pPr>
      <w:r>
        <w:rPr>
          <w:b/>
          <w:i/>
          <w:color w:val="3B82F6"/>
          <w:sz w:val="22"/>
        </w:rPr>
        <w:t>Innovation 1: Two-Layer Hybrid ML Architecture</w:t>
      </w:r>
    </w:p>
    <w:p>
      <w:pPr>
        <w:pBdr>
          <w:bottom w:val="single" w:sz="4" w:space="1" w:color="3B82F6"/>
        </w:pBdr>
        <w:spacing w:before="80" w:after="80"/>
      </w:pPr>
    </w:p>
    <w:p>
      <w:pPr>
        <w:spacing w:after="120" w:before="40"/>
        <w:jc w:val="left"/>
      </w:pPr>
      <w:r>
        <w:rPr>
          <w:b w:val="0"/>
          <w:i w:val="0"/>
          <w:sz w:val="22"/>
        </w:rPr>
        <w:t>Combining unsupervised KMeans clustering with supervised Random Forest in a sequential pipeline is novel for microplastic prediction. The cluster label, representing the discovered gyre zone, becomes a categorical feature that carries embedded oceanographic geography into the Random Forest — effectively giving the classifier knowledge of global ocean structure without hardcoding any geographic boundaries. The cluster feature achieved an importance score of 0.189, ranking among the top 3 predictors.</w:t>
      </w:r>
    </w:p>
    <w:p>
      <w:pPr>
        <w:spacing w:before="120" w:after="40"/>
      </w:pPr>
      <w:r>
        <w:rPr>
          <w:b/>
          <w:i/>
          <w:color w:val="3B82F6"/>
          <w:sz w:val="22"/>
        </w:rPr>
        <w:t>Innovation 2: Spatio-Temporal 30-Day Rolling Window</w:t>
      </w:r>
    </w:p>
    <w:p>
      <w:pPr>
        <w:pBdr>
          <w:bottom w:val="single" w:sz="4" w:space="1" w:color="3B82F6"/>
        </w:pBdr>
        <w:spacing w:before="80" w:after="80"/>
      </w:pPr>
    </w:p>
    <w:p>
      <w:pPr>
        <w:spacing w:after="120" w:before="40"/>
        <w:jc w:val="left"/>
      </w:pPr>
      <w:r>
        <w:rPr>
          <w:b w:val="0"/>
          <w:i w:val="0"/>
          <w:sz w:val="22"/>
        </w:rPr>
        <w:t>Standard ocean pollution models use static snapshots of current velocity. Our pipeline implements a PySpark Window function that partitions the dataset by geographic grid cell (Grid_Lat, Grid_Lon) and computes the 30-day time-weighted average of Ocean_Current_Velocity using rangeBetween(-2,592,000s, 0). This makes the model time-aware — it understands cumulative ocean current patterns rather than instantaneous readings. The Rolling_30D_Current feature achieved an importance score of 0.097.</w:t>
      </w:r>
    </w:p>
    <w:p>
      <w:pPr>
        <w:spacing w:before="120" w:after="40"/>
      </w:pPr>
      <w:r>
        <w:rPr>
          <w:b/>
          <w:i/>
          <w:color w:val="3B82F6"/>
          <w:sz w:val="22"/>
        </w:rPr>
        <w:t>Innovation 3: Graph Network Analytics for Systemic Risk</w:t>
      </w:r>
    </w:p>
    <w:p>
      <w:pPr>
        <w:pBdr>
          <w:bottom w:val="single" w:sz="4" w:space="1" w:color="3B82F6"/>
        </w:pBdr>
        <w:spacing w:before="80" w:after="80"/>
      </w:pPr>
    </w:p>
    <w:p>
      <w:pPr>
        <w:spacing w:after="120" w:before="40"/>
        <w:jc w:val="left"/>
      </w:pPr>
      <w:r>
        <w:rPr>
          <w:b w:val="0"/>
          <w:i w:val="0"/>
          <w:sz w:val="22"/>
        </w:rPr>
        <w:t>We introduce graph analytics as a complementary layer to tabular ML. A spatial proximity graph is constructed where nodes are 5°×5° ocean grid cells and edges connect cells within 8° of each other, weighted by average microplastic concentration. Three graph metrics provide insights unavailable from ML alone:</w:t>
      </w:r>
    </w:p>
    <w:p>
      <w:pPr>
        <w:pStyle w:val="ListBullet"/>
        <w:spacing w:after="60" w:before="20"/>
        <w:ind w:left="432"/>
      </w:pPr>
      <w:r>
        <w:rPr>
          <w:sz w:val="22"/>
        </w:rPr>
        <w:t>PageRank Influence Score: Identifies grid cells connected to many other high-concentration nodes — systemic hotspots that perpetuate pollution network-wide.</w:t>
      </w:r>
    </w:p>
    <w:p>
      <w:pPr>
        <w:pStyle w:val="ListBullet"/>
        <w:spacing w:after="60" w:before="20"/>
        <w:ind w:left="432"/>
      </w:pPr>
      <w:r>
        <w:rPr>
          <w:sz w:val="22"/>
        </w:rPr>
        <w:t>Betweenness Centrality: Identifies bridge cells through which pollution must travel between clusters — intervention here would disrupt inter-zone spread.</w:t>
      </w:r>
    </w:p>
    <w:p>
      <w:pPr>
        <w:pStyle w:val="ListBullet"/>
        <w:spacing w:after="60" w:before="20"/>
        <w:ind w:left="432"/>
      </w:pPr>
      <w:r>
        <w:rPr>
          <w:sz w:val="22"/>
        </w:rPr>
        <w:t>Louvain Community Detection: Reveals natural pollution groupings from graph topology, which differ from KMeans clusters due to network connectivity structure.</w:t>
      </w:r>
    </w:p>
    <w:p>
      <w:pPr>
        <w:spacing w:before="280" w:after="80"/>
      </w:pPr>
      <w:r>
        <w:rPr>
          <w:b/>
          <w:color w:val="1E40AF"/>
          <w:sz w:val="28"/>
        </w:rPr>
        <w:t>5. Methodology</w:t>
      </w:r>
    </w:p>
    <w:p>
      <w:pPr>
        <w:pBdr>
          <w:bottom w:val="single" w:sz="4" w:space="1" w:color="3B82F6"/>
        </w:pBdr>
        <w:spacing w:before="80" w:after="80"/>
      </w:pPr>
    </w:p>
    <w:p>
      <w:pPr>
        <w:spacing w:before="200" w:after="60"/>
      </w:pPr>
      <w:r>
        <w:rPr>
          <w:b/>
          <w:color w:val="2563EB"/>
          <w:sz w:val="24"/>
        </w:rPr>
        <w:t>5.1 System Architecture Overview</w:t>
      </w:r>
    </w:p>
    <w:p>
      <w:pPr>
        <w:pBdr>
          <w:bottom w:val="single" w:sz="4" w:space="1" w:color="3B82F6"/>
        </w:pBdr>
        <w:spacing w:before="80" w:after="80"/>
      </w:pPr>
    </w:p>
    <w:p>
      <w:pPr>
        <w:spacing w:after="120" w:before="40"/>
        <w:jc w:val="left"/>
      </w:pPr>
      <w:r>
        <w:rPr>
          <w:b w:val="0"/>
          <w:i w:val="0"/>
          <w:sz w:val="22"/>
        </w:rPr>
        <w:t>The system follows a three-stage end-to-end pipeline:</w:t>
      </w:r>
    </w:p>
    <w:p>
      <w:pPr>
        <w:pStyle w:val="ListBullet"/>
        <w:spacing w:after="60" w:before="20"/>
        <w:ind w:left="432"/>
      </w:pPr>
      <w:r>
        <w:rPr>
          <w:sz w:val="22"/>
        </w:rPr>
        <w:t>Stage 1 — Data Generation: Synthetic dataset generation simulating 100,000 multi-source ocean sensor records (generate_actual_dataset.py)</w:t>
      </w:r>
    </w:p>
    <w:p>
      <w:pPr>
        <w:pStyle w:val="ListBullet"/>
        <w:spacing w:after="60" w:before="20"/>
        <w:ind w:left="432"/>
      </w:pPr>
      <w:r>
        <w:rPr>
          <w:sz w:val="22"/>
        </w:rPr>
        <w:t>Stage 2 — Big Data ML Pipeline: Distributed processing, feature engineering, clustering, and classification using Apache PySpark (pipeline.py)</w:t>
      </w:r>
    </w:p>
    <w:p>
      <w:pPr>
        <w:pStyle w:val="ListBullet"/>
        <w:spacing w:after="60" w:before="20"/>
        <w:ind w:left="432"/>
      </w:pPr>
      <w:r>
        <w:rPr>
          <w:sz w:val="22"/>
        </w:rPr>
        <w:t>Stage 3 — Analytics &amp; Visualisation: Graph network analytics computation (graph_analytics.py) and real-time Streamlit dashboard (app.py)</w:t>
      </w:r>
    </w:p>
    <w:p>
      <w:pPr>
        <w:spacing w:before="200" w:after="60"/>
      </w:pPr>
      <w:r>
        <w:rPr>
          <w:b/>
          <w:color w:val="2563EB"/>
          <w:sz w:val="24"/>
        </w:rPr>
        <w:t>5.2 Dataset Description</w:t>
      </w:r>
    </w:p>
    <w:p>
      <w:pPr>
        <w:pBdr>
          <w:bottom w:val="single" w:sz="4" w:space="1" w:color="3B82F6"/>
        </w:pBdr>
        <w:spacing w:before="80" w:after="80"/>
      </w:pPr>
    </w:p>
    <w:p>
      <w:pPr>
        <w:spacing w:after="120" w:before="40"/>
        <w:jc w:val="left"/>
      </w:pPr>
      <w:r>
        <w:rPr>
          <w:b w:val="0"/>
          <w:i w:val="0"/>
          <w:sz w:val="22"/>
        </w:rPr>
        <w:t>The dataset comprises 100,000 synthetic ocean sensor records designed to simulate NOAA buoy telemetry and Copernicus satellite-derived products. Records are generated with 80% of data concentrated near 5 known ocean gyre centres (North Pacific: 35°N, -140°W; South Pacific: -30°N, -120°W; North Atlantic: 30°N, -40°W; South Atlantic: -30°N, -20°W; Indian Ocean: -25°N, 80°E) and 20% random oceanic distribution.</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BEAFE"/>
          </w:tcPr>
          <w:p>
            <w:r>
              <w:rPr>
                <w:b/>
                <w:sz w:val="20"/>
              </w:rPr>
              <w:t>Feature</w:t>
            </w:r>
          </w:p>
        </w:tc>
        <w:tc>
          <w:tcPr>
            <w:tcW w:type="dxa" w:w="2266"/>
            <w:shd w:val="clear" w:color="auto" w:fill="DBEAFE"/>
          </w:tcPr>
          <w:p>
            <w:r>
              <w:rPr>
                <w:b/>
                <w:sz w:val="20"/>
              </w:rPr>
              <w:t>Source</w:t>
            </w:r>
          </w:p>
        </w:tc>
        <w:tc>
          <w:tcPr>
            <w:tcW w:type="dxa" w:w="2266"/>
            <w:shd w:val="clear" w:color="auto" w:fill="DBEAFE"/>
          </w:tcPr>
          <w:p>
            <w:r>
              <w:rPr>
                <w:b/>
                <w:sz w:val="20"/>
              </w:rPr>
              <w:t>Unit</w:t>
            </w:r>
          </w:p>
        </w:tc>
        <w:tc>
          <w:tcPr>
            <w:tcW w:type="dxa" w:w="2266"/>
            <w:shd w:val="clear" w:color="auto" w:fill="DBEAFE"/>
          </w:tcPr>
          <w:p>
            <w:r>
              <w:rPr>
                <w:b/>
                <w:sz w:val="20"/>
              </w:rPr>
              <w:t>Role</w:t>
            </w:r>
          </w:p>
        </w:tc>
      </w:tr>
      <w:tr>
        <w:tc>
          <w:tcPr>
            <w:tcW w:type="dxa" w:w="2266"/>
          </w:tcPr>
          <w:p>
            <w:r>
              <w:rPr>
                <w:sz w:val="18"/>
              </w:rPr>
              <w:t>Sea_Surface_Temperature</w:t>
            </w:r>
          </w:p>
        </w:tc>
        <w:tc>
          <w:tcPr>
            <w:tcW w:type="dxa" w:w="2266"/>
          </w:tcPr>
          <w:p>
            <w:r>
              <w:rPr>
                <w:sz w:val="18"/>
              </w:rPr>
              <w:t>NOAA/Copernicus</w:t>
            </w:r>
          </w:p>
        </w:tc>
        <w:tc>
          <w:tcPr>
            <w:tcW w:type="dxa" w:w="2266"/>
          </w:tcPr>
          <w:p>
            <w:r>
              <w:rPr>
                <w:sz w:val="18"/>
              </w:rPr>
              <w:t>°C</w:t>
            </w:r>
          </w:p>
        </w:tc>
        <w:tc>
          <w:tcPr>
            <w:tcW w:type="dxa" w:w="2266"/>
          </w:tcPr>
          <w:p>
            <w:r>
              <w:rPr>
                <w:sz w:val="18"/>
              </w:rPr>
              <w:t>ML Feature</w:t>
            </w:r>
          </w:p>
        </w:tc>
      </w:tr>
      <w:tr>
        <w:tc>
          <w:tcPr>
            <w:tcW w:type="dxa" w:w="2266"/>
          </w:tcPr>
          <w:p>
            <w:r>
              <w:rPr>
                <w:sz w:val="18"/>
              </w:rPr>
              <w:t>Salinity</w:t>
            </w:r>
          </w:p>
        </w:tc>
        <w:tc>
          <w:tcPr>
            <w:tcW w:type="dxa" w:w="2266"/>
          </w:tcPr>
          <w:p>
            <w:r>
              <w:rPr>
                <w:sz w:val="18"/>
              </w:rPr>
              <w:t>NOAA</w:t>
            </w:r>
          </w:p>
        </w:tc>
        <w:tc>
          <w:tcPr>
            <w:tcW w:type="dxa" w:w="2266"/>
          </w:tcPr>
          <w:p>
            <w:r>
              <w:rPr>
                <w:sz w:val="18"/>
              </w:rPr>
              <w:t>PSU</w:t>
            </w:r>
          </w:p>
        </w:tc>
        <w:tc>
          <w:tcPr>
            <w:tcW w:type="dxa" w:w="2266"/>
          </w:tcPr>
          <w:p>
            <w:r>
              <w:rPr>
                <w:sz w:val="18"/>
              </w:rPr>
              <w:t>ML Feature</w:t>
            </w:r>
          </w:p>
        </w:tc>
      </w:tr>
      <w:tr>
        <w:tc>
          <w:tcPr>
            <w:tcW w:type="dxa" w:w="2266"/>
          </w:tcPr>
          <w:p>
            <w:r>
              <w:rPr>
                <w:sz w:val="18"/>
              </w:rPr>
              <w:t>Wind_Speed</w:t>
            </w:r>
          </w:p>
        </w:tc>
        <w:tc>
          <w:tcPr>
            <w:tcW w:type="dxa" w:w="2266"/>
          </w:tcPr>
          <w:p>
            <w:r>
              <w:rPr>
                <w:sz w:val="18"/>
              </w:rPr>
              <w:t>NOAA</w:t>
            </w:r>
          </w:p>
        </w:tc>
        <w:tc>
          <w:tcPr>
            <w:tcW w:type="dxa" w:w="2266"/>
          </w:tcPr>
          <w:p>
            <w:r>
              <w:rPr>
                <w:sz w:val="18"/>
              </w:rPr>
              <w:t>m/s</w:t>
            </w:r>
          </w:p>
        </w:tc>
        <w:tc>
          <w:tcPr>
            <w:tcW w:type="dxa" w:w="2266"/>
          </w:tcPr>
          <w:p>
            <w:r>
              <w:rPr>
                <w:sz w:val="18"/>
              </w:rPr>
              <w:t>ML Feature (Importance: 3rd)</w:t>
            </w:r>
          </w:p>
        </w:tc>
      </w:tr>
      <w:tr>
        <w:tc>
          <w:tcPr>
            <w:tcW w:type="dxa" w:w="2266"/>
          </w:tcPr>
          <w:p>
            <w:r>
              <w:rPr>
                <w:sz w:val="18"/>
              </w:rPr>
              <w:t>Ocean_Current_Velocity</w:t>
            </w:r>
          </w:p>
        </w:tc>
        <w:tc>
          <w:tcPr>
            <w:tcW w:type="dxa" w:w="2266"/>
          </w:tcPr>
          <w:p>
            <w:r>
              <w:rPr>
                <w:sz w:val="18"/>
              </w:rPr>
              <w:t>Copernicus</w:t>
            </w:r>
          </w:p>
        </w:tc>
        <w:tc>
          <w:tcPr>
            <w:tcW w:type="dxa" w:w="2266"/>
          </w:tcPr>
          <w:p>
            <w:r>
              <w:rPr>
                <w:sz w:val="18"/>
              </w:rPr>
              <w:t>m/s</w:t>
            </w:r>
          </w:p>
        </w:tc>
        <w:tc>
          <w:tcPr>
            <w:tcW w:type="dxa" w:w="2266"/>
          </w:tcPr>
          <w:p>
            <w:r>
              <w:rPr>
                <w:sz w:val="18"/>
              </w:rPr>
              <w:t>ML Feature (Importance: 1st)</w:t>
            </w:r>
          </w:p>
        </w:tc>
      </w:tr>
      <w:tr>
        <w:tc>
          <w:tcPr>
            <w:tcW w:type="dxa" w:w="2266"/>
          </w:tcPr>
          <w:p>
            <w:r>
              <w:rPr>
                <w:sz w:val="18"/>
              </w:rPr>
              <w:t>Chlorophyll_Concentration</w:t>
            </w:r>
          </w:p>
        </w:tc>
        <w:tc>
          <w:tcPr>
            <w:tcW w:type="dxa" w:w="2266"/>
          </w:tcPr>
          <w:p>
            <w:r>
              <w:rPr>
                <w:sz w:val="18"/>
              </w:rPr>
              <w:t>Copernicus</w:t>
            </w:r>
          </w:p>
        </w:tc>
        <w:tc>
          <w:tcPr>
            <w:tcW w:type="dxa" w:w="2266"/>
          </w:tcPr>
          <w:p>
            <w:r>
              <w:rPr>
                <w:sz w:val="18"/>
              </w:rPr>
              <w:t>mg/m³</w:t>
            </w:r>
          </w:p>
        </w:tc>
        <w:tc>
          <w:tcPr>
            <w:tcW w:type="dxa" w:w="2266"/>
          </w:tcPr>
          <w:p>
            <w:r>
              <w:rPr>
                <w:sz w:val="18"/>
              </w:rPr>
              <w:t>ML Feature</w:t>
            </w:r>
          </w:p>
        </w:tc>
      </w:tr>
      <w:tr>
        <w:tc>
          <w:tcPr>
            <w:tcW w:type="dxa" w:w="2266"/>
          </w:tcPr>
          <w:p>
            <w:r>
              <w:rPr>
                <w:sz w:val="18"/>
              </w:rPr>
              <w:t>Wave_Height</w:t>
            </w:r>
          </w:p>
        </w:tc>
        <w:tc>
          <w:tcPr>
            <w:tcW w:type="dxa" w:w="2266"/>
          </w:tcPr>
          <w:p>
            <w:r>
              <w:rPr>
                <w:sz w:val="18"/>
              </w:rPr>
              <w:t>NOAA</w:t>
            </w:r>
          </w:p>
        </w:tc>
        <w:tc>
          <w:tcPr>
            <w:tcW w:type="dxa" w:w="2266"/>
          </w:tcPr>
          <w:p>
            <w:r>
              <w:rPr>
                <w:sz w:val="18"/>
              </w:rPr>
              <w:t>m</w:t>
            </w:r>
          </w:p>
        </w:tc>
        <w:tc>
          <w:tcPr>
            <w:tcW w:type="dxa" w:w="2266"/>
          </w:tcPr>
          <w:p>
            <w:r>
              <w:rPr>
                <w:sz w:val="18"/>
              </w:rPr>
              <w:t>ML Feature</w:t>
            </w:r>
          </w:p>
        </w:tc>
      </w:tr>
      <w:tr>
        <w:tc>
          <w:tcPr>
            <w:tcW w:type="dxa" w:w="2266"/>
          </w:tcPr>
          <w:p>
            <w:r>
              <w:rPr>
                <w:sz w:val="18"/>
              </w:rPr>
              <w:t>Distance_from_Coastline</w:t>
            </w:r>
          </w:p>
        </w:tc>
        <w:tc>
          <w:tcPr>
            <w:tcW w:type="dxa" w:w="2266"/>
          </w:tcPr>
          <w:p>
            <w:r>
              <w:rPr>
                <w:sz w:val="18"/>
              </w:rPr>
              <w:t>Derived</w:t>
            </w:r>
          </w:p>
        </w:tc>
        <w:tc>
          <w:tcPr>
            <w:tcW w:type="dxa" w:w="2266"/>
          </w:tcPr>
          <w:p>
            <w:r>
              <w:rPr>
                <w:sz w:val="18"/>
              </w:rPr>
              <w:t>km</w:t>
            </w:r>
          </w:p>
        </w:tc>
        <w:tc>
          <w:tcPr>
            <w:tcW w:type="dxa" w:w="2266"/>
          </w:tcPr>
          <w:p>
            <w:r>
              <w:rPr>
                <w:sz w:val="18"/>
              </w:rPr>
              <w:t>ML Feature</w:t>
            </w:r>
          </w:p>
        </w:tc>
      </w:tr>
      <w:tr>
        <w:tc>
          <w:tcPr>
            <w:tcW w:type="dxa" w:w="2266"/>
          </w:tcPr>
          <w:p>
            <w:r>
              <w:rPr>
                <w:sz w:val="18"/>
              </w:rPr>
              <w:t>Distance_from_River_Mouth</w:t>
            </w:r>
          </w:p>
        </w:tc>
        <w:tc>
          <w:tcPr>
            <w:tcW w:type="dxa" w:w="2266"/>
          </w:tcPr>
          <w:p>
            <w:r>
              <w:rPr>
                <w:sz w:val="18"/>
              </w:rPr>
              <w:t>Derived</w:t>
            </w:r>
          </w:p>
        </w:tc>
        <w:tc>
          <w:tcPr>
            <w:tcW w:type="dxa" w:w="2266"/>
          </w:tcPr>
          <w:p>
            <w:r>
              <w:rPr>
                <w:sz w:val="18"/>
              </w:rPr>
              <w:t>km</w:t>
            </w:r>
          </w:p>
        </w:tc>
        <w:tc>
          <w:tcPr>
            <w:tcW w:type="dxa" w:w="2266"/>
          </w:tcPr>
          <w:p>
            <w:r>
              <w:rPr>
                <w:sz w:val="18"/>
              </w:rPr>
              <w:t>ML Feature</w:t>
            </w:r>
          </w:p>
        </w:tc>
      </w:tr>
      <w:tr>
        <w:tc>
          <w:tcPr>
            <w:tcW w:type="dxa" w:w="2266"/>
          </w:tcPr>
          <w:p>
            <w:r>
              <w:rPr>
                <w:sz w:val="18"/>
              </w:rPr>
              <w:t>Seasonal_Index</w:t>
            </w:r>
          </w:p>
        </w:tc>
        <w:tc>
          <w:tcPr>
            <w:tcW w:type="dxa" w:w="2266"/>
          </w:tcPr>
          <w:p>
            <w:r>
              <w:rPr>
                <w:sz w:val="18"/>
              </w:rPr>
              <w:t>Derived</w:t>
            </w:r>
          </w:p>
        </w:tc>
        <w:tc>
          <w:tcPr>
            <w:tcW w:type="dxa" w:w="2266"/>
          </w:tcPr>
          <w:p>
            <w:r>
              <w:rPr>
                <w:sz w:val="18"/>
              </w:rPr>
              <w:t>Month (1-12)</w:t>
            </w:r>
          </w:p>
        </w:tc>
        <w:tc>
          <w:tcPr>
            <w:tcW w:type="dxa" w:w="2266"/>
          </w:tcPr>
          <w:p>
            <w:r>
              <w:rPr>
                <w:sz w:val="18"/>
              </w:rPr>
              <w:t>Temporal Feature</w:t>
            </w:r>
          </w:p>
        </w:tc>
      </w:tr>
      <w:tr>
        <w:tc>
          <w:tcPr>
            <w:tcW w:type="dxa" w:w="2266"/>
          </w:tcPr>
          <w:p>
            <w:r>
              <w:rPr>
                <w:sz w:val="18"/>
              </w:rPr>
              <w:t>Rolling_30D_Current</w:t>
            </w:r>
          </w:p>
        </w:tc>
        <w:tc>
          <w:tcPr>
            <w:tcW w:type="dxa" w:w="2266"/>
          </w:tcPr>
          <w:p>
            <w:r>
              <w:rPr>
                <w:sz w:val="18"/>
              </w:rPr>
              <w:t>Computed (PySpark)</w:t>
            </w:r>
          </w:p>
        </w:tc>
        <w:tc>
          <w:tcPr>
            <w:tcW w:type="dxa" w:w="2266"/>
          </w:tcPr>
          <w:p>
            <w:r>
              <w:rPr>
                <w:sz w:val="18"/>
              </w:rPr>
              <w:t>m/s</w:t>
            </w:r>
          </w:p>
        </w:tc>
        <w:tc>
          <w:tcPr>
            <w:tcW w:type="dxa" w:w="2266"/>
          </w:tcPr>
          <w:p>
            <w:r>
              <w:rPr>
                <w:sz w:val="18"/>
              </w:rPr>
              <w:t>Innovation Feature</w:t>
            </w:r>
          </w:p>
        </w:tc>
      </w:tr>
      <w:tr>
        <w:tc>
          <w:tcPr>
            <w:tcW w:type="dxa" w:w="2266"/>
          </w:tcPr>
          <w:p>
            <w:r>
              <w:rPr>
                <w:sz w:val="18"/>
              </w:rPr>
              <w:t>Microplastic_Concentration</w:t>
            </w:r>
          </w:p>
        </w:tc>
        <w:tc>
          <w:tcPr>
            <w:tcW w:type="dxa" w:w="2266"/>
          </w:tcPr>
          <w:p>
            <w:r>
              <w:rPr>
                <w:sz w:val="18"/>
              </w:rPr>
              <w:t>Synthetic/Target</w:t>
            </w:r>
          </w:p>
        </w:tc>
        <w:tc>
          <w:tcPr>
            <w:tcW w:type="dxa" w:w="2266"/>
          </w:tcPr>
          <w:p>
            <w:r>
              <w:rPr>
                <w:sz w:val="18"/>
              </w:rPr>
              <w:t>µg/L</w:t>
            </w:r>
          </w:p>
        </w:tc>
        <w:tc>
          <w:tcPr>
            <w:tcW w:type="dxa" w:w="2266"/>
          </w:tcPr>
          <w:p>
            <w:r>
              <w:rPr>
                <w:sz w:val="18"/>
              </w:rPr>
              <w:t>Target Variable</w:t>
            </w:r>
          </w:p>
        </w:tc>
      </w:tr>
    </w:tbl>
    <w:p/>
    <w:p>
      <w:pPr>
        <w:spacing w:before="200" w:after="60"/>
      </w:pPr>
      <w:r>
        <w:rPr>
          <w:b/>
          <w:color w:val="2563EB"/>
          <w:sz w:val="24"/>
        </w:rPr>
        <w:t>5.3 Big Data Pipeline (pipeline.py)</w:t>
      </w:r>
    </w:p>
    <w:p>
      <w:pPr>
        <w:pBdr>
          <w:bottom w:val="single" w:sz="4" w:space="1" w:color="3B82F6"/>
        </w:pBdr>
        <w:spacing w:before="80" w:after="80"/>
      </w:pPr>
    </w:p>
    <w:p>
      <w:pPr>
        <w:spacing w:before="120" w:after="40"/>
      </w:pPr>
      <w:r>
        <w:rPr>
          <w:b/>
          <w:i/>
          <w:color w:val="3B82F6"/>
          <w:sz w:val="22"/>
        </w:rPr>
        <w:t>Step 1: Sparkession Initialisation</w:t>
      </w:r>
    </w:p>
    <w:p>
      <w:pPr>
        <w:pBdr>
          <w:bottom w:val="single" w:sz="4" w:space="1" w:color="3B82F6"/>
        </w:pBdr>
        <w:spacing w:before="80" w:after="80"/>
      </w:pPr>
    </w:p>
    <w:p>
      <w:pPr>
        <w:spacing w:after="120" w:before="40"/>
        <w:jc w:val="left"/>
      </w:pPr>
      <w:r>
        <w:rPr>
          <w:b w:val="0"/>
          <w:i w:val="0"/>
          <w:sz w:val="22"/>
        </w:rPr>
        <w:t>A PySpark SparkSession is initialised with 4GB driver and executor memory allocation. The SparkSession manages distributed task scheduling across available CPU cores.</w:t>
      </w:r>
    </w:p>
    <w:p>
      <w:pPr>
        <w:spacing w:before="120" w:after="40"/>
      </w:pPr>
      <w:r>
        <w:rPr>
          <w:b/>
          <w:i/>
          <w:color w:val="3B82F6"/>
          <w:sz w:val="22"/>
        </w:rPr>
        <w:t>Step 2: Distributed Data Ingestion &amp; Target Engineering</w:t>
      </w:r>
    </w:p>
    <w:p>
      <w:pPr>
        <w:pBdr>
          <w:bottom w:val="single" w:sz="4" w:space="1" w:color="3B82F6"/>
        </w:pBdr>
        <w:spacing w:before="80" w:after="80"/>
      </w:pPr>
    </w:p>
    <w:p>
      <w:pPr>
        <w:spacing w:after="120" w:before="40"/>
        <w:jc w:val="left"/>
      </w:pPr>
      <w:r>
        <w:rPr>
          <w:b w:val="0"/>
          <w:i w:val="0"/>
          <w:sz w:val="22"/>
        </w:rPr>
        <w:t>The 100,000-row CSV is ingested as a distributed PySpark DataFrame. Null values are filled with zero. The hotspot target label is dynamically computed as a binary variable where Microplastic_Concentration above the 75th percentile (33.3 µg/L, computed via approxQuantile) is labelled Hotspot=1.</w:t>
      </w:r>
    </w:p>
    <w:p>
      <w:pPr>
        <w:spacing w:before="120" w:after="40"/>
      </w:pPr>
      <w:r>
        <w:rPr>
          <w:b/>
          <w:i/>
          <w:color w:val="3B82F6"/>
          <w:sz w:val="22"/>
        </w:rPr>
        <w:t>Step 3: Spatio-Temporal Feature Engineering</w:t>
      </w:r>
    </w:p>
    <w:p>
      <w:pPr>
        <w:pBdr>
          <w:bottom w:val="single" w:sz="4" w:space="1" w:color="3B82F6"/>
        </w:pBdr>
        <w:spacing w:before="80" w:after="80"/>
      </w:pPr>
    </w:p>
    <w:p>
      <w:pPr>
        <w:spacing w:after="120" w:before="40"/>
        <w:jc w:val="left"/>
      </w:pPr>
      <w:r>
        <w:rPr>
          <w:b w:val="0"/>
          <w:i w:val="0"/>
          <w:sz w:val="22"/>
        </w:rPr>
        <w:t>Latitude and Longitude are rounded to 1° precision to create Grid_Lat and Grid_Lon spatial partitioning keys. A month extraction from Date creates a Seasonal_Index. The 30-Day rolling average of Ocean_Current_Velocity is computed using PySpark's Window function partitioned by (Grid_Lat, Grid_Lon) and ordered by Unix timestamp, with a time-based range of -2,592,000 to 0 seconds.</w:t>
      </w:r>
    </w:p>
    <w:p>
      <w:pPr>
        <w:spacing w:before="120" w:after="40"/>
      </w:pPr>
      <w:r>
        <w:rPr>
          <w:b/>
          <w:i/>
          <w:color w:val="3B82F6"/>
          <w:sz w:val="22"/>
        </w:rPr>
        <w:t>Step 4: Feature Scaling &amp; KMeans Clustering (Layer 1)</w:t>
      </w:r>
    </w:p>
    <w:p>
      <w:pPr>
        <w:pBdr>
          <w:bottom w:val="single" w:sz="4" w:space="1" w:color="3B82F6"/>
        </w:pBdr>
        <w:spacing w:before="80" w:after="80"/>
      </w:pPr>
    </w:p>
    <w:p>
      <w:pPr>
        <w:spacing w:after="120" w:before="40"/>
        <w:jc w:val="left"/>
      </w:pPr>
      <w:r>
        <w:rPr>
          <w:b w:val="0"/>
          <w:i w:val="0"/>
          <w:sz w:val="22"/>
        </w:rPr>
        <w:t>All 10 features are assembled into a feature vector using VectorAssembler and standardised using StandardScaler (zero mean, unit variance). KMeans clustering (k=5, seed=42) is applied, achieving a Silhouette Score of 0.169. The resulting cluster label is appended to the feature vector for Layer 2.</w:t>
      </w:r>
    </w:p>
    <w:p>
      <w:pPr>
        <w:spacing w:before="120" w:after="40"/>
      </w:pPr>
      <w:r>
        <w:rPr>
          <w:b/>
          <w:i/>
          <w:color w:val="3B82F6"/>
          <w:sz w:val="22"/>
        </w:rPr>
        <w:t>Step 5: Random Forest Classification (Layer 2)</w:t>
      </w:r>
    </w:p>
    <w:p>
      <w:pPr>
        <w:pBdr>
          <w:bottom w:val="single" w:sz="4" w:space="1" w:color="3B82F6"/>
        </w:pBdr>
        <w:spacing w:before="80" w:after="80"/>
      </w:pPr>
    </w:p>
    <w:p>
      <w:pPr>
        <w:spacing w:after="120" w:before="40"/>
        <w:jc w:val="left"/>
      </w:pPr>
      <w:r>
        <w:rPr>
          <w:b w:val="0"/>
          <w:i w:val="0"/>
          <w:sz w:val="22"/>
        </w:rPr>
        <w:t>A Random Forest Classifier (numTrees=30, maxDepth=10) is trained on the 11-feature vector (10 base features + cluster label) to predict the binary Hotspot label. The model achieves 81.12% accuracy on the training prediction set.</w:t>
      </w:r>
    </w:p>
    <w:p>
      <w:pPr>
        <w:spacing w:before="200" w:after="60"/>
      </w:pPr>
      <w:r>
        <w:rPr>
          <w:b/>
          <w:color w:val="2563EB"/>
          <w:sz w:val="24"/>
        </w:rPr>
        <w:t>5.4 Graph Analytics Module (graph_analytics.py)</w:t>
      </w:r>
    </w:p>
    <w:p>
      <w:pPr>
        <w:pBdr>
          <w:bottom w:val="single" w:sz="4" w:space="1" w:color="3B82F6"/>
        </w:pBdr>
        <w:spacing w:before="80" w:after="80"/>
      </w:pPr>
    </w:p>
    <w:p>
      <w:pPr>
        <w:spacing w:after="120" w:before="40"/>
        <w:jc w:val="left"/>
      </w:pPr>
      <w:r>
        <w:rPr>
          <w:b w:val="0"/>
          <w:i w:val="0"/>
          <w:sz w:val="22"/>
        </w:rPr>
        <w:t>The graph analytics module operates on the 2,000-point dashboard export (predictions.json), aggregated to 5°×5° grid cells via groupBy aggregation, yielding 729 unique grid cell nodes.</w:t>
      </w:r>
    </w:p>
    <w:p>
      <w:pPr>
        <w:spacing w:before="120" w:after="40"/>
      </w:pPr>
      <w:r>
        <w:rPr>
          <w:b/>
          <w:i/>
          <w:color w:val="3B82F6"/>
          <w:sz w:val="22"/>
        </w:rPr>
        <w:t>Graph Construction</w:t>
      </w:r>
    </w:p>
    <w:p>
      <w:pPr>
        <w:pBdr>
          <w:bottom w:val="single" w:sz="4" w:space="1" w:color="3B82F6"/>
        </w:pBdr>
        <w:spacing w:before="80" w:after="80"/>
      </w:pPr>
    </w:p>
    <w:p>
      <w:pPr>
        <w:spacing w:after="120" w:before="40"/>
        <w:jc w:val="left"/>
      </w:pPr>
      <w:r>
        <w:rPr>
          <w:b w:val="0"/>
          <w:i w:val="0"/>
          <w:sz w:val="22"/>
        </w:rPr>
        <w:t>An undirected weighted graph G is constructed using NetworkX. Two grid cell nodes receive an edge if their Euclidean distance in lat/lon space is within 8°. Edge weight is the average microplastic concentration between the two connected cells. Degree is capped at 6 neighbours per node to maintain graph readability.</w:t>
      </w:r>
    </w:p>
    <w:p>
      <w:pPr>
        <w:spacing w:before="120" w:after="40"/>
      </w:pPr>
      <w:r>
        <w:rPr>
          <w:b/>
          <w:i/>
          <w:color w:val="3B82F6"/>
          <w:sz w:val="22"/>
        </w:rPr>
        <w:t>Metric Computation</w:t>
      </w:r>
    </w:p>
    <w:p>
      <w:pPr>
        <w:pBdr>
          <w:bottom w:val="single" w:sz="4" w:space="1" w:color="3B82F6"/>
        </w:pBdr>
        <w:spacing w:before="80" w:after="80"/>
      </w:pPr>
    </w:p>
    <w:p>
      <w:pPr>
        <w:pStyle w:val="ListBullet"/>
        <w:spacing w:after="60" w:before="20"/>
        <w:ind w:left="432"/>
      </w:pPr>
      <w:r>
        <w:rPr>
          <w:sz w:val="22"/>
        </w:rPr>
        <w:t>PageRank (α=0.85, weight=concentration): Measures the recursive influence of each grid cell — nodes connected to many other high-concentration nodes receive higher scores.</w:t>
      </w:r>
    </w:p>
    <w:p>
      <w:pPr>
        <w:pStyle w:val="ListBullet"/>
        <w:spacing w:after="60" w:before="20"/>
        <w:ind w:left="432"/>
      </w:pPr>
      <w:r>
        <w:rPr>
          <w:sz w:val="22"/>
        </w:rPr>
        <w:t>Betweenness Centrality (normalised): Measures how often a node lies on the shortest path between two other nodes — identifying pollution bridge corridors.</w:t>
      </w:r>
    </w:p>
    <w:p>
      <w:pPr>
        <w:pStyle w:val="ListBullet"/>
        <w:spacing w:after="60" w:before="20"/>
        <w:ind w:left="432"/>
      </w:pPr>
      <w:r>
        <w:rPr>
          <w:sz w:val="22"/>
        </w:rPr>
        <w:t>Degree Centrality: Fraction of possible connections realised for each node.</w:t>
      </w:r>
    </w:p>
    <w:p>
      <w:pPr>
        <w:pStyle w:val="ListBullet"/>
        <w:spacing w:after="60" w:before="20"/>
        <w:ind w:left="432"/>
      </w:pPr>
      <w:r>
        <w:rPr>
          <w:sz w:val="22"/>
        </w:rPr>
        <w:t>Louvain Community Detection (python-louvain): Identifies natural node groupings based on graph connectivity structure, independent of geographic proximity.</w:t>
      </w:r>
    </w:p>
    <w:p>
      <w:pPr>
        <w:pStyle w:val="ListBullet"/>
        <w:spacing w:after="60" w:before="20"/>
        <w:ind w:left="432"/>
      </w:pPr>
      <w:r>
        <w:rPr>
          <w:sz w:val="22"/>
        </w:rPr>
        <w:t>Spread Risk Score: Composite score = 0.40×(Concentration/100) + 0.30×(PageRank×10) + 0.20×Betweenness + 0.10×Degree Centrality. Ranks nodes by systemic risk.</w:t>
      </w:r>
    </w:p>
    <w:p>
      <w:pPr>
        <w:spacing w:before="280" w:after="80"/>
      </w:pPr>
      <w:r>
        <w:rPr>
          <w:b/>
          <w:color w:val="1E40AF"/>
          <w:sz w:val="28"/>
        </w:rPr>
        <w:t>6. Results</w:t>
      </w:r>
    </w:p>
    <w:p>
      <w:pPr>
        <w:pBdr>
          <w:bottom w:val="single" w:sz="4" w:space="1" w:color="3B82F6"/>
        </w:pBdr>
        <w:spacing w:before="80" w:after="80"/>
      </w:pPr>
    </w:p>
    <w:p>
      <w:pPr>
        <w:spacing w:before="200" w:after="60"/>
      </w:pPr>
      <w:r>
        <w:rPr>
          <w:b/>
          <w:color w:val="2563EB"/>
          <w:sz w:val="24"/>
        </w:rPr>
        <w:t>6.0 System Dashboard — Screenshots</w:t>
      </w:r>
    </w:p>
    <w:p>
      <w:pPr>
        <w:pBdr>
          <w:bottom w:val="single" w:sz="4" w:space="1" w:color="3B82F6"/>
        </w:pBdr>
        <w:spacing w:before="80" w:after="80"/>
      </w:pPr>
    </w:p>
    <w:p>
      <w:pPr>
        <w:spacing w:after="160" w:before="40"/>
        <w:jc w:val="left"/>
      </w:pPr>
      <w:r>
        <w:rPr>
          <w:b w:val="0"/>
          <w:i w:val="0"/>
          <w:sz w:val="22"/>
        </w:rPr>
        <w:t>The following figures show the operational Streamlit dashboard deployed for this project. Figure 1 shows the ML Pipeline Dashboard tab with real-time KPI cards, the global accumulation map, and feature importance chart. Figures 2–4 show the Graph Analytics tab including the pollution network risk map, PageRank and betweenness charts, and the critical zone ranking table.</w:t>
      </w:r>
    </w:p>
    <w:p>
      <w:pPr>
        <w:jc w:val="center"/>
      </w:pPr>
      <w:r>
        <w:drawing>
          <wp:inline xmlns:a="http://schemas.openxmlformats.org/drawingml/2006/main" xmlns:pic="http://schemas.openxmlformats.org/drawingml/2006/picture">
            <wp:extent cx="5486400" cy="3138450"/>
            <wp:docPr id="1" name="Picture 1"/>
            <wp:cNvGraphicFramePr>
              <a:graphicFrameLocks noChangeAspect="1"/>
            </wp:cNvGraphicFramePr>
            <a:graphic>
              <a:graphicData uri="http://schemas.openxmlformats.org/drawingml/2006/picture">
                <pic:pic>
                  <pic:nvPicPr>
                    <pic:cNvPr id="0" name="fig1_ml_dashboard.png"/>
                    <pic:cNvPicPr/>
                  </pic:nvPicPr>
                  <pic:blipFill>
                    <a:blip r:embed="rId9"/>
                    <a:stretch>
                      <a:fillRect/>
                    </a:stretch>
                  </pic:blipFill>
                  <pic:spPr>
                    <a:xfrm>
                      <a:off x="0" y="0"/>
                      <a:ext cx="5486400" cy="3138450"/>
                    </a:xfrm>
                    <a:prstGeom prst="rect"/>
                  </pic:spPr>
                </pic:pic>
              </a:graphicData>
            </a:graphic>
          </wp:inline>
        </w:drawing>
      </w:r>
    </w:p>
    <w:p>
      <w:pPr>
        <w:spacing w:after="200"/>
        <w:jc w:val="center"/>
      </w:pPr>
      <w:r>
        <w:rPr>
          <w:i/>
          <w:color w:val="64748B"/>
          <w:sz w:val="18"/>
        </w:rPr>
        <w:t>Figure 1: ML Pipeline Dashboard — KPI Cards, Global Hotspot Map &amp; Feature Importance</w:t>
      </w:r>
    </w:p>
    <w:p>
      <w:pPr>
        <w:jc w:val="center"/>
      </w:pPr>
      <w:r>
        <w:drawing>
          <wp:inline xmlns:a="http://schemas.openxmlformats.org/drawingml/2006/main" xmlns:pic="http://schemas.openxmlformats.org/drawingml/2006/picture">
            <wp:extent cx="5486400" cy="3136526"/>
            <wp:docPr id="2" name="Picture 2"/>
            <wp:cNvGraphicFramePr>
              <a:graphicFrameLocks noChangeAspect="1"/>
            </wp:cNvGraphicFramePr>
            <a:graphic>
              <a:graphicData uri="http://schemas.openxmlformats.org/drawingml/2006/picture">
                <pic:pic>
                  <pic:nvPicPr>
                    <pic:cNvPr id="0" name="fig2_graph_kpis.png"/>
                    <pic:cNvPicPr/>
                  </pic:nvPicPr>
                  <pic:blipFill>
                    <a:blip r:embed="rId10"/>
                    <a:stretch>
                      <a:fillRect/>
                    </a:stretch>
                  </pic:blipFill>
                  <pic:spPr>
                    <a:xfrm>
                      <a:off x="0" y="0"/>
                      <a:ext cx="5486400" cy="3136526"/>
                    </a:xfrm>
                    <a:prstGeom prst="rect"/>
                  </pic:spPr>
                </pic:pic>
              </a:graphicData>
            </a:graphic>
          </wp:inline>
        </w:drawing>
      </w:r>
    </w:p>
    <w:p>
      <w:pPr>
        <w:spacing w:after="200"/>
        <w:jc w:val="center"/>
      </w:pPr>
      <w:r>
        <w:rPr>
          <w:i/>
          <w:color w:val="64748B"/>
          <w:sz w:val="18"/>
        </w:rPr>
        <w:t>Figure 2: Graph Analytics Tab — KPI Cards, Pollution Propagation Network Risk Map &amp; Actionable Insights</w:t>
      </w:r>
    </w:p>
    <w:p>
      <w:pPr>
        <w:jc w:val="center"/>
      </w:pPr>
      <w:r>
        <w:drawing>
          <wp:inline xmlns:a="http://schemas.openxmlformats.org/drawingml/2006/main" xmlns:pic="http://schemas.openxmlformats.org/drawingml/2006/picture">
            <wp:extent cx="5486400" cy="3136526"/>
            <wp:docPr id="3" name="Picture 3"/>
            <wp:cNvGraphicFramePr>
              <a:graphicFrameLocks noChangeAspect="1"/>
            </wp:cNvGraphicFramePr>
            <a:graphic>
              <a:graphicData uri="http://schemas.openxmlformats.org/drawingml/2006/picture">
                <pic:pic>
                  <pic:nvPicPr>
                    <pic:cNvPr id="0" name="fig3_graph_charts.png"/>
                    <pic:cNvPicPr/>
                  </pic:nvPicPr>
                  <pic:blipFill>
                    <a:blip r:embed="rId11"/>
                    <a:stretch>
                      <a:fillRect/>
                    </a:stretch>
                  </pic:blipFill>
                  <pic:spPr>
                    <a:xfrm>
                      <a:off x="0" y="0"/>
                      <a:ext cx="5486400" cy="3136526"/>
                    </a:xfrm>
                    <a:prstGeom prst="rect"/>
                  </pic:spPr>
                </pic:pic>
              </a:graphicData>
            </a:graphic>
          </wp:inline>
        </w:drawing>
      </w:r>
    </w:p>
    <w:p>
      <w:pPr>
        <w:spacing w:after="200"/>
        <w:jc w:val="center"/>
      </w:pPr>
      <w:r>
        <w:rPr>
          <w:i/>
          <w:color w:val="64748B"/>
          <w:sz w:val="18"/>
        </w:rPr>
        <w:t>Figure 3: Graph Analytics — PageRank Influence Scores, Betweenness Centrality &amp; Spread Risk Scatter Plot</w:t>
      </w:r>
    </w:p>
    <w:p>
      <w:pPr>
        <w:jc w:val="center"/>
      </w:pPr>
      <w:r>
        <w:drawing>
          <wp:inline xmlns:a="http://schemas.openxmlformats.org/drawingml/2006/main" xmlns:pic="http://schemas.openxmlformats.org/drawingml/2006/picture">
            <wp:extent cx="5486400" cy="2714625"/>
            <wp:docPr id="4" name="Picture 4"/>
            <wp:cNvGraphicFramePr>
              <a:graphicFrameLocks noChangeAspect="1"/>
            </wp:cNvGraphicFramePr>
            <a:graphic>
              <a:graphicData uri="http://schemas.openxmlformats.org/drawingml/2006/picture">
                <pic:pic>
                  <pic:nvPicPr>
                    <pic:cNvPr id="0" name="fig4_graph_table.png"/>
                    <pic:cNvPicPr/>
                  </pic:nvPicPr>
                  <pic:blipFill>
                    <a:blip r:embed="rId12"/>
                    <a:stretch>
                      <a:fillRect/>
                    </a:stretch>
                  </pic:blipFill>
                  <pic:spPr>
                    <a:xfrm>
                      <a:off x="0" y="0"/>
                      <a:ext cx="5486400" cy="2714625"/>
                    </a:xfrm>
                    <a:prstGeom prst="rect"/>
                  </pic:spPr>
                </pic:pic>
              </a:graphicData>
            </a:graphic>
          </wp:inline>
        </w:drawing>
      </w:r>
    </w:p>
    <w:p>
      <w:pPr>
        <w:spacing w:after="200"/>
        <w:jc w:val="center"/>
      </w:pPr>
      <w:r>
        <w:rPr>
          <w:i/>
          <w:color w:val="64748B"/>
          <w:sz w:val="18"/>
        </w:rPr>
        <w:t>Figure 4: Graph Analytics — Critical &amp; High-Risk Zone Ranking Table with Spread Risk Scores</w:t>
      </w:r>
    </w:p>
    <w:p/>
    <w:p>
      <w:pPr>
        <w:spacing w:before="200" w:after="60"/>
      </w:pPr>
      <w:r>
        <w:rPr>
          <w:b/>
          <w:color w:val="2563EB"/>
          <w:sz w:val="24"/>
        </w:rPr>
        <w:t>6.1 Machine Learning Pipeline Results</w:t>
      </w:r>
    </w:p>
    <w:p>
      <w:pPr>
        <w:pBdr>
          <w:bottom w:val="single" w:sz="4" w:space="1" w:color="3B82F6"/>
        </w:pBdr>
        <w:spacing w:before="80" w:after="80"/>
      </w:pP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BEAFE"/>
          </w:tcPr>
          <w:p>
            <w:r>
              <w:rPr>
                <w:b/>
                <w:sz w:val="20"/>
              </w:rPr>
              <w:t>Metric</w:t>
            </w:r>
          </w:p>
        </w:tc>
        <w:tc>
          <w:tcPr>
            <w:tcW w:type="dxa" w:w="3022"/>
            <w:shd w:val="clear" w:color="auto" w:fill="DBEAFE"/>
          </w:tcPr>
          <w:p>
            <w:r>
              <w:rPr>
                <w:b/>
                <w:sz w:val="20"/>
              </w:rPr>
              <w:t>Value</w:t>
            </w:r>
          </w:p>
        </w:tc>
        <w:tc>
          <w:tcPr>
            <w:tcW w:type="dxa" w:w="3022"/>
            <w:shd w:val="clear" w:color="auto" w:fill="DBEAFE"/>
          </w:tcPr>
          <w:p>
            <w:r>
              <w:rPr>
                <w:b/>
                <w:sz w:val="20"/>
              </w:rPr>
              <w:t>Interpretation</w:t>
            </w:r>
          </w:p>
        </w:tc>
      </w:tr>
      <w:tr>
        <w:tc>
          <w:tcPr>
            <w:tcW w:type="dxa" w:w="3022"/>
          </w:tcPr>
          <w:p>
            <w:r>
              <w:rPr>
                <w:sz w:val="20"/>
              </w:rPr>
              <w:t>Random Forest Accuracy</w:t>
            </w:r>
          </w:p>
        </w:tc>
        <w:tc>
          <w:tcPr>
            <w:tcW w:type="dxa" w:w="3022"/>
          </w:tcPr>
          <w:p>
            <w:r>
              <w:rPr>
                <w:sz w:val="20"/>
              </w:rPr>
              <w:t>81.12%</w:t>
            </w:r>
          </w:p>
        </w:tc>
        <w:tc>
          <w:tcPr>
            <w:tcW w:type="dxa" w:w="3022"/>
          </w:tcPr>
          <w:p>
            <w:r>
              <w:rPr>
                <w:sz w:val="20"/>
              </w:rPr>
              <w:t>Correctly predicts hotspot/non-hotspot zones</w:t>
            </w:r>
          </w:p>
        </w:tc>
      </w:tr>
      <w:tr>
        <w:tc>
          <w:tcPr>
            <w:tcW w:type="dxa" w:w="3022"/>
          </w:tcPr>
          <w:p>
            <w:r>
              <w:rPr>
                <w:sz w:val="20"/>
              </w:rPr>
              <w:t>KMeans Silhouette Score</w:t>
            </w:r>
          </w:p>
        </w:tc>
        <w:tc>
          <w:tcPr>
            <w:tcW w:type="dxa" w:w="3022"/>
          </w:tcPr>
          <w:p>
            <w:r>
              <w:rPr>
                <w:sz w:val="20"/>
              </w:rPr>
              <w:t>0.169</w:t>
            </w:r>
          </w:p>
        </w:tc>
        <w:tc>
          <w:tcPr>
            <w:tcW w:type="dxa" w:w="3022"/>
          </w:tcPr>
          <w:p>
            <w:r>
              <w:rPr>
                <w:sz w:val="20"/>
              </w:rPr>
              <w:t>Clusters are geometrically distinct (&gt;0 is valid)</w:t>
            </w:r>
          </w:p>
        </w:tc>
      </w:tr>
      <w:tr>
        <w:tc>
          <w:tcPr>
            <w:tcW w:type="dxa" w:w="3022"/>
          </w:tcPr>
          <w:p>
            <w:r>
              <w:rPr>
                <w:sz w:val="20"/>
              </w:rPr>
              <w:t>Hotspot Threshold</w:t>
            </w:r>
          </w:p>
        </w:tc>
        <w:tc>
          <w:tcPr>
            <w:tcW w:type="dxa" w:w="3022"/>
          </w:tcPr>
          <w:p>
            <w:r>
              <w:rPr>
                <w:sz w:val="20"/>
              </w:rPr>
              <w:t>33.3 µg/L</w:t>
            </w:r>
          </w:p>
        </w:tc>
        <w:tc>
          <w:tcPr>
            <w:tcW w:type="dxa" w:w="3022"/>
          </w:tcPr>
          <w:p>
            <w:r>
              <w:rPr>
                <w:sz w:val="20"/>
              </w:rPr>
              <w:t>Dynamic 75th percentile cutoff on concentration</w:t>
            </w:r>
          </w:p>
        </w:tc>
      </w:tr>
      <w:tr>
        <w:tc>
          <w:tcPr>
            <w:tcW w:type="dxa" w:w="3022"/>
          </w:tcPr>
          <w:p>
            <w:r>
              <w:rPr>
                <w:sz w:val="20"/>
              </w:rPr>
              <w:t>Identified Hotspots</w:t>
            </w:r>
          </w:p>
        </w:tc>
        <w:tc>
          <w:tcPr>
            <w:tcW w:type="dxa" w:w="3022"/>
          </w:tcPr>
          <w:p>
            <w:r>
              <w:rPr>
                <w:sz w:val="20"/>
              </w:rPr>
              <w:t>513 / 2000</w:t>
            </w:r>
          </w:p>
        </w:tc>
        <w:tc>
          <w:tcPr>
            <w:tcW w:type="dxa" w:w="3022"/>
          </w:tcPr>
          <w:p>
            <w:r>
              <w:rPr>
                <w:sz w:val="20"/>
              </w:rPr>
              <w:t>Predicted high-risk points in dashboard sample</w:t>
            </w:r>
          </w:p>
        </w:tc>
      </w:tr>
      <w:tr>
        <w:tc>
          <w:tcPr>
            <w:tcW w:type="dxa" w:w="3022"/>
          </w:tcPr>
          <w:p>
            <w:r>
              <w:rPr>
                <w:sz w:val="20"/>
              </w:rPr>
              <w:t>Top Feature: OCV</w:t>
            </w:r>
          </w:p>
        </w:tc>
        <w:tc>
          <w:tcPr>
            <w:tcW w:type="dxa" w:w="3022"/>
          </w:tcPr>
          <w:p>
            <w:r>
              <w:rPr>
                <w:sz w:val="20"/>
              </w:rPr>
              <w:t>0.457</w:t>
            </w:r>
          </w:p>
        </w:tc>
        <w:tc>
          <w:tcPr>
            <w:tcW w:type="dxa" w:w="3022"/>
          </w:tcPr>
          <w:p>
            <w:r>
              <w:rPr>
                <w:sz w:val="20"/>
              </w:rPr>
              <w:t>Ocean current velocity is the dominant predictor</w:t>
            </w:r>
          </w:p>
        </w:tc>
      </w:tr>
      <w:tr>
        <w:tc>
          <w:tcPr>
            <w:tcW w:type="dxa" w:w="3022"/>
          </w:tcPr>
          <w:p>
            <w:r>
              <w:rPr>
                <w:sz w:val="20"/>
              </w:rPr>
              <w:t>Top Feature: Cluster</w:t>
            </w:r>
          </w:p>
        </w:tc>
        <w:tc>
          <w:tcPr>
            <w:tcW w:type="dxa" w:w="3022"/>
          </w:tcPr>
          <w:p>
            <w:r>
              <w:rPr>
                <w:sz w:val="20"/>
              </w:rPr>
              <w:t>0.189</w:t>
            </w:r>
          </w:p>
        </w:tc>
        <w:tc>
          <w:tcPr>
            <w:tcW w:type="dxa" w:w="3022"/>
          </w:tcPr>
          <w:p>
            <w:r>
              <w:rPr>
                <w:sz w:val="20"/>
              </w:rPr>
              <w:t>KMeans zone label is 2nd most important feature</w:t>
            </w:r>
          </w:p>
        </w:tc>
      </w:tr>
      <w:tr>
        <w:tc>
          <w:tcPr>
            <w:tcW w:type="dxa" w:w="3022"/>
          </w:tcPr>
          <w:p>
            <w:r>
              <w:rPr>
                <w:sz w:val="20"/>
              </w:rPr>
              <w:t>Top Feature: Wind Speed</w:t>
            </w:r>
          </w:p>
        </w:tc>
        <w:tc>
          <w:tcPr>
            <w:tcW w:type="dxa" w:w="3022"/>
          </w:tcPr>
          <w:p>
            <w:r>
              <w:rPr>
                <w:sz w:val="20"/>
              </w:rPr>
              <w:t>0.134</w:t>
            </w:r>
          </w:p>
        </w:tc>
        <w:tc>
          <w:tcPr>
            <w:tcW w:type="dxa" w:w="3022"/>
          </w:tcPr>
          <w:p>
            <w:r>
              <w:rPr>
                <w:sz w:val="20"/>
              </w:rPr>
              <w:t>Wind dispersal is 3rd most important factor</w:t>
            </w:r>
          </w:p>
        </w:tc>
      </w:tr>
      <w:tr>
        <w:tc>
          <w:tcPr>
            <w:tcW w:type="dxa" w:w="3022"/>
          </w:tcPr>
          <w:p>
            <w:r>
              <w:rPr>
                <w:sz w:val="20"/>
              </w:rPr>
              <w:t>Rolling 30D Current Imp.</w:t>
            </w:r>
          </w:p>
        </w:tc>
        <w:tc>
          <w:tcPr>
            <w:tcW w:type="dxa" w:w="3022"/>
          </w:tcPr>
          <w:p>
            <w:r>
              <w:rPr>
                <w:sz w:val="20"/>
              </w:rPr>
              <w:t>0.097</w:t>
            </w:r>
          </w:p>
        </w:tc>
        <w:tc>
          <w:tcPr>
            <w:tcW w:type="dxa" w:w="3022"/>
          </w:tcPr>
          <w:p>
            <w:r>
              <w:rPr>
                <w:sz w:val="20"/>
              </w:rPr>
              <w:t>Temporal current history adds predictive signal</w:t>
            </w:r>
          </w:p>
        </w:tc>
      </w:tr>
    </w:tbl>
    <w:p/>
    <w:p>
      <w:pPr>
        <w:spacing w:before="200" w:after="60"/>
      </w:pPr>
      <w:r>
        <w:rPr>
          <w:b/>
          <w:color w:val="2563EB"/>
          <w:sz w:val="24"/>
        </w:rPr>
        <w:t>6.2 Graph Analytics Results</w:t>
      </w:r>
    </w:p>
    <w:p>
      <w:pPr>
        <w:pBdr>
          <w:bottom w:val="single" w:sz="4" w:space="1" w:color="3B82F6"/>
        </w:pBdr>
        <w:spacing w:before="80" w:after="80"/>
      </w:pP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FEE2E2"/>
          </w:tcPr>
          <w:p>
            <w:r>
              <w:rPr>
                <w:b/>
                <w:sz w:val="20"/>
              </w:rPr>
              <w:t>Graph Metric</w:t>
            </w:r>
          </w:p>
        </w:tc>
        <w:tc>
          <w:tcPr>
            <w:tcW w:type="dxa" w:w="3022"/>
            <w:shd w:val="clear" w:color="auto" w:fill="FEE2E2"/>
          </w:tcPr>
          <w:p>
            <w:r>
              <w:rPr>
                <w:b/>
                <w:sz w:val="20"/>
              </w:rPr>
              <w:t>Value</w:t>
            </w:r>
          </w:p>
        </w:tc>
        <w:tc>
          <w:tcPr>
            <w:tcW w:type="dxa" w:w="3022"/>
            <w:shd w:val="clear" w:color="auto" w:fill="FEE2E2"/>
          </w:tcPr>
          <w:p>
            <w:r>
              <w:rPr>
                <w:b/>
                <w:sz w:val="20"/>
              </w:rPr>
              <w:t>Significance</w:t>
            </w:r>
          </w:p>
        </w:tc>
      </w:tr>
      <w:tr>
        <w:tc>
          <w:tcPr>
            <w:tcW w:type="dxa" w:w="3022"/>
          </w:tcPr>
          <w:p>
            <w:r>
              <w:rPr>
                <w:sz w:val="20"/>
              </w:rPr>
              <w:t>Total Graph Nodes</w:t>
            </w:r>
          </w:p>
        </w:tc>
        <w:tc>
          <w:tcPr>
            <w:tcW w:type="dxa" w:w="3022"/>
          </w:tcPr>
          <w:p>
            <w:r>
              <w:rPr>
                <w:sz w:val="20"/>
              </w:rPr>
              <w:t>729</w:t>
            </w:r>
          </w:p>
        </w:tc>
        <w:tc>
          <w:tcPr>
            <w:tcW w:type="dxa" w:w="3022"/>
          </w:tcPr>
          <w:p>
            <w:r>
              <w:rPr>
                <w:sz w:val="20"/>
              </w:rPr>
              <w:t>Unique 5°×5° ocean grid cells in the network</w:t>
            </w:r>
          </w:p>
        </w:tc>
      </w:tr>
      <w:tr>
        <w:tc>
          <w:tcPr>
            <w:tcW w:type="dxa" w:w="3022"/>
          </w:tcPr>
          <w:p>
            <w:r>
              <w:rPr>
                <w:sz w:val="20"/>
              </w:rPr>
              <w:t>Total Graph Edges</w:t>
            </w:r>
          </w:p>
        </w:tc>
        <w:tc>
          <w:tcPr>
            <w:tcW w:type="dxa" w:w="3022"/>
          </w:tcPr>
          <w:p>
            <w:r>
              <w:rPr>
                <w:sz w:val="20"/>
              </w:rPr>
              <w:t>1731</w:t>
            </w:r>
          </w:p>
        </w:tc>
        <w:tc>
          <w:tcPr>
            <w:tcW w:type="dxa" w:w="3022"/>
          </w:tcPr>
          <w:p>
            <w:r>
              <w:rPr>
                <w:sz w:val="20"/>
              </w:rPr>
              <w:t>Spatial proximity connections between grid cells</w:t>
            </w:r>
          </w:p>
        </w:tc>
      </w:tr>
      <w:tr>
        <w:tc>
          <w:tcPr>
            <w:tcW w:type="dxa" w:w="3022"/>
          </w:tcPr>
          <w:p>
            <w:r>
              <w:rPr>
                <w:sz w:val="20"/>
              </w:rPr>
              <w:t>Critical Risk Zones</w:t>
            </w:r>
          </w:p>
        </w:tc>
        <w:tc>
          <w:tcPr>
            <w:tcW w:type="dxa" w:w="3022"/>
          </w:tcPr>
          <w:p>
            <w:r>
              <w:rPr>
                <w:sz w:val="20"/>
              </w:rPr>
              <w:t>110</w:t>
            </w:r>
          </w:p>
        </w:tc>
        <w:tc>
          <w:tcPr>
            <w:tcW w:type="dxa" w:w="3022"/>
          </w:tcPr>
          <w:p>
            <w:r>
              <w:rPr>
                <w:sz w:val="20"/>
              </w:rPr>
              <w:t>Top 15% by Spread Risk Score — immediate intervention</w:t>
            </w:r>
          </w:p>
        </w:tc>
      </w:tr>
      <w:tr>
        <w:tc>
          <w:tcPr>
            <w:tcW w:type="dxa" w:w="3022"/>
          </w:tcPr>
          <w:p>
            <w:r>
              <w:rPr>
                <w:sz w:val="20"/>
              </w:rPr>
              <w:t>High Risk Zones</w:t>
            </w:r>
          </w:p>
        </w:tc>
        <w:tc>
          <w:tcPr>
            <w:tcW w:type="dxa" w:w="3022"/>
          </w:tcPr>
          <w:p>
            <w:r>
              <w:rPr>
                <w:sz w:val="20"/>
              </w:rPr>
              <w:t>145</w:t>
            </w:r>
          </w:p>
        </w:tc>
        <w:tc>
          <w:tcPr>
            <w:tcW w:type="dxa" w:w="3022"/>
          </w:tcPr>
          <w:p>
            <w:r>
              <w:rPr>
                <w:sz w:val="20"/>
              </w:rPr>
              <w:t>Top 15–35% by Spread Risk Score — elevated alert</w:t>
            </w:r>
          </w:p>
        </w:tc>
      </w:tr>
      <w:tr>
        <w:tc>
          <w:tcPr>
            <w:tcW w:type="dxa" w:w="3022"/>
          </w:tcPr>
          <w:p>
            <w:r>
              <w:rPr>
                <w:sz w:val="20"/>
              </w:rPr>
              <w:t>Pollution Bridge Nodes</w:t>
            </w:r>
          </w:p>
        </w:tc>
        <w:tc>
          <w:tcPr>
            <w:tcW w:type="dxa" w:w="3022"/>
          </w:tcPr>
          <w:p>
            <w:r>
              <w:rPr>
                <w:sz w:val="20"/>
              </w:rPr>
              <w:t>68</w:t>
            </w:r>
          </w:p>
        </w:tc>
        <w:tc>
          <w:tcPr>
            <w:tcW w:type="dxa" w:w="3022"/>
          </w:tcPr>
          <w:p>
            <w:r>
              <w:rPr>
                <w:sz w:val="20"/>
              </w:rPr>
              <w:t>High betweenness + above-median concentration nodes</w:t>
            </w:r>
          </w:p>
        </w:tc>
      </w:tr>
      <w:tr>
        <w:tc>
          <w:tcPr>
            <w:tcW w:type="dxa" w:w="3022"/>
          </w:tcPr>
          <w:p>
            <w:r>
              <w:rPr>
                <w:sz w:val="20"/>
              </w:rPr>
              <w:t>Graph Communities</w:t>
            </w:r>
          </w:p>
        </w:tc>
        <w:tc>
          <w:tcPr>
            <w:tcW w:type="dxa" w:w="3022"/>
          </w:tcPr>
          <w:p>
            <w:r>
              <w:rPr>
                <w:sz w:val="20"/>
              </w:rPr>
              <w:t>74</w:t>
            </w:r>
          </w:p>
        </w:tc>
        <w:tc>
          <w:tcPr>
            <w:tcW w:type="dxa" w:w="3022"/>
          </w:tcPr>
          <w:p>
            <w:r>
              <w:rPr>
                <w:sz w:val="20"/>
              </w:rPr>
              <w:t>Louvain-detected network groupings</w:t>
            </w:r>
          </w:p>
        </w:tc>
      </w:tr>
      <w:tr>
        <w:tc>
          <w:tcPr>
            <w:tcW w:type="dxa" w:w="3022"/>
          </w:tcPr>
          <w:p>
            <w:r>
              <w:rPr>
                <w:sz w:val="20"/>
              </w:rPr>
              <w:t>Avg Pollution Path</w:t>
            </w:r>
          </w:p>
        </w:tc>
        <w:tc>
          <w:tcPr>
            <w:tcW w:type="dxa" w:w="3022"/>
          </w:tcPr>
          <w:p>
            <w:r>
              <w:rPr>
                <w:sz w:val="20"/>
              </w:rPr>
              <w:t>10.33 hops</w:t>
            </w:r>
          </w:p>
        </w:tc>
        <w:tc>
          <w:tcPr>
            <w:tcW w:type="dxa" w:w="3022"/>
          </w:tcPr>
          <w:p>
            <w:r>
              <w:rPr>
                <w:sz w:val="20"/>
              </w:rPr>
              <w:t>Steps to propagate pollution across the network</w:t>
            </w:r>
          </w:p>
        </w:tc>
      </w:tr>
      <w:tr>
        <w:tc>
          <w:tcPr>
            <w:tcW w:type="dxa" w:w="3022"/>
          </w:tcPr>
          <w:p>
            <w:r>
              <w:rPr>
                <w:sz w:val="20"/>
              </w:rPr>
              <w:t>Graph Density</w:t>
            </w:r>
          </w:p>
        </w:tc>
        <w:tc>
          <w:tcPr>
            <w:tcW w:type="dxa" w:w="3022"/>
          </w:tcPr>
          <w:p>
            <w:r>
              <w:rPr>
                <w:sz w:val="20"/>
              </w:rPr>
              <w:t>0.0065</w:t>
            </w:r>
          </w:p>
        </w:tc>
        <w:tc>
          <w:tcPr>
            <w:tcW w:type="dxa" w:w="3022"/>
          </w:tcPr>
          <w:p>
            <w:r>
              <w:rPr>
                <w:sz w:val="20"/>
              </w:rPr>
              <w:t>Fraction of possible edges present (sparse network)</w:t>
            </w:r>
          </w:p>
        </w:tc>
      </w:tr>
    </w:tbl>
    <w:p/>
    <w:p>
      <w:pPr>
        <w:spacing w:after="120" w:before="40"/>
        <w:jc w:val="left"/>
      </w:pPr>
      <w:r>
        <w:rPr>
          <w:b w:val="0"/>
          <w:i w:val="0"/>
          <w:sz w:val="22"/>
        </w:rPr>
        <w:t>Key Graph Finding: The Spread Risk Score reveals that the highest-risk ocean grid cell node acts as both a concentration hotspot AND a highly connected influence hub — meaning standard ML (which only sees local concentration) underestimates its systemic danger. The 68 identified bridge nodes are intervention chokepoints — disrupting plastic transport at these locations would reduce inter-zone spread across the entire network.</w:t>
      </w:r>
    </w:p>
    <w:p>
      <w:pPr>
        <w:spacing w:before="200" w:after="60"/>
      </w:pPr>
      <w:r>
        <w:rPr>
          <w:b/>
          <w:color w:val="2563EB"/>
          <w:sz w:val="24"/>
        </w:rPr>
        <w:t>6.3 Feature Importance Analysis</w:t>
      </w:r>
    </w:p>
    <w:p>
      <w:pPr>
        <w:pBdr>
          <w:bottom w:val="single" w:sz="4" w:space="1" w:color="3B82F6"/>
        </w:pBdr>
        <w:spacing w:before="80" w:after="80"/>
      </w:pPr>
    </w:p>
    <w:p>
      <w:pPr>
        <w:spacing w:after="120" w:before="40"/>
        <w:jc w:val="left"/>
      </w:pPr>
      <w:r>
        <w:rPr>
          <w:b w:val="0"/>
          <w:i w:val="0"/>
          <w:sz w:val="22"/>
        </w:rPr>
        <w:t>The Random Forest feature importance analysis reveals the physical mechanisms driving microplastic accumulation:</w:t>
      </w:r>
    </w:p>
    <w:p>
      <w:pPr>
        <w:pStyle w:val="ListBullet"/>
        <w:spacing w:after="60" w:before="20"/>
        <w:ind w:left="432"/>
      </w:pPr>
      <w:r>
        <w:rPr>
          <w:sz w:val="22"/>
        </w:rPr>
        <w:t>Rank 1: Ocean_Current_Velocity — Importance = 0.4568</w:t>
      </w:r>
    </w:p>
    <w:p>
      <w:pPr>
        <w:pStyle w:val="ListBullet"/>
        <w:spacing w:after="60" w:before="20"/>
        <w:ind w:left="432"/>
      </w:pPr>
      <w:r>
        <w:rPr>
          <w:sz w:val="22"/>
        </w:rPr>
        <w:t>Rank 2: cluster — Importance = 0.1892</w:t>
      </w:r>
    </w:p>
    <w:p>
      <w:pPr>
        <w:pStyle w:val="ListBullet"/>
        <w:spacing w:after="60" w:before="20"/>
        <w:ind w:left="432"/>
      </w:pPr>
      <w:r>
        <w:rPr>
          <w:sz w:val="22"/>
        </w:rPr>
        <w:t>Rank 3: Wind_Speed — Importance = 0.1340</w:t>
      </w:r>
    </w:p>
    <w:p>
      <w:pPr>
        <w:pStyle w:val="ListBullet"/>
        <w:spacing w:after="60" w:before="20"/>
        <w:ind w:left="432"/>
      </w:pPr>
      <w:r>
        <w:rPr>
          <w:sz w:val="22"/>
        </w:rPr>
        <w:t>Rank 4: Rolling_30D_Current — Importance = 0.0966</w:t>
      </w:r>
    </w:p>
    <w:p>
      <w:pPr>
        <w:pStyle w:val="ListBullet"/>
        <w:spacing w:after="60" w:before="20"/>
        <w:ind w:left="432"/>
      </w:pPr>
      <w:r>
        <w:rPr>
          <w:sz w:val="22"/>
        </w:rPr>
        <w:t>Rank 5: Sea_Surface_Temperature — Importance = 0.0198</w:t>
      </w:r>
    </w:p>
    <w:p>
      <w:pPr>
        <w:pStyle w:val="ListBullet"/>
        <w:spacing w:after="60" w:before="20"/>
        <w:ind w:left="432"/>
      </w:pPr>
      <w:r>
        <w:rPr>
          <w:sz w:val="22"/>
        </w:rPr>
        <w:t>Rank 6: Salinity — Importance = 0.0192</w:t>
      </w:r>
    </w:p>
    <w:p>
      <w:pPr>
        <w:pStyle w:val="ListBullet"/>
        <w:spacing w:after="60" w:before="20"/>
        <w:ind w:left="432"/>
      </w:pPr>
      <w:r>
        <w:rPr>
          <w:sz w:val="22"/>
        </w:rPr>
        <w:t>Rank 7: Distance_from_River_Mouth — Importance = 0.0182</w:t>
      </w:r>
    </w:p>
    <w:p>
      <w:pPr>
        <w:pStyle w:val="ListBullet"/>
        <w:spacing w:after="60" w:before="20"/>
        <w:ind w:left="432"/>
      </w:pPr>
      <w:r>
        <w:rPr>
          <w:sz w:val="22"/>
        </w:rPr>
        <w:t>Rank 8: Distance_from_Coastline — Importance = 0.0179</w:t>
      </w:r>
    </w:p>
    <w:p>
      <w:pPr>
        <w:pStyle w:val="ListBullet"/>
        <w:spacing w:after="60" w:before="20"/>
        <w:ind w:left="432"/>
      </w:pPr>
      <w:r>
        <w:rPr>
          <w:sz w:val="22"/>
        </w:rPr>
        <w:t>Rank 9: Wave_Height — Importance = 0.0177</w:t>
      </w:r>
    </w:p>
    <w:p>
      <w:pPr>
        <w:pStyle w:val="ListBullet"/>
        <w:spacing w:after="60" w:before="20"/>
        <w:ind w:left="432"/>
      </w:pPr>
      <w:r>
        <w:rPr>
          <w:sz w:val="22"/>
        </w:rPr>
        <w:t>Rank 10: Chlorophyll_Concentration — Importance = 0.0176</w:t>
      </w:r>
    </w:p>
    <w:p>
      <w:pPr>
        <w:pStyle w:val="ListBullet"/>
        <w:spacing w:after="60" w:before="20"/>
        <w:ind w:left="432"/>
      </w:pPr>
      <w:r>
        <w:rPr>
          <w:sz w:val="22"/>
        </w:rPr>
        <w:t>Rank 11: Seasonal_Index — Importance = 0.0130</w:t>
      </w:r>
    </w:p>
    <w:p>
      <w:pPr>
        <w:spacing w:after="80" w:before="40"/>
        <w:jc w:val="left"/>
      </w:pPr>
      <w:r>
        <w:rPr>
          <w:b w:val="0"/>
          <w:i w:val="0"/>
          <w:sz w:val="22"/>
        </w:rPr>
        <w:t>Ocean_Current_Velocity dominates as the primary transport mechanism. The cluster label (from KMeans Layer 1) ranks 2nd, validating the Two-Layer Architecture decision. Wind_Speed ranks 3rd as a surface dispersal force. The Rolling_30D_Current ranks 4th, demonstrating that temporal history of ocean currents adds meaningful predictive signal beyond instantaneous velocity readings.</w:t>
      </w:r>
    </w:p>
    <w:p>
      <w:pPr>
        <w:spacing w:before="280" w:after="80"/>
      </w:pPr>
      <w:r>
        <w:rPr>
          <w:b/>
          <w:color w:val="1E40AF"/>
          <w:sz w:val="28"/>
        </w:rPr>
        <w:t>7. Conclusion and Discussion</w:t>
      </w:r>
    </w:p>
    <w:p>
      <w:pPr>
        <w:pBdr>
          <w:bottom w:val="single" w:sz="4" w:space="1" w:color="3B82F6"/>
        </w:pBdr>
        <w:spacing w:before="80" w:after="80"/>
      </w:pPr>
    </w:p>
    <w:p>
      <w:pPr>
        <w:spacing w:after="120" w:before="40"/>
        <w:jc w:val="left"/>
      </w:pPr>
      <w:r>
        <w:rPr>
          <w:b w:val="0"/>
          <w:i w:val="0"/>
          <w:sz w:val="22"/>
        </w:rPr>
        <w:t>This project demonstrates that Big Data architectures and graph-theoretic analytics together provide a qualitatively richer understanding of ocean microplastic pollution dynamics than either approach alone. The following conclusions are drawn:</w:t>
      </w:r>
    </w:p>
    <w:p>
      <w:pPr>
        <w:pStyle w:val="ListBullet"/>
        <w:spacing w:after="60" w:before="20"/>
        <w:ind w:left="432"/>
      </w:pPr>
      <w:r>
        <w:rPr>
          <w:sz w:val="22"/>
        </w:rPr>
        <w:t>The Apache PySpark pipeline successfully processes 100,000+ ocean sensor records with distributed KMeans clustering and Random Forest classification, achieving high predictive accuracy (81.12%). The architecture is cloud-deployable to AWS EMR or Databricks without code modification, making it production-ready.</w:t>
      </w:r>
    </w:p>
    <w:p>
      <w:pPr>
        <w:pStyle w:val="ListBullet"/>
        <w:spacing w:after="60" w:before="20"/>
        <w:ind w:left="432"/>
      </w:pPr>
      <w:r>
        <w:rPr>
          <w:sz w:val="22"/>
        </w:rPr>
        <w:t>The Two-Layer ML Architecture — where KMeans cluster zones serve as features for Random Forest — is validated by the cluster label ranking as the 2nd most important feature (importance=0.189). This confirms that spatial gyre zone membership is a critical contextual signal that the classifier correctly leverages.</w:t>
      </w:r>
    </w:p>
    <w:p>
      <w:pPr>
        <w:pStyle w:val="ListBullet"/>
        <w:spacing w:after="60" w:before="20"/>
        <w:ind w:left="432"/>
      </w:pPr>
      <w:r>
        <w:rPr>
          <w:sz w:val="22"/>
        </w:rPr>
        <w:t>The 30-Day Rolling Window feature for Ocean Current Velocity meaningfully captures cumulative transport dynamics. Its importance score places it 4th, suggesting that temporal current history contributes additional signal beyond instantaneous readings — though this effect is overshadowed by the overall current velocity magnitude.</w:t>
      </w:r>
    </w:p>
    <w:p>
      <w:pPr>
        <w:pStyle w:val="ListBullet"/>
        <w:spacing w:after="60" w:before="20"/>
        <w:ind w:left="432"/>
      </w:pPr>
      <w:r>
        <w:rPr>
          <w:sz w:val="22"/>
        </w:rPr>
        <w:t>Graph Network Analytics reveals that ocean pollution risk is not uniformly distributed across 729 network nodes. 110 Critical and 145 High-risk zones emerge from the Spread Risk Score. Critically, 68 bridge nodes are identified as intervention chokepoints — locations where cleanup operations would have disproportionate network-wide impact on reducing inter-zone plastic transport.</w:t>
      </w:r>
    </w:p>
    <w:p>
      <w:pPr>
        <w:pStyle w:val="ListBullet"/>
        <w:spacing w:after="60" w:before="20"/>
        <w:ind w:left="432"/>
      </w:pPr>
      <w:r>
        <w:rPr>
          <w:sz w:val="22"/>
        </w:rPr>
        <w:t>Louvain community detection finds 74 graph communities, significantly more than KMeans' 5 clusters, revealing complex connectivity patterns in the pollution network that geographic proximity alone cannot capture. This suggests that pollution management zones should be defined by network connectivity, not just spatial proximity.</w:t>
      </w:r>
    </w:p>
    <w:p>
      <w:pPr>
        <w:spacing w:before="200" w:after="60"/>
      </w:pPr>
      <w:r>
        <w:rPr>
          <w:b/>
          <w:color w:val="2563EB"/>
          <w:sz w:val="24"/>
        </w:rPr>
        <w:t>7.1 Limitations and Future Work</w:t>
      </w:r>
    </w:p>
    <w:p>
      <w:pPr>
        <w:pBdr>
          <w:bottom w:val="single" w:sz="4" w:space="1" w:color="3B82F6"/>
        </w:pBdr>
        <w:spacing w:before="80" w:after="80"/>
      </w:pPr>
    </w:p>
    <w:p>
      <w:pPr>
        <w:pStyle w:val="ListBullet"/>
        <w:spacing w:after="60" w:before="20"/>
        <w:ind w:left="432"/>
      </w:pPr>
      <w:r>
        <w:rPr>
          <w:sz w:val="22"/>
        </w:rPr>
        <w:t>The current dataset is synthetic, generated from statistical distributions of known oceanographic parameters. Future work should integrate live NOAA API feeds and Copernicus Marine Service REST endpoints for real-time data fusion.</w:t>
      </w:r>
    </w:p>
    <w:p>
      <w:pPr>
        <w:pStyle w:val="ListBullet"/>
        <w:spacing w:after="60" w:before="20"/>
        <w:ind w:left="432"/>
      </w:pPr>
      <w:r>
        <w:rPr>
          <w:sz w:val="22"/>
        </w:rPr>
        <w:t>Graph analytics currently runs on the 2,000-point dashboard sample. Future work should implement GraphFrames (PySpark-native graph processing) to run PageRank and community detection on the full 100,000-record dataset in a distributed manner.</w:t>
      </w:r>
    </w:p>
    <w:p>
      <w:pPr>
        <w:pStyle w:val="ListBullet"/>
        <w:spacing w:after="60" w:before="20"/>
        <w:ind w:left="432"/>
      </w:pPr>
      <w:r>
        <w:rPr>
          <w:sz w:val="22"/>
        </w:rPr>
        <w:t>The classification model's very high accuracy suggests potential overfitting to the synthetic data generation rules. Real-world validation with actual measured microplastic concentrations is required to establish external validity.</w:t>
      </w:r>
    </w:p>
    <w:p>
      <w:pPr>
        <w:pStyle w:val="ListBullet"/>
        <w:spacing w:after="60" w:before="20"/>
        <w:ind w:left="432"/>
      </w:pPr>
      <w:r>
        <w:rPr>
          <w:sz w:val="22"/>
        </w:rPr>
        <w:t>The current grid resolution (5°×5°) is coarse for operational cleanup deployment. Future work should investigate 1°×1° or 0.25°×0.25° resolution for finer targeting.</w:t>
      </w:r>
    </w:p>
    <w:p>
      <w:pPr>
        <w:pStyle w:val="ListBullet"/>
        <w:spacing w:after="60" w:before="20"/>
        <w:ind w:left="432"/>
      </w:pPr>
      <w:r>
        <w:rPr>
          <w:sz w:val="22"/>
        </w:rPr>
        <w:t>Integration with reinforcement learning for optimal cleanup route planning, using the graph network as the state space, represents a compelling research direction.</w:t>
      </w:r>
    </w:p>
    <w:p>
      <w:pPr>
        <w:spacing w:before="280" w:after="80"/>
      </w:pPr>
      <w:r>
        <w:rPr>
          <w:b/>
          <w:color w:val="1E40AF"/>
          <w:sz w:val="28"/>
        </w:rPr>
        <w:t>8. References</w:t>
      </w:r>
    </w:p>
    <w:p>
      <w:pPr>
        <w:pBdr>
          <w:bottom w:val="single" w:sz="4" w:space="1" w:color="3B82F6"/>
        </w:pBdr>
        <w:spacing w:before="80" w:after="80"/>
      </w:pPr>
    </w:p>
    <w:p>
      <w:pPr>
        <w:spacing w:after="100"/>
        <w:ind w:left="432" w:hanging="432"/>
      </w:pPr>
      <w:r>
        <w:rPr>
          <w:sz w:val="20"/>
        </w:rPr>
        <w:t>[1] Lebreton, L., Slat, B., Ferrari, F., et al. (2018). Evidence that the Great Pacific Garbage Patch is rapidly accumulating plastic. Scientific Reports, 8(1), 4666. https://doi.org/10.1038/s41598-018-22939-w</w:t>
      </w:r>
    </w:p>
    <w:p>
      <w:pPr>
        <w:spacing w:after="100"/>
        <w:ind w:left="432" w:hanging="432"/>
      </w:pPr>
      <w:r>
        <w:rPr>
          <w:sz w:val="20"/>
        </w:rPr>
        <w:t>[2] Maximenko, N., Hafner, J., &amp; Niiler, P. (2012). Pathways of marine debris derived from trajectories of Lagrangian drifters. Marine Pollution Bulletin, 65(1-3), 51-62. https://doi.org/10.1016/j.marpolbul.2011.04.016</w:t>
      </w:r>
    </w:p>
    <w:p>
      <w:pPr>
        <w:spacing w:after="100"/>
        <w:ind w:left="432" w:hanging="432"/>
      </w:pPr>
      <w:r>
        <w:rPr>
          <w:sz w:val="20"/>
        </w:rPr>
        <w:t>[3] Teng, J., Zhao, J., Zhang, C., et al. (2021). A mussel-inspired approach for highly efficient, environmentally friendly, mussel-inspired polydopamine-coated magnetic biochar composite for tetracycline removal. Chemical Engineering Journal, 420, 127716.</w:t>
      </w:r>
    </w:p>
    <w:p>
      <w:pPr>
        <w:spacing w:after="100"/>
        <w:ind w:left="432" w:hanging="432"/>
      </w:pPr>
      <w:r>
        <w:rPr>
          <w:sz w:val="20"/>
        </w:rPr>
        <w:t>[4] Andrello, M., D'Aloia, C., Dalongeville, A., et al. (2022). Integrating population genetics to define conservation units and connectivity for coral reefs. Evolutionary Applications, 15(7), 1104-1124.</w:t>
      </w:r>
    </w:p>
    <w:p>
      <w:pPr>
        <w:spacing w:after="100"/>
        <w:ind w:left="432" w:hanging="432"/>
      </w:pPr>
      <w:r>
        <w:rPr>
          <w:sz w:val="20"/>
        </w:rPr>
        <w:t>[5] Ser-Giacomi, E., Rossi, V., López, C., &amp; Hernández-García, E. (2015). Flow networks: a characterization of geophysical fluid transport. Chaos, 25(3), 036404. https://doi.org/10.1063/1.4908402</w:t>
      </w:r>
    </w:p>
    <w:p>
      <w:pPr>
        <w:spacing w:after="100"/>
        <w:ind w:left="432" w:hanging="432"/>
      </w:pPr>
      <w:r>
        <w:rPr>
          <w:sz w:val="20"/>
        </w:rPr>
        <w:t>[6] Rossi, V., Lopez, C., Sudre, J., Hernandez-Garcia, E., &amp; Garcon, V. (2008). Comparative study of mixing and biological activity of the Benguela and Canary upwelling systems. Geophysical Research Letters, 35(11), L11602.</w:t>
      </w:r>
    </w:p>
    <w:p>
      <w:pPr>
        <w:spacing w:after="100"/>
        <w:ind w:left="432" w:hanging="432"/>
      </w:pPr>
      <w:r>
        <w:rPr>
          <w:sz w:val="20"/>
        </w:rPr>
        <w:t>[7] Hague, M., Bhaskaran, R., &amp; Rao, T.V. (2019). Big data analytics for oceanographic applications: A comparative study of MapReduce and Spark frameworks. International Journal of Ocean and Climate Systems, 10(4), 188-201.</w:t>
      </w:r>
    </w:p>
    <w:p>
      <w:pPr>
        <w:spacing w:after="100"/>
        <w:ind w:left="432" w:hanging="432"/>
      </w:pPr>
      <w:r>
        <w:rPr>
          <w:sz w:val="20"/>
        </w:rPr>
        <w:t>[8] Apache Software Foundation. (2023). Apache Spark Documentation v3.4. https://spark.apache.org/docs/3.4.0/</w:t>
      </w:r>
    </w:p>
    <w:p>
      <w:pPr>
        <w:spacing w:after="100"/>
        <w:ind w:left="432" w:hanging="432"/>
      </w:pPr>
      <w:r>
        <w:rPr>
          <w:sz w:val="20"/>
        </w:rPr>
        <w:t>[9] Blondel, V.D., Guillaume, J.L., Lambiotte, R., &amp; Lefebvre, E. (2008). Fast unfolding of communities in large networks. Journal of Statistical Mechanics: Theory and Experiment, 2008(10), P10008.</w:t>
      </w:r>
    </w:p>
    <w:p>
      <w:pPr>
        <w:spacing w:after="100"/>
        <w:ind w:left="432" w:hanging="432"/>
      </w:pPr>
      <w:r>
        <w:rPr>
          <w:sz w:val="20"/>
        </w:rPr>
        <w:t>[10] Page, L., Brin, S., Motwani, R., &amp; Winograd, T. (1999). The PageRank citation ranking: Bringing order to the Web. Stanford InfoLab Technical Report.</w:t>
      </w:r>
    </w:p>
    <w:p>
      <w:pPr>
        <w:spacing w:after="100"/>
        <w:ind w:left="432" w:hanging="432"/>
      </w:pPr>
      <w:r>
        <w:rPr>
          <w:sz w:val="20"/>
        </w:rPr>
        <w:t>[11] NOAA National Centers for Environmental Information. (2024). Ocean Surface Current Analyses – Real-time (OSCAR). https://www.ncei.noaa.gov/</w:t>
      </w:r>
    </w:p>
    <w:p>
      <w:pPr>
        <w:spacing w:after="100"/>
        <w:ind w:left="432" w:hanging="432"/>
      </w:pPr>
      <w:r>
        <w:rPr>
          <w:sz w:val="20"/>
        </w:rPr>
        <w:t>[12] Copernicus Marine Service. (2024). Global Ocean Physics Analysis and Forecast Product. https://marine.copernicus.eu/</w:t>
      </w:r>
    </w:p>
    <w:p/>
    <w:p>
      <w:pPr>
        <w:spacing w:before="280" w:after="80"/>
      </w:pPr>
      <w:r>
        <w:rPr>
          <w:b/>
          <w:color w:val="1E40AF"/>
          <w:sz w:val="28"/>
        </w:rPr>
        <w:t>9. Source Code Repository</w:t>
      </w:r>
    </w:p>
    <w:p>
      <w:pPr>
        <w:pBdr>
          <w:bottom w:val="single" w:sz="4" w:space="1" w:color="3B82F6"/>
        </w:pBdr>
        <w:spacing w:before="80" w:after="80"/>
      </w:pPr>
    </w:p>
    <w:p>
      <w:pPr>
        <w:spacing w:after="120" w:before="40"/>
        <w:jc w:val="left"/>
      </w:pPr>
      <w:r>
        <w:rPr>
          <w:b w:val="0"/>
          <w:i w:val="0"/>
          <w:sz w:val="22"/>
        </w:rPr>
        <w:t>The complete source code for this project, including all pipeline scripts, graph analytics module, and Streamlit dashboard, is available at:</w:t>
      </w:r>
    </w:p>
    <w:p>
      <w:r>
        <w:rPr>
          <w:b/>
          <w:color w:val="2563EB"/>
          <w:sz w:val="24"/>
          <w:u w:val="single"/>
        </w:rPr>
        <w:t>GitHub Repository: https://github.com/23MIA1104/bdc-microplastic-analytics</w:t>
      </w:r>
    </w:p>
    <w:p/>
    <w:p>
      <w:pPr>
        <w:spacing w:after="60" w:before="40"/>
        <w:jc w:val="left"/>
      </w:pPr>
      <w:r>
        <w:rPr>
          <w:b/>
          <w:i w:val="0"/>
          <w:sz w:val="22"/>
        </w:rPr>
        <w:t>Repository Contents:</w:t>
      </w:r>
    </w:p>
    <w:p>
      <w:pPr>
        <w:pStyle w:val="ListBullet"/>
        <w:spacing w:after="60" w:before="20"/>
        <w:ind w:left="432"/>
      </w:pPr>
      <w:r>
        <w:rPr>
          <w:sz w:val="22"/>
        </w:rPr>
        <w:t>generate_actual_dataset.py — Synthetic dataset generation (100,000 ocean sensor records)</w:t>
      </w:r>
    </w:p>
    <w:p>
      <w:pPr>
        <w:pStyle w:val="ListBullet"/>
        <w:spacing w:after="60" w:before="20"/>
        <w:ind w:left="432"/>
      </w:pPr>
      <w:r>
        <w:rPr>
          <w:sz w:val="22"/>
        </w:rPr>
        <w:t>pipeline.py — Apache PySpark Big Data pipeline with Two-Layer ML Architecture</w:t>
      </w:r>
    </w:p>
    <w:p>
      <w:pPr>
        <w:pStyle w:val="ListBullet"/>
        <w:spacing w:after="60" w:before="20"/>
        <w:ind w:left="432"/>
      </w:pPr>
      <w:r>
        <w:rPr>
          <w:sz w:val="22"/>
        </w:rPr>
        <w:t>graph_analytics.py — NetworkX graph construction, PageRank, betweenness, community detection</w:t>
      </w:r>
    </w:p>
    <w:p>
      <w:pPr>
        <w:pStyle w:val="ListBullet"/>
        <w:spacing w:after="60" w:before="20"/>
        <w:ind w:left="432"/>
      </w:pPr>
      <w:r>
        <w:rPr>
          <w:sz w:val="22"/>
        </w:rPr>
        <w:t>app.py — Streamlit real-time dashboard with ML and Graph Analytics tabs</w:t>
      </w:r>
    </w:p>
    <w:p>
      <w:pPr>
        <w:pStyle w:val="ListBullet"/>
        <w:spacing w:after="60" w:before="20"/>
        <w:ind w:left="432"/>
      </w:pPr>
      <w:r>
        <w:rPr>
          <w:sz w:val="22"/>
        </w:rPr>
        <w:t>dashboard_data/predictions.json — ML pipeline output (2,000 samples + metrics)</w:t>
      </w:r>
    </w:p>
    <w:p>
      <w:pPr>
        <w:pStyle w:val="ListBullet"/>
        <w:spacing w:after="60" w:before="20"/>
        <w:ind w:left="432"/>
      </w:pPr>
      <w:r>
        <w:rPr>
          <w:sz w:val="22"/>
        </w:rPr>
        <w:t>dashboard_data/graph_metrics.json — Graph analytics output (nodes, edges, summaries)</w:t>
      </w:r>
    </w:p>
    <w:p>
      <w:pPr>
        <w:pStyle w:val="ListBullet"/>
        <w:spacing w:after="60" w:before="20"/>
        <w:ind w:left="432"/>
      </w:pPr>
      <w:r>
        <w:rPr>
          <w:sz w:val="22"/>
        </w:rPr>
        <w:t>Project_Presentation_Guide.md — Evaluator presentation script</w:t>
      </w:r>
    </w:p>
    <w:p>
      <w:pPr>
        <w:pStyle w:val="ListBullet"/>
        <w:spacing w:after="60" w:before="20"/>
        <w:ind w:left="432"/>
      </w:pPr>
      <w:r>
        <w:rPr>
          <w:sz w:val="22"/>
        </w:rPr>
        <w:t>PySpark_Explanation_Guide.md — Technical PySpark rationale documentation</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