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20"/>
      </w:pPr>
      <w:r>
        <w:rPr>
          <w:rFonts w:ascii="Calibri" w:hAnsi="Calibri" w:eastAsia="Calibri" w:cs="Tahoma"/>
          <w:b/>
          <w:bCs/>
          <w:sz w:val="34"/>
          <w:szCs w:val="34"/>
        </w:rPr>
        <w:t xml:space="preserve">Ключ ответов — Разбор случая: ступень «Чанчжэн-5B», выведшая «Тяньхэ»</w:t>
      </w:r>
    </w:p>
    <w:p>
      <w:pPr>
        <w:spacing w:after="80"/>
      </w:pPr>
      <w:r>
        <w:rPr>
          <w:rFonts w:ascii="Calibri" w:hAnsi="Calibri" w:eastAsia="Calibri" w:cs="Tahoma"/>
          <w:color w:val="4B5563"/>
          <w:sz w:val="19"/>
          <w:szCs w:val="19"/>
        </w:rPr>
        <w:t xml:space="preserve">Ступень массой 21,6 т, оставленная на орбите и неуправляемо сошедшая 9 мая 2021 года</w:t>
      </w:r>
    </w:p>
    <w:p>
      <w:pPr>
        <w:pBdr>
          <w:bottom w:val="single" w:sz="6" w:space="1" w:color="9CA3AF"/>
        </w:pBdr>
        <w:spacing w:after="16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Фамилия, имя: </w:t>
      </w:r>
      <w:r>
        <w:rPr>
          <w:rFonts w:ascii="Calibri" w:hAnsi="Calibri" w:eastAsia="Calibri" w:cs="Tahoma"/>
          <w:sz w:val="21"/>
          <w:szCs w:val="21"/>
        </w:rPr>
        <w:t xml:space="preserve">______________________________</w:t>
      </w:r>
      <w:r>
        <w:rPr>
          <w:rFonts w:ascii="Calibri" w:hAnsi="Calibri" w:eastAsia="Calibri" w:cs="Tahoma"/>
          <w:b/>
          <w:bCs/>
          <w:sz w:val="21"/>
          <w:szCs w:val="21"/>
        </w:rPr>
        <w:t xml:space="preserve">     Код: </w:t>
      </w:r>
      <w:r>
        <w:rPr>
          <w:rFonts w:ascii="Calibri" w:hAnsi="Calibri" w:eastAsia="Calibri" w:cs="Tahoma"/>
          <w:sz w:val="21"/>
          <w:szCs w:val="21"/>
        </w:rPr>
        <w:t xml:space="preserve">CASE-CZ5B</w:t>
      </w:r>
    </w:p>
    <w:p>
      <w:pPr>
        <w:keepNext/>
        <w:pBdr>
          <w:bottom w:val="single" w:sz="6" w:space="1" w:color="9CA3AF"/>
        </w:pBdr>
        <w:spacing w:after="80"/>
      </w:pPr>
      <w:r>
        <w:rPr>
          <w:rFonts w:ascii="Calibri" w:hAnsi="Calibri" w:eastAsia="Calibri" w:cs="Tahoma"/>
          <w:b/>
          <w:bCs/>
          <w:sz w:val="25"/>
          <w:szCs w:val="25"/>
        </w:rPr>
        <w:t xml:space="preserve">Вопросы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1.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134,3 м²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1,0 м²)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A = (πDL + 2 · πD²/4) / 4: боковая поверхность и два торца, четверть от суммы.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2.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0,01368 м²/кг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0,00030 м²/кг)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2,2 × A / 21 600 кг.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3.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7,45 сут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0,05 сут)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0,8 и 1,2 прогнозного оставшегося времени.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4.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11,18 сут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0,05 сут)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0,8 и 1,2 прогнозного оставшегося времени.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5.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9,71 сут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0,05 сут)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Время схода минус эпоха набора, в сутках (часы ÷ 24).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6.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-4,1 %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1,0 %)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(прогноз − факт) / факт × 100; минус означает, что прогноз даёт более ранний сход. Для проверки окна сравните фактическое оставшееся время с 0,8–1,2 прогнозного. Здесь ±20 % отсчитываются от прогноза, в отличие от этой процентной ошибки.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7.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7,9 сут</w:t>
      </w:r>
      <w:r>
        <w:rPr>
          <w:rFonts w:ascii="Calibri" w:hAnsi="Calibri" w:eastAsia="Calibri" w:cs="Tahoma"/>
          <w:color w:val="4B5563"/>
          <w:sz w:val="21"/>
          <w:szCs w:val="21"/>
        </w:rPr>
        <w:t xml:space="preserve">  (± 0,5 сут)</w:t>
      </w:r>
    </w:p>
    <w:p>
      <w:pPr>
        <w:spacing w:after="100"/>
      </w:pPr>
      <w:r>
        <w:rPr>
          <w:rFonts w:ascii="Calibri" w:hAnsi="Calibri" w:eastAsia="Calibri" w:cs="Tahoma"/>
          <w:color w:val="374151"/>
          <w:sz w:val="18"/>
          <w:szCs w:val="18"/>
        </w:rPr>
        <w:t xml:space="preserve">Боком её площадь L × D = 158,5 м²; в первом приближении оставшееся время обратно C_x·A/m: прогноз × A_кувырк / A_бок.</w:t>
      </w:r>
    </w:p>
    <w:p>
      <w:pPr>
        <w:spacing w:after="20"/>
      </w:pPr>
      <w:r>
        <w:rPr>
          <w:rFonts w:ascii="Calibri" w:hAnsi="Calibri" w:eastAsia="Calibri" w:cs="Tahoma"/>
          <w:b/>
          <w:bCs/>
          <w:sz w:val="21"/>
          <w:szCs w:val="21"/>
        </w:rPr>
        <w:t xml:space="preserve">8. </w:t>
      </w:r>
      <w:r>
        <w:rPr>
          <w:rFonts w:ascii="Calibri" w:hAnsi="Calibri" w:eastAsia="Calibri" w:cs="Tahoma"/>
          <w:b/>
          <w:bCs/>
          <w:color w:val="065F46"/>
          <w:sz w:val="21"/>
          <w:szCs w:val="21"/>
        </w:rPr>
        <w:t xml:space="preserve">б) Плотность верхней атмосферы и ориентацию ступени нельзя точно знать заранее.</w:t>
      </w:r>
    </w:p>
    <w:sectPr>
      <w:pgSz w:w="11906" w:h="16838"/>
      <w:pgMar w:top="794" w:right="794" w:bottom="794" w:left="794" w:header="400" w:footer="400" w:gutter="0"/>
    </w:sectPr>
  </w:body>
</w:document>
</file>

<file path=word/_rels/document.xml.rels><?xml version="1.0" encoding="UTF-8" standalone="yes"?><Relationships xmlns="http://schemas.openxmlformats.org/package/2006/relationships"></Relationships>
</file>