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Ключ ответов — Разбор случая: Iridium 33 и «Космос-2251»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Первое столкновение двух целых спутников, 10 февраля 2009 года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CASE-IRIDIUM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226 м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5 м)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|r₂ − r₁|: разность положений по компонентам, затем её длина.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11,65 км/с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0,05 км/с)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|v₂ − v₁|. Скорости даны в земной системе; вращение Земли добавляет к каждой ω × r, почти одинаковое для обоих на расстоянии 226 м, так что в разности оно сокращается.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102 °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°)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cos θ = v₁ · v₂ / (|v₁| |v₂|), каждая скорость — относительно пространства (v + ω × r): почти под прямым углом.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19,9 м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0,1 м)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Сумма двух радиусов тел.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18,0 м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0,9 м)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σ² = σ₁² cos² θ + σ₂² sin² θ, θ — угол оси σ₁ от направления промаха.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13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Промах, делённый на σ: около 13. Нормальное распределение так далеко исчезающе мало — отсюда 10⁻⁵¹ в сообщении, что говорит больше о заданных в нём неопределённостях, чем о самих спутниках.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в) Неопределённости в сообщении были намного меньше реальных ошибок орбит.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323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30)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Вероятность этого случая по приложению, 0,032 (в статье: 0,033), делённая на 10⁻⁴.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