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pPr>
      <w:r>
        <w:rPr>
          <w:rFonts w:ascii="Calibri" w:cs="Calibri" w:eastAsia="Calibri" w:hAnsi="Calibri"/>
          <w:b/>
          <w:bCs/>
          <w:sz w:val="26"/>
          <w:szCs w:val="26"/>
        </w:rPr>
        <w:t xml:space="preserve">3. Smart Food Supply Chain Traceability and Quality Monitoring System</w:t>
      </w:r>
    </w:p>
    <w:p>
      <w:pPr>
        <w:spacing w:after="100" w:before="200"/>
      </w:pPr>
      <w:r>
        <w:rPr>
          <w:rFonts w:ascii="Calibri" w:cs="Calibri" w:eastAsia="Calibri" w:hAnsi="Calibri"/>
          <w:b/>
          <w:bCs/>
          <w:sz w:val="23"/>
          <w:szCs w:val="23"/>
        </w:rPr>
        <w:t xml:space="preserve">Industry Context</w:t>
      </w:r>
    </w:p>
    <w:p>
      <w:pPr>
        <w:spacing w:after="150" w:line="276"/>
        <w:jc w:val="both"/>
      </w:pPr>
      <w:r>
        <w:rPr>
          <w:rFonts w:ascii="Calibri" w:cs="Calibri" w:eastAsia="Calibri" w:hAnsi="Calibri"/>
          <w:sz w:val="22"/>
          <w:szCs w:val="22"/>
        </w:rPr>
        <w:t xml:space="preserve">The food industry requires complete transparency throughout the supply chain to ensure food safety and regulatory compliance. IoT sensors, blockchain, and AI technologies enable continuous monitoring of storage conditions and product movement. Consumers increasingly demand traceability from farm to table, making intelligent supply chain management essential.</w:t>
      </w:r>
    </w:p>
    <w:p>
      <w:pPr>
        <w:spacing w:after="100" w:before="200"/>
      </w:pPr>
      <w:r>
        <w:rPr>
          <w:rFonts w:ascii="Calibri" w:cs="Calibri" w:eastAsia="Calibri" w:hAnsi="Calibri"/>
          <w:b/>
          <w:bCs/>
          <w:sz w:val="23"/>
          <w:szCs w:val="23"/>
        </w:rPr>
        <w:t xml:space="preserve">Problem Statement</w:t>
      </w:r>
    </w:p>
    <w:p>
      <w:pPr>
        <w:spacing w:after="150" w:line="276"/>
        <w:jc w:val="both"/>
      </w:pPr>
      <w:r>
        <w:rPr>
          <w:rFonts w:ascii="Calibri" w:cs="Calibri" w:eastAsia="Calibri" w:hAnsi="Calibri"/>
          <w:sz w:val="22"/>
          <w:szCs w:val="22"/>
        </w:rPr>
        <w:t xml:space="preserve">Food contamination, spoilage, and counterfeit products remain major challenges in global food supply chains. Traditional tracking methods lack transparency and fail to provide real-time monitoring of product conditions. There is a need for an intelligent system that continuously monitors temperature, humidity, transportation conditions, and product quality while maintaining secure traceability records. The platform should alert stakeholders about quality deviations and ensure food safety throughout the supply chain.</w:t>
      </w:r>
    </w:p>
    <w:p>
      <w:pPr>
        <w:spacing w:after="100" w:before="200"/>
      </w:pPr>
      <w:r>
        <w:rPr>
          <w:rFonts w:ascii="Calibri" w:cs="Calibri" w:eastAsia="Calibri" w:hAnsi="Calibri"/>
          <w:b/>
          <w:bCs/>
          <w:sz w:val="23"/>
          <w:szCs w:val="23"/>
        </w:rPr>
        <w:t xml:space="preserve">Objectives</w:t>
      </w:r>
    </w:p>
    <w:p>
      <w:pPr>
        <w:pStyle w:val="ListParagraph"/>
        <w:numPr>
          <w:ilvl w:val="0"/>
          <w:numId w:val="2"/>
        </w:numPr>
        <w:spacing w:after="100"/>
        <w:jc w:val="both"/>
      </w:pPr>
      <w:r>
        <w:rPr>
          <w:rFonts w:ascii="Calibri" w:cs="Calibri" w:eastAsia="Calibri" w:hAnsi="Calibri"/>
          <w:sz w:val="22"/>
          <w:szCs w:val="22"/>
        </w:rPr>
        <w:t xml:space="preserve">Monitor food transportation conditions using IoT.</w:t>
      </w:r>
    </w:p>
    <w:p>
      <w:pPr>
        <w:pStyle w:val="ListParagraph"/>
        <w:numPr>
          <w:ilvl w:val="0"/>
          <w:numId w:val="2"/>
        </w:numPr>
        <w:spacing w:after="100"/>
        <w:jc w:val="both"/>
      </w:pPr>
      <w:r>
        <w:rPr>
          <w:rFonts w:ascii="Calibri" w:cs="Calibri" w:eastAsia="Calibri" w:hAnsi="Calibri"/>
          <w:sz w:val="22"/>
          <w:szCs w:val="22"/>
        </w:rPr>
        <w:t xml:space="preserve">Implement end-to-end product traceability.</w:t>
      </w:r>
    </w:p>
    <w:p>
      <w:pPr>
        <w:pStyle w:val="ListParagraph"/>
        <w:numPr>
          <w:ilvl w:val="0"/>
          <w:numId w:val="2"/>
        </w:numPr>
        <w:spacing w:after="100"/>
        <w:jc w:val="both"/>
      </w:pPr>
      <w:r>
        <w:rPr>
          <w:rFonts w:ascii="Calibri" w:cs="Calibri" w:eastAsia="Calibri" w:hAnsi="Calibri"/>
          <w:sz w:val="22"/>
          <w:szCs w:val="22"/>
        </w:rPr>
        <w:t xml:space="preserve">Detect quality degradation in real time.</w:t>
      </w:r>
    </w:p>
    <w:p>
      <w:pPr>
        <w:pStyle w:val="ListParagraph"/>
        <w:numPr>
          <w:ilvl w:val="0"/>
          <w:numId w:val="2"/>
        </w:numPr>
        <w:spacing w:after="100"/>
        <w:jc w:val="both"/>
      </w:pPr>
      <w:r>
        <w:rPr>
          <w:rFonts w:ascii="Calibri" w:cs="Calibri" w:eastAsia="Calibri" w:hAnsi="Calibri"/>
          <w:sz w:val="22"/>
          <w:szCs w:val="22"/>
        </w:rPr>
        <w:t xml:space="preserve">Generate automated quality alerts.</w:t>
      </w:r>
    </w:p>
    <w:p>
      <w:pPr>
        <w:pStyle w:val="ListParagraph"/>
        <w:numPr>
          <w:ilvl w:val="0"/>
          <w:numId w:val="2"/>
        </w:numPr>
        <w:spacing w:after="100"/>
        <w:jc w:val="both"/>
      </w:pPr>
      <w:r>
        <w:rPr>
          <w:rFonts w:ascii="Calibri" w:cs="Calibri" w:eastAsia="Calibri" w:hAnsi="Calibri"/>
          <w:sz w:val="22"/>
          <w:szCs w:val="22"/>
        </w:rPr>
        <w:t xml:space="preserve">Maintain secure supply chain records.</w:t>
      </w:r>
    </w:p>
    <w:p>
      <w:pPr>
        <w:pStyle w:val="ListParagraph"/>
        <w:numPr>
          <w:ilvl w:val="0"/>
          <w:numId w:val="2"/>
        </w:numPr>
        <w:spacing w:after="100"/>
        <w:jc w:val="both"/>
      </w:pPr>
      <w:r>
        <w:rPr>
          <w:rFonts w:ascii="Calibri" w:cs="Calibri" w:eastAsia="Calibri" w:hAnsi="Calibri"/>
          <w:sz w:val="22"/>
          <w:szCs w:val="22"/>
        </w:rPr>
        <w:t xml:space="preserve">Improve inventory visibility.</w:t>
      </w:r>
    </w:p>
    <w:p>
      <w:pPr>
        <w:pStyle w:val="ListParagraph"/>
        <w:numPr>
          <w:ilvl w:val="0"/>
          <w:numId w:val="2"/>
        </w:numPr>
        <w:spacing w:after="100"/>
        <w:jc w:val="both"/>
      </w:pPr>
      <w:r>
        <w:rPr>
          <w:rFonts w:ascii="Calibri" w:cs="Calibri" w:eastAsia="Calibri" w:hAnsi="Calibri"/>
          <w:sz w:val="22"/>
          <w:szCs w:val="22"/>
        </w:rPr>
        <w:t xml:space="preserve">Support regulatory compliance.</w:t>
      </w:r>
    </w:p>
    <w:p>
      <w:pPr>
        <w:pStyle w:val="ListParagraph"/>
        <w:numPr>
          <w:ilvl w:val="0"/>
          <w:numId w:val="2"/>
        </w:numPr>
        <w:spacing w:after="100"/>
        <w:jc w:val="both"/>
      </w:pPr>
      <w:r>
        <w:rPr>
          <w:rFonts w:ascii="Calibri" w:cs="Calibri" w:eastAsia="Calibri" w:hAnsi="Calibri"/>
          <w:sz w:val="22"/>
          <w:szCs w:val="22"/>
        </w:rPr>
        <w:t xml:space="preserve">Reduce food wastage.</w:t>
      </w:r>
    </w:p>
    <w:p>
      <w:pPr>
        <w:spacing w:after="100" w:before="200"/>
      </w:pPr>
      <w:r>
        <w:rPr>
          <w:rFonts w:ascii="Calibri" w:cs="Calibri" w:eastAsia="Calibri" w:hAnsi="Calibri"/>
          <w:b/>
          <w:bCs/>
          <w:sz w:val="23"/>
          <w:szCs w:val="23"/>
        </w:rPr>
        <w:t xml:space="preserve">Expected Outcomes</w:t>
      </w:r>
    </w:p>
    <w:p>
      <w:pPr>
        <w:pStyle w:val="ListParagraph"/>
        <w:numPr>
          <w:ilvl w:val="0"/>
          <w:numId w:val="3"/>
        </w:numPr>
        <w:spacing w:after="100"/>
        <w:jc w:val="both"/>
      </w:pPr>
      <w:r>
        <w:rPr>
          <w:rFonts w:ascii="Calibri" w:cs="Calibri" w:eastAsia="Calibri" w:hAnsi="Calibri"/>
          <w:sz w:val="22"/>
          <w:szCs w:val="22"/>
        </w:rPr>
        <w:t xml:space="preserve">Improved food safety.</w:t>
      </w:r>
    </w:p>
    <w:p>
      <w:pPr>
        <w:pStyle w:val="ListParagraph"/>
        <w:numPr>
          <w:ilvl w:val="0"/>
          <w:numId w:val="3"/>
        </w:numPr>
        <w:spacing w:after="100"/>
        <w:jc w:val="both"/>
      </w:pPr>
      <w:r>
        <w:rPr>
          <w:rFonts w:ascii="Calibri" w:cs="Calibri" w:eastAsia="Calibri" w:hAnsi="Calibri"/>
          <w:sz w:val="22"/>
          <w:szCs w:val="22"/>
        </w:rPr>
        <w:t xml:space="preserve">Enhanced consumer trust.</w:t>
      </w:r>
    </w:p>
    <w:p>
      <w:pPr>
        <w:pStyle w:val="ListParagraph"/>
        <w:numPr>
          <w:ilvl w:val="0"/>
          <w:numId w:val="3"/>
        </w:numPr>
        <w:spacing w:after="100"/>
        <w:jc w:val="both"/>
      </w:pPr>
      <w:r>
        <w:rPr>
          <w:rFonts w:ascii="Calibri" w:cs="Calibri" w:eastAsia="Calibri" w:hAnsi="Calibri"/>
          <w:sz w:val="22"/>
          <w:szCs w:val="22"/>
        </w:rPr>
        <w:t xml:space="preserve">Reduced spoilage losses.</w:t>
      </w:r>
    </w:p>
    <w:p>
      <w:pPr>
        <w:pStyle w:val="ListParagraph"/>
        <w:numPr>
          <w:ilvl w:val="0"/>
          <w:numId w:val="3"/>
        </w:numPr>
        <w:spacing w:after="100"/>
        <w:jc w:val="both"/>
      </w:pPr>
      <w:r>
        <w:rPr>
          <w:rFonts w:ascii="Calibri" w:cs="Calibri" w:eastAsia="Calibri" w:hAnsi="Calibri"/>
          <w:sz w:val="22"/>
          <w:szCs w:val="22"/>
        </w:rPr>
        <w:t xml:space="preserve">Better regulatory compliance.</w:t>
      </w:r>
    </w:p>
    <w:p>
      <w:pPr>
        <w:pStyle w:val="ListParagraph"/>
        <w:numPr>
          <w:ilvl w:val="0"/>
          <w:numId w:val="3"/>
        </w:numPr>
        <w:spacing w:after="100"/>
        <w:jc w:val="both"/>
      </w:pPr>
      <w:r>
        <w:rPr>
          <w:rFonts w:ascii="Calibri" w:cs="Calibri" w:eastAsia="Calibri" w:hAnsi="Calibri"/>
          <w:sz w:val="22"/>
          <w:szCs w:val="22"/>
        </w:rPr>
        <w:t xml:space="preserve">Complete product traceability.</w:t>
      </w:r>
    </w:p>
    <w:p>
      <w:pPr>
        <w:pStyle w:val="ListParagraph"/>
        <w:numPr>
          <w:ilvl w:val="0"/>
          <w:numId w:val="3"/>
        </w:numPr>
        <w:spacing w:after="100"/>
        <w:jc w:val="both"/>
      </w:pPr>
      <w:r>
        <w:rPr>
          <w:rFonts w:ascii="Calibri" w:cs="Calibri" w:eastAsia="Calibri" w:hAnsi="Calibri"/>
          <w:sz w:val="22"/>
          <w:szCs w:val="22"/>
        </w:rPr>
        <w:t xml:space="preserve">Increased supply chain transparency.</w:t>
      </w:r>
    </w:p>
    <w:p>
      <w:pPr>
        <w:pStyle w:val="ListParagraph"/>
        <w:numPr>
          <w:ilvl w:val="0"/>
          <w:numId w:val="3"/>
        </w:numPr>
        <w:spacing w:after="100"/>
        <w:jc w:val="both"/>
      </w:pPr>
      <w:r>
        <w:rPr>
          <w:rFonts w:ascii="Calibri" w:cs="Calibri" w:eastAsia="Calibri" w:hAnsi="Calibri"/>
          <w:sz w:val="22"/>
          <w:szCs w:val="22"/>
        </w:rPr>
        <w:t xml:space="preserve">Faster product recalls.</w:t>
      </w:r>
    </w:p>
    <w:p>
      <w:pPr>
        <w:pStyle w:val="ListParagraph"/>
        <w:numPr>
          <w:ilvl w:val="0"/>
          <w:numId w:val="3"/>
        </w:numPr>
        <w:spacing w:after="100"/>
        <w:jc w:val="both"/>
      </w:pPr>
      <w:r>
        <w:rPr>
          <w:rFonts w:ascii="Calibri" w:cs="Calibri" w:eastAsia="Calibri" w:hAnsi="Calibri"/>
          <w:sz w:val="22"/>
          <w:szCs w:val="22"/>
        </w:rPr>
        <w:t xml:space="preserve">Improved operational efficiency.</w:t>
      </w:r>
    </w:p>
    <w:p>
      <w:r>
        <w:br w:type="page"/>
      </w:r>
    </w:p>
    <w:p>
      <w:pPr>
        <w:spacing w:after="100" w:before="200"/>
      </w:pPr>
      <w:r>
        <w:rPr>
          <w:rFonts w:ascii="Calibri" w:cs="Calibri" w:eastAsia="Calibri" w:hAnsi="Calibri"/>
          <w:b/>
          <w:bCs/>
          <w:sz w:val="23"/>
          <w:szCs w:val="23"/>
        </w:rPr>
        <w:t xml:space="preserve">Stakeholder Analysis</w:t>
      </w:r>
    </w:p>
    <w:p>
      <w:pPr>
        <w:spacing w:after="150" w:line="276"/>
        <w:jc w:val="both"/>
      </w:pPr>
      <w:r>
        <w:rPr>
          <w:rFonts w:ascii="Calibri" w:cs="Calibri" w:eastAsia="Calibri" w:hAnsi="Calibri"/>
          <w:sz w:val="22"/>
          <w:szCs w:val="22"/>
        </w:rPr>
        <w:t xml:space="preserve">The success of the Smart Food Supply Chain Traceability and Quality Monitoring System depends on the coordinated participation of multiple stakeholder groups, each with distinct needs and expectations from the platform.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0"/>
      </w:tblGrid>
      <w:tr>
        <w:trPr>
          <w:tblHeader/>
        </w:trPr>
        <w:tc>
          <w:tcPr>
            <w:tcW w:type="dxa" w:w="2600"/>
            <w:shd w:fill="D9E2F3" w:val="clear"/>
            <w:tcMar>
              <w:top w:type="dxa" w:w="80"/>
              <w:left w:type="dxa" w:w="100"/>
              <w:bottom w:type="dxa" w:w="80"/>
              <w:right w:type="dxa" w:w="100"/>
            </w:tcMar>
          </w:tcPr>
          <w:p>
            <w:r>
              <w:rPr>
                <w:rFonts w:ascii="Calibri" w:cs="Calibri" w:eastAsia="Calibri" w:hAnsi="Calibri"/>
                <w:b/>
                <w:bCs/>
                <w:sz w:val="20"/>
                <w:szCs w:val="20"/>
              </w:rPr>
              <w:t xml:space="preserve">Stakeholder</w:t>
            </w:r>
          </w:p>
        </w:tc>
        <w:tc>
          <w:tcPr>
            <w:tcW w:type="dxa" w:w="3300"/>
            <w:shd w:fill="D9E2F3" w:val="clear"/>
            <w:tcMar>
              <w:top w:type="dxa" w:w="80"/>
              <w:left w:type="dxa" w:w="100"/>
              <w:bottom w:type="dxa" w:w="80"/>
              <w:right w:type="dxa" w:w="100"/>
            </w:tcMar>
          </w:tcPr>
          <w:p>
            <w:r>
              <w:rPr>
                <w:rFonts w:ascii="Calibri" w:cs="Calibri" w:eastAsia="Calibri" w:hAnsi="Calibri"/>
                <w:b/>
                <w:bCs/>
                <w:sz w:val="20"/>
                <w:szCs w:val="20"/>
              </w:rPr>
              <w:t xml:space="preserve">Role</w:t>
            </w:r>
          </w:p>
        </w:tc>
        <w:tc>
          <w:tcPr>
            <w:tcW w:type="dxa" w:w="3600"/>
            <w:shd w:fill="D9E2F3" w:val="clear"/>
            <w:tcMar>
              <w:top w:type="dxa" w:w="80"/>
              <w:left w:type="dxa" w:w="100"/>
              <w:bottom w:type="dxa" w:w="80"/>
              <w:right w:type="dxa" w:w="100"/>
            </w:tcMar>
          </w:tcPr>
          <w:p>
            <w:r>
              <w:rPr>
                <w:rFonts w:ascii="Calibri" w:cs="Calibri" w:eastAsia="Calibri" w:hAnsi="Calibri"/>
                <w:b/>
                <w:bCs/>
                <w:sz w:val="20"/>
                <w:szCs w:val="20"/>
              </w:rPr>
              <w:t xml:space="preserve">Key Interest</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Farmers / Producers</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Origin data entry, harvest logging</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Fair pricing, proof of quality at source</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Distributors / Logistics Providers</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Transportation, cold-chain monitoring</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Reduced spoilage, efficient routing</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Retailers</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Inventory management, shelf-life tracking</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Accurate stock data, reduced wastage</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Regulatory Bodies</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Compliance auditing</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Access to verified traceability records</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Consumers</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End users of traceability information</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Assurance of food safety and authenticity</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System Administrators</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Platform maintenance</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System uptime, data integrity</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Quality Inspectors</w:t>
            </w:r>
          </w:p>
        </w:tc>
        <w:tc>
          <w:tcPr>
            <w:tcW w:type="dxa" w:w="3300"/>
            <w:tcMar>
              <w:top w:type="dxa" w:w="80"/>
              <w:left w:type="dxa" w:w="100"/>
              <w:bottom w:type="dxa" w:w="80"/>
              <w:right w:type="dxa" w:w="100"/>
            </w:tcMar>
          </w:tcPr>
          <w:p>
            <w:r>
              <w:rPr>
                <w:rFonts w:ascii="Calibri" w:cs="Calibri" w:eastAsia="Calibri" w:hAnsi="Calibri"/>
                <w:b w:val="false"/>
                <w:bCs w:val="false"/>
                <w:sz w:val="20"/>
                <w:szCs w:val="20"/>
              </w:rPr>
              <w:t xml:space="preserve">Quality verification</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Real-time quality alerts and reports</w:t>
            </w:r>
          </w:p>
        </w:tc>
      </w:tr>
    </w:tbl>
    <w:p>
      <w:pPr>
        <w:spacing w:after="100" w:before="200"/>
      </w:pPr>
      <w:r>
        <w:rPr>
          <w:rFonts w:ascii="Calibri" w:cs="Calibri" w:eastAsia="Calibri" w:hAnsi="Calibri"/>
          <w:b/>
          <w:bCs/>
          <w:sz w:val="23"/>
          <w:szCs w:val="23"/>
        </w:rPr>
        <w:t xml:space="preserve">Scope of the System</w:t>
      </w:r>
    </w:p>
    <w:p>
      <w:pPr>
        <w:spacing w:after="150" w:line="276"/>
        <w:jc w:val="both"/>
      </w:pPr>
      <w:r>
        <w:rPr>
          <w:rFonts w:ascii="Calibri" w:cs="Calibri" w:eastAsia="Calibri" w:hAnsi="Calibri"/>
          <w:sz w:val="22"/>
          <w:szCs w:val="22"/>
        </w:rPr>
        <w:t xml:space="preserve">The system covers the complete journey of a food product from farm-level origin through processing, storage, transportation, and retail distribution. It integrates IoT sensor networks for environmental monitoring, a blockchain-backed ledger for immutable traceability records, and a cloud-based analytics engine for quality prediction. The scope excludes direct control of physical refrigeration equipment, limiting the system to monitoring, alerting, and record-keeping rather than automated actuation.</w:t>
      </w:r>
    </w:p>
    <w:p>
      <w:pPr>
        <w:spacing w:after="100" w:before="200"/>
      </w:pPr>
      <w:r>
        <w:rPr>
          <w:rFonts w:ascii="Calibri" w:cs="Calibri" w:eastAsia="Calibri" w:hAnsi="Calibri"/>
          <w:b/>
          <w:bCs/>
          <w:sz w:val="23"/>
          <w:szCs w:val="23"/>
        </w:rPr>
        <w:t xml:space="preserve">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5400"/>
      </w:tblGrid>
      <w:tr>
        <w:trPr>
          <w:tblHeader/>
        </w:trPr>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29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5400"/>
            <w:shd w:fill="D9E2F3" w:val="clear"/>
            <w:tcMar>
              <w:top w:type="dxa" w:w="80"/>
              <w:left w:type="dxa" w:w="100"/>
              <w:bottom w:type="dxa" w:w="80"/>
              <w:right w:type="dxa" w:w="100"/>
            </w:tcMar>
          </w:tcPr>
          <w:p>
            <w:r>
              <w:rPr>
                <w:rFonts w:ascii="Calibri" w:cs="Calibri" w:eastAsia="Calibri" w:hAnsi="Calibri"/>
                <w:b/>
                <w:bCs/>
                <w:sz w:val="20"/>
                <w:szCs w:val="20"/>
              </w:rPr>
              <w:t xml:space="preserve">Description</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FR-1</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Sensor Data Ingestion</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Collect temperature, humidity, and location data from IoT devices at regular intervals.</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FR-2</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Product Traceability</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Record and retrieve the complete journey of a product batch from origin to retail.</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FR-3</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Quality Alerting</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Automatically generate alerts when sensor readings breach predefined safety thresholds.</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FR-4</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Blockchain Ledger</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Store traceability records on a distributed ledger to prevent tampering.</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FR-5</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Stakeholder Dashboard</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Provide role-based dashboards for farmers, distributors, retailers, and regulators.</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FR-6</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Recall Management</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Enable rapid identification and isolation of affected batches during a recall.</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FR-7</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Reporting &amp; Compliance</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Generate regulatory compliance reports on demand.</w:t>
            </w:r>
          </w:p>
        </w:tc>
      </w:tr>
    </w:tbl>
    <w:p>
      <w:pPr>
        <w:spacing w:after="100" w:before="200"/>
      </w:pPr>
      <w:r>
        <w:rPr>
          <w:rFonts w:ascii="Calibri" w:cs="Calibri" w:eastAsia="Calibri" w:hAnsi="Calibri"/>
          <w:b/>
          <w:bCs/>
          <w:sz w:val="23"/>
          <w:szCs w:val="23"/>
        </w:rPr>
        <w:t xml:space="preserve">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5400"/>
      </w:tblGrid>
      <w:tr>
        <w:trPr>
          <w:tblHeader/>
        </w:trPr>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29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5400"/>
            <w:shd w:fill="D9E2F3" w:val="clear"/>
            <w:tcMar>
              <w:top w:type="dxa" w:w="80"/>
              <w:left w:type="dxa" w:w="100"/>
              <w:bottom w:type="dxa" w:w="80"/>
              <w:right w:type="dxa" w:w="100"/>
            </w:tcMar>
          </w:tcPr>
          <w:p>
            <w:r>
              <w:rPr>
                <w:rFonts w:ascii="Calibri" w:cs="Calibri" w:eastAsia="Calibri" w:hAnsi="Calibri"/>
                <w:b/>
                <w:bCs/>
                <w:sz w:val="20"/>
                <w:szCs w:val="20"/>
              </w:rPr>
              <w:t xml:space="preserve">Description</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NFR-1</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Scalability</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Support thousands of concurrent IoT devices and transactions.</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NFR-2</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Reliability</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Maintain 99.9% system uptime for continuous monitoring.</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NFR-3</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Security</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Encrypt data in transit and at rest; enforce role-based access control.</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NFR-4</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Performance</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Process and display sensor alerts within 5 seconds of detection.</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NFR-5</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Usability</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Provide an intuitive interface accessible to non-technical users.</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NFR-6</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Interoperability</w:t>
            </w:r>
          </w:p>
        </w:tc>
        <w:tc>
          <w:tcPr>
            <w:tcW w:type="dxa" w:w="5400"/>
            <w:tcMar>
              <w:top w:type="dxa" w:w="80"/>
              <w:left w:type="dxa" w:w="100"/>
              <w:bottom w:type="dxa" w:w="80"/>
              <w:right w:type="dxa" w:w="100"/>
            </w:tcMar>
          </w:tcPr>
          <w:p>
            <w:r>
              <w:rPr>
                <w:rFonts w:ascii="Calibri" w:cs="Calibri" w:eastAsia="Calibri" w:hAnsi="Calibri"/>
                <w:b w:val="false"/>
                <w:bCs w:val="false"/>
                <w:sz w:val="20"/>
                <w:szCs w:val="20"/>
              </w:rPr>
              <w:t xml:space="preserve">Integrate with existing ERP and warehouse management systems.</w:t>
            </w:r>
          </w:p>
        </w:tc>
      </w:tr>
    </w:tbl>
    <w:p>
      <w:r>
        <w:br w:type="page"/>
      </w:r>
    </w:p>
    <w:p>
      <w:pPr>
        <w:spacing w:after="100" w:before="200"/>
      </w:pPr>
      <w:r>
        <w:rPr>
          <w:rFonts w:ascii="Calibri" w:cs="Calibri" w:eastAsia="Calibri" w:hAnsi="Calibri"/>
          <w:b/>
          <w:bCs/>
          <w:sz w:val="23"/>
          <w:szCs w:val="23"/>
        </w:rPr>
        <w:t xml:space="preserve">System Architecture</w:t>
      </w:r>
    </w:p>
    <w:p>
      <w:pPr>
        <w:spacing w:after="150" w:line="276"/>
        <w:jc w:val="both"/>
      </w:pPr>
      <w:r>
        <w:rPr>
          <w:rFonts w:ascii="Calibri" w:cs="Calibri" w:eastAsia="Calibri" w:hAnsi="Calibri"/>
          <w:sz w:val="22"/>
          <w:szCs w:val="22"/>
        </w:rPr>
        <w:t xml:space="preserve">The system follows a layered architecture consisting of four primary layers: the Perception Layer, the Network Layer, the Processing Layer, and the Application Layer.</w:t>
      </w:r>
    </w:p>
    <w:p>
      <w:pPr>
        <w:pStyle w:val="ListParagraph"/>
        <w:numPr>
          <w:ilvl w:val="0"/>
          <w:numId w:val="1"/>
        </w:numPr>
        <w:spacing w:after="80"/>
        <w:jc w:val="both"/>
      </w:pPr>
      <w:r>
        <w:rPr>
          <w:rFonts w:ascii="Calibri" w:cs="Calibri" w:eastAsia="Calibri" w:hAnsi="Calibri"/>
          <w:sz w:val="22"/>
          <w:szCs w:val="22"/>
        </w:rPr>
        <w:t xml:space="preserve">Perception Layer: IoT sensors (temperature, humidity, GPS, RFID tags) deployed on storage units and transport vehicles collect raw environmental and location data.</w:t>
      </w:r>
    </w:p>
    <w:p>
      <w:pPr>
        <w:pStyle w:val="ListParagraph"/>
        <w:numPr>
          <w:ilvl w:val="0"/>
          <w:numId w:val="1"/>
        </w:numPr>
        <w:spacing w:after="80"/>
        <w:jc w:val="both"/>
      </w:pPr>
      <w:r>
        <w:rPr>
          <w:rFonts w:ascii="Calibri" w:cs="Calibri" w:eastAsia="Calibri" w:hAnsi="Calibri"/>
          <w:sz w:val="22"/>
          <w:szCs w:val="22"/>
        </w:rPr>
        <w:t xml:space="preserve">Network Layer: Data is transmitted via cellular, Wi-Fi, or LPWAN protocols (such as MQTT) to a cloud gateway.</w:t>
      </w:r>
    </w:p>
    <w:p>
      <w:pPr>
        <w:pStyle w:val="ListParagraph"/>
        <w:numPr>
          <w:ilvl w:val="0"/>
          <w:numId w:val="1"/>
        </w:numPr>
        <w:spacing w:after="80"/>
        <w:jc w:val="both"/>
      </w:pPr>
      <w:r>
        <w:rPr>
          <w:rFonts w:ascii="Calibri" w:cs="Calibri" w:eastAsia="Calibri" w:hAnsi="Calibri"/>
          <w:sz w:val="22"/>
          <w:szCs w:val="22"/>
        </w:rPr>
        <w:t xml:space="preserve">Processing Layer: A cloud-based engine ingests sensor streams, applies quality-prediction algorithms, writes immutable records to a blockchain ledger, and triggers alerts.</w:t>
      </w:r>
    </w:p>
    <w:p>
      <w:pPr>
        <w:pStyle w:val="ListParagraph"/>
        <w:numPr>
          <w:ilvl w:val="0"/>
          <w:numId w:val="1"/>
        </w:numPr>
        <w:spacing w:after="80"/>
        <w:jc w:val="both"/>
      </w:pPr>
      <w:r>
        <w:rPr>
          <w:rFonts w:ascii="Calibri" w:cs="Calibri" w:eastAsia="Calibri" w:hAnsi="Calibri"/>
          <w:sz w:val="22"/>
          <w:szCs w:val="22"/>
        </w:rPr>
        <w:t xml:space="preserve">Application Layer: Web and mobile dashboards present real-time visibility, traceability history, and compliance reports to stakeholders.</w:t>
      </w:r>
    </w:p>
    <w:p>
      <w:pPr>
        <w:spacing w:after="150" w:line="276"/>
        <w:jc w:val="both"/>
      </w:pPr>
      <w:r>
        <w:rPr>
          <w:rFonts w:ascii="Calibri" w:cs="Calibri" w:eastAsia="Calibri" w:hAnsi="Calibri"/>
          <w:sz w:val="22"/>
          <w:szCs w:val="22"/>
        </w:rPr>
        <w:t xml:space="preserve">This layered separation allows each component to scale independently and simplifies maintenance, since sensor hardware, network protocols, and analytics logic can evolve without requiring changes to the other layers.</w:t>
      </w:r>
    </w:p>
    <w:p>
      <w:pPr>
        <w:spacing w:after="100" w:before="200"/>
      </w:pPr>
      <w:r>
        <w:rPr>
          <w:rFonts w:ascii="Calibri" w:cs="Calibri" w:eastAsia="Calibri" w:hAnsi="Calibri"/>
          <w:b/>
          <w:bCs/>
          <w:sz w:val="23"/>
          <w:szCs w:val="23"/>
        </w:rPr>
        <w:t xml:space="preserve">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9E2F3" w:val="clear"/>
            <w:tcMar>
              <w:top w:type="dxa" w:w="80"/>
              <w:left w:type="dxa" w:w="100"/>
              <w:bottom w:type="dxa" w:w="80"/>
              <w:right w:type="dxa" w:w="100"/>
            </w:tcMar>
          </w:tcPr>
          <w:p>
            <w:r>
              <w:rPr>
                <w:rFonts w:ascii="Calibri" w:cs="Calibri" w:eastAsia="Calibri" w:hAnsi="Calibri"/>
                <w:b/>
                <w:bCs/>
                <w:sz w:val="20"/>
                <w:szCs w:val="20"/>
              </w:rPr>
              <w:t xml:space="preserve">Layer</w:t>
            </w:r>
          </w:p>
        </w:tc>
        <w:tc>
          <w:tcPr>
            <w:tcW w:type="dxa" w:w="6300"/>
            <w:shd w:fill="D9E2F3" w:val="clear"/>
            <w:tcMar>
              <w:top w:type="dxa" w:w="80"/>
              <w:left w:type="dxa" w:w="100"/>
              <w:bottom w:type="dxa" w:w="80"/>
              <w:right w:type="dxa" w:w="100"/>
            </w:tcMar>
          </w:tcPr>
          <w:p>
            <w:r>
              <w:rPr>
                <w:rFonts w:ascii="Calibri" w:cs="Calibri" w:eastAsia="Calibri" w:hAnsi="Calibri"/>
                <w:b/>
                <w:bCs/>
                <w:sz w:val="20"/>
                <w:szCs w:val="20"/>
              </w:rPr>
              <w:t xml:space="preserve">Technology</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IoT Sensors</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Temperature/humidity sensors, GPS modules, RFID/NFC tags</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Communication Protocol</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MQTT, LPWAN, 4G/5G cellular</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Backend</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Node.js / Express REST API</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Database</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PostgreSQL (transactional data), MongoDB (sensor logs)</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Distributed Ledger</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Hyperledger Fabric (permissioned blockchain)</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Frontend</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React.js web dashboard, React Native mobile app</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Cloud Infrastructure</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AWS IoT Core, AWS Lambda, Amazon S3</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Analytics</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Python-based machine learning model for spoilage prediction</w:t>
            </w:r>
          </w:p>
        </w:tc>
      </w:tr>
    </w:tbl>
    <w:p>
      <w:pPr>
        <w:spacing w:after="100" w:before="200"/>
      </w:pPr>
      <w:r>
        <w:rPr>
          <w:rFonts w:ascii="Calibri" w:cs="Calibri" w:eastAsia="Calibri" w:hAnsi="Calibri"/>
          <w:b/>
          <w:bCs/>
          <w:sz w:val="23"/>
          <w:szCs w:val="23"/>
        </w:rPr>
        <w:t xml:space="preserve">Data Flow Description</w:t>
      </w:r>
    </w:p>
    <w:p>
      <w:pPr>
        <w:spacing w:after="150" w:line="276"/>
        <w:jc w:val="both"/>
      </w:pPr>
      <w:r>
        <w:rPr>
          <w:rFonts w:ascii="Calibri" w:cs="Calibri" w:eastAsia="Calibri" w:hAnsi="Calibri"/>
          <w:sz w:val="22"/>
          <w:szCs w:val="22"/>
        </w:rPr>
        <w:t xml:space="preserve">Sensor devices attached to storage containers and transport vehicles continuously capture environmental readings and location coordinates. This data is transmitted through the network layer to a cloud ingestion service, where it is validated and timestamped. Validated readings are simultaneously written to a time-series database for analytics and hashed onto a blockchain ledger to guarantee immutability. A rules engine compares incoming readings against threshold values defined for each product category; any deviation triggers an automated alert delivered to the relevant stakeholders through the dashboard and mobile notifications. Aggregated data feeds a predictive model that estimates remaining shelf life, supporting proactive inventory decisions at the retail stage.</w:t>
      </w:r>
    </w:p>
    <w:p>
      <w:r>
        <w:br w:type="page"/>
      </w:r>
    </w:p>
    <w:p>
      <w:pPr>
        <w:spacing w:after="100" w:before="200"/>
      </w:pPr>
      <w:r>
        <w:rPr>
          <w:rFonts w:ascii="Calibri" w:cs="Calibri" w:eastAsia="Calibri" w:hAnsi="Calibri"/>
          <w:b/>
          <w:bCs/>
          <w:sz w:val="23"/>
          <w:szCs w:val="23"/>
        </w:rPr>
        <w:t xml:space="preserve">Development Methodology</w:t>
      </w:r>
    </w:p>
    <w:p>
      <w:pPr>
        <w:spacing w:after="150" w:line="276"/>
        <w:jc w:val="both"/>
      </w:pPr>
      <w:r>
        <w:rPr>
          <w:rFonts w:ascii="Calibri" w:cs="Calibri" w:eastAsia="Calibri" w:hAnsi="Calibri"/>
          <w:sz w:val="22"/>
          <w:szCs w:val="22"/>
        </w:rPr>
        <w:t xml:space="preserve">The project follows the Agile Scrum methodology, structured into two-week sprints. This iterative approach allows the development team to incorporate stakeholder feedback continuously and adapt to evolving requirements, which is particularly important given the diversity of stakeholders involved in a food supply chain system.</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100"/>
      </w:tblGrid>
      <w:tr>
        <w:trPr>
          <w:tblHeader/>
        </w:trP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Sprint</w:t>
            </w:r>
          </w:p>
        </w:tc>
        <w:tc>
          <w:tcPr>
            <w:tcW w:type="dxa" w:w="2900"/>
            <w:shd w:fill="D9E2F3" w:val="clear"/>
            <w:tcMar>
              <w:top w:type="dxa" w:w="80"/>
              <w:left w:type="dxa" w:w="100"/>
              <w:bottom w:type="dxa" w:w="80"/>
              <w:right w:type="dxa" w:w="100"/>
            </w:tcMar>
          </w:tcPr>
          <w:p>
            <w:r>
              <w:rPr>
                <w:rFonts w:ascii="Calibri" w:cs="Calibri" w:eastAsia="Calibri" w:hAnsi="Calibri"/>
                <w:b/>
                <w:bCs/>
                <w:sz w:val="20"/>
                <w:szCs w:val="20"/>
              </w:rPr>
              <w:t xml:space="preserve">Focus Area</w:t>
            </w:r>
          </w:p>
        </w:tc>
        <w:tc>
          <w:tcPr>
            <w:tcW w:type="dxa" w:w="4100"/>
            <w:shd w:fill="D9E2F3" w:val="clear"/>
            <w:tcMar>
              <w:top w:type="dxa" w:w="80"/>
              <w:left w:type="dxa" w:w="100"/>
              <w:bottom w:type="dxa" w:w="80"/>
              <w:right w:type="dxa" w:w="100"/>
            </w:tcMar>
          </w:tcPr>
          <w:p>
            <w:r>
              <w:rPr>
                <w:rFonts w:ascii="Calibri" w:cs="Calibri" w:eastAsia="Calibri" w:hAnsi="Calibri"/>
                <w:b/>
                <w:bCs/>
                <w:sz w:val="20"/>
                <w:szCs w:val="20"/>
              </w:rPr>
              <w:t xml:space="preserve">Key Deliverables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Sprint 1</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Requirements &amp; Design</w:t>
            </w:r>
          </w:p>
        </w:tc>
        <w:tc>
          <w:tcPr>
            <w:tcW w:type="dxa" w:w="4100"/>
            <w:tcMar>
              <w:top w:type="dxa" w:w="80"/>
              <w:left w:type="dxa" w:w="100"/>
              <w:bottom w:type="dxa" w:w="80"/>
              <w:right w:type="dxa" w:w="100"/>
            </w:tcMar>
          </w:tcPr>
          <w:p>
            <w:r>
              <w:rPr>
                <w:rFonts w:ascii="Calibri" w:cs="Calibri" w:eastAsia="Calibri" w:hAnsi="Calibri"/>
                <w:b w:val="false"/>
                <w:bCs w:val="false"/>
                <w:sz w:val="20"/>
                <w:szCs w:val="20"/>
              </w:rPr>
              <w:t xml:space="preserve">Finalized requirements, system architecture, database schema</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Sprint 2</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IoT Integration</w:t>
            </w:r>
          </w:p>
        </w:tc>
        <w:tc>
          <w:tcPr>
            <w:tcW w:type="dxa" w:w="4100"/>
            <w:tcMar>
              <w:top w:type="dxa" w:w="80"/>
              <w:left w:type="dxa" w:w="100"/>
              <w:bottom w:type="dxa" w:w="80"/>
              <w:right w:type="dxa" w:w="100"/>
            </w:tcMar>
          </w:tcPr>
          <w:p>
            <w:r>
              <w:rPr>
                <w:rFonts w:ascii="Calibri" w:cs="Calibri" w:eastAsia="Calibri" w:hAnsi="Calibri"/>
                <w:b w:val="false"/>
                <w:bCs w:val="false"/>
                <w:sz w:val="20"/>
                <w:szCs w:val="20"/>
              </w:rPr>
              <w:t xml:space="preserve">Sensor data ingestion pipeline, basic dashboard</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Sprint 3</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Blockchain Ledger</w:t>
            </w:r>
          </w:p>
        </w:tc>
        <w:tc>
          <w:tcPr>
            <w:tcW w:type="dxa" w:w="4100"/>
            <w:tcMar>
              <w:top w:type="dxa" w:w="80"/>
              <w:left w:type="dxa" w:w="100"/>
              <w:bottom w:type="dxa" w:w="80"/>
              <w:right w:type="dxa" w:w="100"/>
            </w:tcMar>
          </w:tcPr>
          <w:p>
            <w:r>
              <w:rPr>
                <w:rFonts w:ascii="Calibri" w:cs="Calibri" w:eastAsia="Calibri" w:hAnsi="Calibri"/>
                <w:b w:val="false"/>
                <w:bCs w:val="false"/>
                <w:sz w:val="20"/>
                <w:szCs w:val="20"/>
              </w:rPr>
              <w:t xml:space="preserve">Traceability record storage and retrieval</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Sprint 4</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Alerting &amp; Analytics</w:t>
            </w:r>
          </w:p>
        </w:tc>
        <w:tc>
          <w:tcPr>
            <w:tcW w:type="dxa" w:w="4100"/>
            <w:tcMar>
              <w:top w:type="dxa" w:w="80"/>
              <w:left w:type="dxa" w:w="100"/>
              <w:bottom w:type="dxa" w:w="80"/>
              <w:right w:type="dxa" w:w="100"/>
            </w:tcMar>
          </w:tcPr>
          <w:p>
            <w:r>
              <w:rPr>
                <w:rFonts w:ascii="Calibri" w:cs="Calibri" w:eastAsia="Calibri" w:hAnsi="Calibri"/>
                <w:b w:val="false"/>
                <w:bCs w:val="false"/>
                <w:sz w:val="20"/>
                <w:szCs w:val="20"/>
              </w:rPr>
              <w:t xml:space="preserve">Threshold-based alerts, spoilage prediction model</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Sprint 5</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Stakeholder Dashboards</w:t>
            </w:r>
          </w:p>
        </w:tc>
        <w:tc>
          <w:tcPr>
            <w:tcW w:type="dxa" w:w="4100"/>
            <w:tcMar>
              <w:top w:type="dxa" w:w="80"/>
              <w:left w:type="dxa" w:w="100"/>
              <w:bottom w:type="dxa" w:w="80"/>
              <w:right w:type="dxa" w:w="100"/>
            </w:tcMar>
          </w:tcPr>
          <w:p>
            <w:r>
              <w:rPr>
                <w:rFonts w:ascii="Calibri" w:cs="Calibri" w:eastAsia="Calibri" w:hAnsi="Calibri"/>
                <w:b w:val="false"/>
                <w:bCs w:val="false"/>
                <w:sz w:val="20"/>
                <w:szCs w:val="20"/>
              </w:rPr>
              <w:t xml:space="preserve">Role-based dashboards for all stakeholder groups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Sprint 6</w:t>
            </w:r>
          </w:p>
        </w:tc>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Testing &amp; Deployment</w:t>
            </w:r>
          </w:p>
        </w:tc>
        <w:tc>
          <w:tcPr>
            <w:tcW w:type="dxa" w:w="4100"/>
            <w:tcMar>
              <w:top w:type="dxa" w:w="80"/>
              <w:left w:type="dxa" w:w="100"/>
              <w:bottom w:type="dxa" w:w="80"/>
              <w:right w:type="dxa" w:w="100"/>
            </w:tcMar>
          </w:tcPr>
          <w:p>
            <w:r>
              <w:rPr>
                <w:rFonts w:ascii="Calibri" w:cs="Calibri" w:eastAsia="Calibri" w:hAnsi="Calibri"/>
                <w:b w:val="false"/>
                <w:bCs w:val="false"/>
                <w:sz w:val="20"/>
                <w:szCs w:val="20"/>
              </w:rPr>
              <w:t xml:space="preserve">System testing, UAT, production deployment</w:t>
            </w:r>
          </w:p>
        </w:tc>
      </w:tr>
    </w:tbl>
    <w:p>
      <w:pPr>
        <w:spacing w:after="100" w:before="200"/>
      </w:pPr>
      <w:r>
        <w:rPr>
          <w:rFonts w:ascii="Calibri" w:cs="Calibri" w:eastAsia="Calibri" w:hAnsi="Calibri"/>
          <w:b/>
          <w:bCs/>
          <w:sz w:val="23"/>
          <w:szCs w:val="23"/>
        </w:rPr>
        <w:t xml:space="preserve">Risk Management</w:t>
      </w:r>
    </w:p>
    <w:p>
      <w:pPr>
        <w:spacing w:after="150" w:line="276"/>
        <w:jc w:val="both"/>
      </w:pPr>
      <w:r>
        <w:rPr>
          <w:rFonts w:ascii="Calibri" w:cs="Calibri" w:eastAsia="Calibri" w:hAnsi="Calibri"/>
          <w:sz w:val="22"/>
          <w:szCs w:val="22"/>
        </w:rPr>
        <w:t xml:space="preserve">Several risks were identified during project planning, along with corresponding mitigation strategies to minimize their impact on delivery and system reliability.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rPr>
          <w:tblHeader/>
        </w:trP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Risk</w:t>
            </w:r>
          </w:p>
        </w:tc>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Impact</w:t>
            </w:r>
          </w:p>
        </w:tc>
        <w:tc>
          <w:tcPr>
            <w:tcW w:type="dxa" w:w="3600"/>
            <w:shd w:fill="D9E2F3" w:val="clear"/>
            <w:tcMar>
              <w:top w:type="dxa" w:w="80"/>
              <w:left w:type="dxa" w:w="100"/>
              <w:bottom w:type="dxa" w:w="80"/>
              <w:right w:type="dxa" w:w="100"/>
            </w:tcMar>
          </w:tcPr>
          <w:p>
            <w:r>
              <w:rPr>
                <w:rFonts w:ascii="Calibri" w:cs="Calibri" w:eastAsia="Calibri" w:hAnsi="Calibri"/>
                <w:b/>
                <w:bCs/>
                <w:sz w:val="20"/>
                <w:szCs w:val="20"/>
              </w:rPr>
              <w:t xml:space="preserve">Mitigation Strategy</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Sensor hardware failure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Loss of monitoring data</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Redundant sensors and periodic calibration checks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Network connectivity gaps</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Delayed alert generation</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Local data buffering with delayed sync on reconnection</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Blockchain scalability limits</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Slower transaction processing at scale</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Use of permissioned blockchain with optimized consensus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Data privacy concerns</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Stakeholder reluctance to share data</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Role-based access control and data anonymization</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Integration complexity with legacy ERP systems</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Delayed rollout for existing businesses</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Middleware adapters and phased integration</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Budget overruns</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Project delays</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Agile sprint-based budgeting with regular reviews</w:t>
            </w:r>
          </w:p>
        </w:tc>
      </w:tr>
    </w:tbl>
    <w:p>
      <w:r>
        <w:br w:type="page"/>
      </w:r>
    </w:p>
    <w:p>
      <w:pPr>
        <w:spacing w:after="100" w:before="200"/>
      </w:pPr>
      <w:r>
        <w:rPr>
          <w:rFonts w:ascii="Calibri" w:cs="Calibri" w:eastAsia="Calibri" w:hAnsi="Calibri"/>
          <w:b/>
          <w:bCs/>
          <w:sz w:val="23"/>
          <w:szCs w:val="23"/>
        </w:rPr>
        <w:t xml:space="preserve">Testing Strategy</w:t>
      </w:r>
    </w:p>
    <w:p>
      <w:pPr>
        <w:spacing w:after="150" w:line="276"/>
        <w:jc w:val="both"/>
      </w:pPr>
      <w:r>
        <w:rPr>
          <w:rFonts w:ascii="Calibri" w:cs="Calibri" w:eastAsia="Calibri" w:hAnsi="Calibri"/>
          <w:sz w:val="22"/>
          <w:szCs w:val="22"/>
        </w:rPr>
        <w:t xml:space="preserve">A multi-level testing strategy is adopted to ensure the reliability of the system before deployment.</w:t>
      </w:r>
    </w:p>
    <w:p>
      <w:pPr>
        <w:pStyle w:val="ListParagraph"/>
        <w:numPr>
          <w:ilvl w:val="0"/>
          <w:numId w:val="1"/>
        </w:numPr>
        <w:spacing w:after="80"/>
        <w:jc w:val="both"/>
      </w:pPr>
      <w:r>
        <w:rPr>
          <w:rFonts w:ascii="Calibri" w:cs="Calibri" w:eastAsia="Calibri" w:hAnsi="Calibri"/>
          <w:sz w:val="22"/>
          <w:szCs w:val="22"/>
        </w:rPr>
        <w:t xml:space="preserve">Unit Testing: Individual modules such as sensor data parsers and alert-threshold logic are tested in isolation.</w:t>
      </w:r>
    </w:p>
    <w:p>
      <w:pPr>
        <w:pStyle w:val="ListParagraph"/>
        <w:numPr>
          <w:ilvl w:val="0"/>
          <w:numId w:val="1"/>
        </w:numPr>
        <w:spacing w:after="80"/>
        <w:jc w:val="both"/>
      </w:pPr>
      <w:r>
        <w:rPr>
          <w:rFonts w:ascii="Calibri" w:cs="Calibri" w:eastAsia="Calibri" w:hAnsi="Calibri"/>
          <w:sz w:val="22"/>
          <w:szCs w:val="22"/>
        </w:rPr>
        <w:t xml:space="preserve">Integration Testing: Verifies correct data flow between the IoT ingestion layer, the blockchain ledger, and the dashboard application.</w:t>
      </w:r>
    </w:p>
    <w:p>
      <w:pPr>
        <w:pStyle w:val="ListParagraph"/>
        <w:numPr>
          <w:ilvl w:val="0"/>
          <w:numId w:val="1"/>
        </w:numPr>
        <w:spacing w:after="80"/>
        <w:jc w:val="both"/>
      </w:pPr>
      <w:r>
        <w:rPr>
          <w:rFonts w:ascii="Calibri" w:cs="Calibri" w:eastAsia="Calibri" w:hAnsi="Calibri"/>
          <w:sz w:val="22"/>
          <w:szCs w:val="22"/>
        </w:rPr>
        <w:t xml:space="preserve">System Testing: End-to-end scenarios simulate a product batch moving from farm to retail, validating traceability and alerting.</w:t>
      </w:r>
    </w:p>
    <w:p>
      <w:pPr>
        <w:pStyle w:val="ListParagraph"/>
        <w:numPr>
          <w:ilvl w:val="0"/>
          <w:numId w:val="1"/>
        </w:numPr>
        <w:spacing w:after="80"/>
        <w:jc w:val="both"/>
      </w:pPr>
      <w:r>
        <w:rPr>
          <w:rFonts w:ascii="Calibri" w:cs="Calibri" w:eastAsia="Calibri" w:hAnsi="Calibri"/>
          <w:sz w:val="22"/>
          <w:szCs w:val="22"/>
        </w:rPr>
        <w:t xml:space="preserve">User Acceptance Testing (UAT): Conducted with representative stakeholders including a distributor and a retailer to validate usability.</w:t>
      </w:r>
    </w:p>
    <w:p>
      <w:pPr>
        <w:pStyle w:val="ListParagraph"/>
        <w:numPr>
          <w:ilvl w:val="0"/>
          <w:numId w:val="1"/>
        </w:numPr>
        <w:spacing w:after="80"/>
        <w:jc w:val="both"/>
      </w:pPr>
      <w:r>
        <w:rPr>
          <w:rFonts w:ascii="Calibri" w:cs="Calibri" w:eastAsia="Calibri" w:hAnsi="Calibri"/>
          <w:sz w:val="22"/>
          <w:szCs w:val="22"/>
        </w:rPr>
        <w:t xml:space="preserve">Performance Testing: Simulates high sensor-data volume to confirm the system meets the 5-second alert-latency requirement.</w:t>
      </w:r>
    </w:p>
    <w:p>
      <w:pPr>
        <w:spacing w:after="100" w:before="200"/>
      </w:pPr>
      <w:r>
        <w:rPr>
          <w:rFonts w:ascii="Calibri" w:cs="Calibri" w:eastAsia="Calibri" w:hAnsi="Calibri"/>
          <w:b/>
          <w:bCs/>
          <w:sz w:val="23"/>
          <w:szCs w:val="23"/>
        </w:rPr>
        <w:t xml:space="preserve">Security Considerations</w:t>
      </w:r>
    </w:p>
    <w:p>
      <w:pPr>
        <w:spacing w:after="150" w:line="276"/>
        <w:jc w:val="both"/>
      </w:pPr>
      <w:r>
        <w:rPr>
          <w:rFonts w:ascii="Calibri" w:cs="Calibri" w:eastAsia="Calibri" w:hAnsi="Calibri"/>
          <w:sz w:val="22"/>
          <w:szCs w:val="22"/>
        </w:rPr>
        <w:t xml:space="preserve">Given that the system handles sensitive commercial and regulatory data, security is addressed at every layer. All data in transit is encrypted using TLS, and data at rest is encrypted at the database level. Role-based access control restricts stakeholders to only the information relevant to their function; a retailer, for instance, cannot view a competing distributor's internal logistics data. The blockchain ledger provides tamper-evidence for traceability records, ensuring that once a batch's history is recorded it cannot be silently altered. Regular security audits and penetration testing are recommended as part of ongoing maintenance.</w:t>
      </w:r>
    </w:p>
    <w:p>
      <w:pPr>
        <w:spacing w:after="100" w:before="200"/>
      </w:pPr>
      <w:r>
        <w:rPr>
          <w:rFonts w:ascii="Calibri" w:cs="Calibri" w:eastAsia="Calibri" w:hAnsi="Calibri"/>
          <w:b/>
          <w:bCs/>
          <w:sz w:val="23"/>
          <w:szCs w:val="23"/>
        </w:rPr>
        <w:t xml:space="preserve">Use Case Scenarios</w:t>
      </w:r>
    </w:p>
    <w:p>
      <w:pPr>
        <w:spacing w:after="150" w:line="276"/>
        <w:jc w:val="both"/>
      </w:pPr>
      <w:r>
        <w:rPr>
          <w:rFonts w:ascii="Calibri" w:cs="Calibri" w:eastAsia="Calibri" w:hAnsi="Calibri"/>
          <w:sz w:val="22"/>
          <w:szCs w:val="22"/>
        </w:rPr>
        <w:t xml:space="preserve">The following scenarios illustrate how different stakeholders interact with the system in practice.</w:t>
      </w:r>
    </w:p>
    <w:p>
      <w:pPr>
        <w:spacing w:after="100" w:before="200"/>
      </w:pPr>
      <w:r>
        <w:rPr>
          <w:rFonts w:ascii="Calibri" w:cs="Calibri" w:eastAsia="Calibri" w:hAnsi="Calibri"/>
          <w:b/>
          <w:bCs/>
          <w:sz w:val="23"/>
          <w:szCs w:val="23"/>
        </w:rPr>
        <w:t xml:space="preserve">Scenario 1: Cold Chain Breach During Transportation</w:t>
      </w:r>
    </w:p>
    <w:p>
      <w:pPr>
        <w:spacing w:after="150" w:line="276"/>
        <w:jc w:val="both"/>
      </w:pPr>
      <w:r>
        <w:rPr>
          <w:rFonts w:ascii="Calibri" w:cs="Calibri" w:eastAsia="Calibri" w:hAnsi="Calibri"/>
          <w:sz w:val="22"/>
          <w:szCs w:val="22"/>
        </w:rPr>
        <w:t xml:space="preserve">A refrigerated truck transporting dairy products experiences a cooling unit malfunction. The onboard IoT sensor detects a temperature rise above the safe threshold of 4°C and transmits the reading to the cloud platform every thirty seconds. The rules engine flags the breach within seconds and sends an automated alert to the distributor's dashboard and the retailer awaiting the shipment. The distributor reroutes the truck to the nearest depot for inspection, preventing spoiled product from reaching store shelves and allowing the retailer to adjust incoming inventory expectations immediately.</w:t>
      </w:r>
    </w:p>
    <w:p>
      <w:pPr>
        <w:spacing w:after="100" w:before="200"/>
      </w:pPr>
      <w:r>
        <w:rPr>
          <w:rFonts w:ascii="Calibri" w:cs="Calibri" w:eastAsia="Calibri" w:hAnsi="Calibri"/>
          <w:b/>
          <w:bCs/>
          <w:sz w:val="23"/>
          <w:szCs w:val="23"/>
        </w:rPr>
        <w:t xml:space="preserve">Scenario 2: Product Recall</w:t>
      </w:r>
    </w:p>
    <w:p>
      <w:pPr>
        <w:spacing w:after="150" w:line="276"/>
        <w:jc w:val="both"/>
      </w:pPr>
      <w:r>
        <w:rPr>
          <w:rFonts w:ascii="Calibri" w:cs="Calibri" w:eastAsia="Calibri" w:hAnsi="Calibri"/>
          <w:sz w:val="22"/>
          <w:szCs w:val="22"/>
        </w:rPr>
        <w:t xml:space="preserve">A contamination issue is identified in a batch of packaged leafy greens after retail distribution. Using the blockchain-backed traceability ledger, the quality inspector queries the system by batch ID and instantly retrieves every location the batch passed through, including the originating farm, the distribution center, and the specific retail outlets that received it. This reduces what would traditionally take days of manual paperwork review to a matter of minutes, allowing the affected units to be pulled from shelves before consumers are exposed to risk.</w:t>
      </w:r>
    </w:p>
    <w:p>
      <w:pPr>
        <w:spacing w:after="100" w:before="200"/>
      </w:pPr>
      <w:r>
        <w:rPr>
          <w:rFonts w:ascii="Calibri" w:cs="Calibri" w:eastAsia="Calibri" w:hAnsi="Calibri"/>
          <w:b/>
          <w:bCs/>
          <w:sz w:val="23"/>
          <w:szCs w:val="23"/>
        </w:rPr>
        <w:t xml:space="preserve">Scenario 3: Consumer Verification</w:t>
      </w:r>
    </w:p>
    <w:p>
      <w:pPr>
        <w:spacing w:after="150" w:line="276"/>
        <w:jc w:val="both"/>
      </w:pPr>
      <w:r>
        <w:rPr>
          <w:rFonts w:ascii="Calibri" w:cs="Calibri" w:eastAsia="Calibri" w:hAnsi="Calibri"/>
          <w:sz w:val="22"/>
          <w:szCs w:val="22"/>
        </w:rPr>
        <w:t xml:space="preserve">A consumer scans a QR code on a packaged product using a mobile application. The system retrieves the product's full traceability history, including farm origin, harvest date, transportation conditions, and quality certifications, and displays it in a simplified, consumer-friendly format. This transparency builds trust and differentiates the retailer's products in a competitive market.</w:t>
      </w:r>
    </w:p>
    <w:p>
      <w:r>
        <w:br w:type="page"/>
      </w:r>
    </w:p>
    <w:p>
      <w:pPr>
        <w:spacing w:after="100" w:before="200"/>
      </w:pPr>
      <w:r>
        <w:rPr>
          <w:rFonts w:ascii="Calibri" w:cs="Calibri" w:eastAsia="Calibri" w:hAnsi="Calibri"/>
          <w:b/>
          <w:bCs/>
          <w:sz w:val="23"/>
          <w:szCs w:val="23"/>
        </w:rPr>
        <w:t xml:space="preserve">Entity Relationship Overview</w:t>
      </w:r>
    </w:p>
    <w:p>
      <w:pPr>
        <w:spacing w:after="150" w:line="276"/>
        <w:jc w:val="both"/>
      </w:pPr>
      <w:r>
        <w:rPr>
          <w:rFonts w:ascii="Calibri" w:cs="Calibri" w:eastAsia="Calibri" w:hAnsi="Calibri"/>
          <w:sz w:val="22"/>
          <w:szCs w:val="22"/>
        </w:rPr>
        <w:t xml:space="preserve">The system's relational database is organized around a set of core entities that capture the products, participants, and events involved in the supply chain.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00"/>
      </w:tblGrid>
      <w:tr>
        <w:trPr>
          <w:tblHeader/>
        </w:trPr>
        <w:tc>
          <w:tcPr>
            <w:tcW w:type="dxa" w:w="2200"/>
            <w:shd w:fill="D9E2F3" w:val="clear"/>
            <w:tcMar>
              <w:top w:type="dxa" w:w="80"/>
              <w:left w:type="dxa" w:w="100"/>
              <w:bottom w:type="dxa" w:w="80"/>
              <w:right w:type="dxa" w:w="100"/>
            </w:tcMar>
          </w:tcPr>
          <w:p>
            <w:r>
              <w:rPr>
                <w:rFonts w:ascii="Calibri" w:cs="Calibri" w:eastAsia="Calibri" w:hAnsi="Calibri"/>
                <w:b/>
                <w:bCs/>
                <w:sz w:val="20"/>
                <w:szCs w:val="20"/>
              </w:rPr>
              <w:t xml:space="preserve">Entity</w:t>
            </w:r>
          </w:p>
        </w:tc>
        <w:tc>
          <w:tcPr>
            <w:tcW w:type="dxa" w:w="3700"/>
            <w:shd w:fill="D9E2F3" w:val="clear"/>
            <w:tcMar>
              <w:top w:type="dxa" w:w="80"/>
              <w:left w:type="dxa" w:w="100"/>
              <w:bottom w:type="dxa" w:w="80"/>
              <w:right w:type="dxa" w:w="100"/>
            </w:tcMar>
          </w:tcPr>
          <w:p>
            <w:r>
              <w:rPr>
                <w:rFonts w:ascii="Calibri" w:cs="Calibri" w:eastAsia="Calibri" w:hAnsi="Calibri"/>
                <w:b/>
                <w:bCs/>
                <w:sz w:val="20"/>
                <w:szCs w:val="20"/>
              </w:rPr>
              <w:t xml:space="preserve">Key Attributes</w:t>
            </w:r>
          </w:p>
        </w:tc>
        <w:tc>
          <w:tcPr>
            <w:tcW w:type="dxa" w:w="3100"/>
            <w:shd w:fill="D9E2F3" w:val="clear"/>
            <w:tcMar>
              <w:top w:type="dxa" w:w="80"/>
              <w:left w:type="dxa" w:w="100"/>
              <w:bottom w:type="dxa" w:w="80"/>
              <w:right w:type="dxa" w:w="100"/>
            </w:tcMar>
          </w:tcPr>
          <w:p>
            <w:r>
              <w:rPr>
                <w:rFonts w:ascii="Calibri" w:cs="Calibri" w:eastAsia="Calibri" w:hAnsi="Calibri"/>
                <w:b/>
                <w:bCs/>
                <w:sz w:val="20"/>
                <w:szCs w:val="20"/>
              </w:rPr>
              <w:t xml:space="preserve">Relationships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Product Batch</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Batch ID, product type, harvest date, expiry date</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Linked to Farm, Sensor Readings, and Shipment</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Farm / Producer</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Producer ID, name, location, certification</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One-to-many with Product Batch</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Sensor Reading</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Reading ID, timestamp, temperature, humidity, GPS coordinates</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Many-to-one with Product Batch</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Shipment</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Shipment ID, origin, destination, carrier, status</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One-to-one with Product Batch, many-to-one with Distributor</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Stakeholder Account</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User ID, role, organization, permissions</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Many-to-many with Product Batch (via access logs)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Alert</w:t>
            </w:r>
          </w:p>
        </w:tc>
        <w:tc>
          <w:tcPr>
            <w:tcW w:type="dxa" w:w="3700"/>
            <w:tcMar>
              <w:top w:type="dxa" w:w="80"/>
              <w:left w:type="dxa" w:w="100"/>
              <w:bottom w:type="dxa" w:w="80"/>
              <w:right w:type="dxa" w:w="100"/>
            </w:tcMar>
          </w:tcPr>
          <w:p>
            <w:r>
              <w:rPr>
                <w:rFonts w:ascii="Calibri" w:cs="Calibri" w:eastAsia="Calibri" w:hAnsi="Calibri"/>
                <w:b w:val="false"/>
                <w:bCs w:val="false"/>
                <w:sz w:val="20"/>
                <w:szCs w:val="20"/>
              </w:rPr>
              <w:t xml:space="preserve">Alert ID, type, severity, timestamp, resolution status</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Many-to-one with Sensor Reading</w:t>
            </w:r>
          </w:p>
        </w:tc>
      </w:tr>
    </w:tbl>
    <w:p>
      <w:pPr>
        <w:spacing w:after="100" w:before="200"/>
      </w:pPr>
      <w:r>
        <w:rPr>
          <w:rFonts w:ascii="Calibri" w:cs="Calibri" w:eastAsia="Calibri" w:hAnsi="Calibri"/>
          <w:b/>
          <w:bCs/>
          <w:sz w:val="23"/>
          <w:szCs w:val="23"/>
        </w:rPr>
        <w:t xml:space="preserve">User Roles and Permissions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00"/>
      </w:tblGrid>
      <w:tr>
        <w:trPr>
          <w:tblHeader/>
        </w:trPr>
        <w:tc>
          <w:tcPr>
            <w:tcW w:type="dxa" w:w="2600"/>
            <w:shd w:fill="D9E2F3" w:val="clear"/>
            <w:tcMar>
              <w:top w:type="dxa" w:w="80"/>
              <w:left w:type="dxa" w:w="100"/>
              <w:bottom w:type="dxa" w:w="80"/>
              <w:right w:type="dxa" w:w="100"/>
            </w:tcMar>
          </w:tcPr>
          <w:p>
            <w:r>
              <w:rPr>
                <w:rFonts w:ascii="Calibri" w:cs="Calibri" w:eastAsia="Calibri" w:hAnsi="Calibri"/>
                <w:b/>
                <w:bCs/>
                <w:sz w:val="20"/>
                <w:szCs w:val="20"/>
              </w:rPr>
              <w:t xml:space="preserve">Role</w:t>
            </w:r>
          </w:p>
        </w:tc>
        <w:tc>
          <w:tcPr>
            <w:tcW w:type="dxa" w:w="2800"/>
            <w:shd w:fill="D9E2F3" w:val="clear"/>
            <w:tcMar>
              <w:top w:type="dxa" w:w="80"/>
              <w:left w:type="dxa" w:w="100"/>
              <w:bottom w:type="dxa" w:w="80"/>
              <w:right w:type="dxa" w:w="100"/>
            </w:tcMar>
          </w:tcPr>
          <w:p>
            <w:r>
              <w:rPr>
                <w:rFonts w:ascii="Calibri" w:cs="Calibri" w:eastAsia="Calibri" w:hAnsi="Calibri"/>
                <w:b/>
                <w:bCs/>
                <w:sz w:val="20"/>
                <w:szCs w:val="20"/>
              </w:rPr>
              <w:t xml:space="preserve">Access Level</w:t>
            </w:r>
          </w:p>
        </w:tc>
        <w:tc>
          <w:tcPr>
            <w:tcW w:type="dxa" w:w="3600"/>
            <w:shd w:fill="D9E2F3" w:val="clear"/>
            <w:tcMar>
              <w:top w:type="dxa" w:w="80"/>
              <w:left w:type="dxa" w:w="100"/>
              <w:bottom w:type="dxa" w:w="80"/>
              <w:right w:type="dxa" w:w="100"/>
            </w:tcMar>
          </w:tcPr>
          <w:p>
            <w:r>
              <w:rPr>
                <w:rFonts w:ascii="Calibri" w:cs="Calibri" w:eastAsia="Calibri" w:hAnsi="Calibri"/>
                <w:b/>
                <w:bCs/>
                <w:sz w:val="20"/>
                <w:szCs w:val="20"/>
              </w:rPr>
              <w:t xml:space="preserve">Permitted Actions</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Farmer</w:t>
            </w:r>
          </w:p>
        </w:tc>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Origin data only</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Enter harvest data, view own batch history</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Distributor</w:t>
            </w:r>
          </w:p>
        </w:tc>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Transportation data</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View shipment conditions, update logistics status</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Retailer</w:t>
            </w:r>
          </w:p>
        </w:tc>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Inventory data</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View incoming batch quality, manage shelf inventory</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Regulatory Inspector</w:t>
            </w:r>
          </w:p>
        </w:tc>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Read-only, full traceability</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Query batch history, generate compliance reports</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System Administrator</w:t>
            </w:r>
          </w:p>
        </w:tc>
        <w:tc>
          <w:tcPr>
            <w:tcW w:type="dxa" w:w="2800"/>
            <w:tcMar>
              <w:top w:type="dxa" w:w="80"/>
              <w:left w:type="dxa" w:w="100"/>
              <w:bottom w:type="dxa" w:w="80"/>
              <w:right w:type="dxa" w:w="100"/>
            </w:tcMar>
          </w:tcPr>
          <w:p>
            <w:r>
              <w:rPr>
                <w:rFonts w:ascii="Calibri" w:cs="Calibri" w:eastAsia="Calibri" w:hAnsi="Calibri"/>
                <w:b w:val="false"/>
                <w:bCs w:val="false"/>
                <w:sz w:val="20"/>
                <w:szCs w:val="20"/>
              </w:rPr>
              <w:t xml:space="preserve">Full system access</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Manage users, configure thresholds, maintain infrastructure</w:t>
            </w:r>
          </w:p>
        </w:tc>
      </w:tr>
    </w:tbl>
    <w:p>
      <w:r>
        <w:br w:type="page"/>
      </w:r>
    </w:p>
    <w:p>
      <w:pPr>
        <w:spacing w:after="100" w:before="200"/>
      </w:pPr>
      <w:r>
        <w:rPr>
          <w:rFonts w:ascii="Calibri" w:cs="Calibri" w:eastAsia="Calibri" w:hAnsi="Calibri"/>
          <w:b/>
          <w:bCs/>
          <w:sz w:val="23"/>
          <w:szCs w:val="23"/>
        </w:rPr>
        <w:t xml:space="preserve">Project Timeline</w:t>
      </w:r>
    </w:p>
    <w:p>
      <w:pPr>
        <w:spacing w:after="150" w:line="276"/>
        <w:jc w:val="both"/>
      </w:pPr>
      <w:r>
        <w:rPr>
          <w:rFonts w:ascii="Calibri" w:cs="Calibri" w:eastAsia="Calibri" w:hAnsi="Calibri"/>
          <w:sz w:val="22"/>
          <w:szCs w:val="22"/>
        </w:rPr>
        <w:t xml:space="preserve">The project is planned for delivery over a twelve-week period, aligned with the six two-week Agile sprints described earlier. The table below summarizes key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4500"/>
      </w:tblGrid>
      <w:tr>
        <w:trPr>
          <w:tblHeader/>
        </w:trPr>
        <w:tc>
          <w:tcPr>
            <w:tcW w:type="dxa" w:w="2900"/>
            <w:shd w:fill="D9E2F3" w:val="clear"/>
            <w:tcMar>
              <w:top w:type="dxa" w:w="80"/>
              <w:left w:type="dxa" w:w="100"/>
              <w:bottom w:type="dxa" w:w="80"/>
              <w:right w:type="dxa" w:w="100"/>
            </w:tcMar>
          </w:tcPr>
          <w:p>
            <w:r>
              <w:rPr>
                <w:rFonts w:ascii="Calibri" w:cs="Calibri" w:eastAsia="Calibri" w:hAnsi="Calibri"/>
                <w:b/>
                <w:bCs/>
                <w:sz w:val="20"/>
                <w:szCs w:val="20"/>
              </w:rPr>
              <w:t xml:space="preserve">Milestone</w:t>
            </w:r>
          </w:p>
        </w:tc>
        <w:tc>
          <w:tcPr>
            <w:tcW w:type="dxa" w:w="1600"/>
            <w:shd w:fill="D9E2F3"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4500"/>
            <w:shd w:fill="D9E2F3" w:val="clear"/>
            <w:tcMar>
              <w:top w:type="dxa" w:w="80"/>
              <w:left w:type="dxa" w:w="100"/>
              <w:bottom w:type="dxa" w:w="80"/>
              <w:right w:type="dxa" w:w="100"/>
            </w:tcMar>
          </w:tcPr>
          <w:p>
            <w:r>
              <w:rPr>
                <w:rFonts w:ascii="Calibri" w:cs="Calibri" w:eastAsia="Calibri" w:hAnsi="Calibri"/>
                <w:b/>
                <w:bCs/>
                <w:sz w:val="20"/>
                <w:szCs w:val="20"/>
              </w:rPr>
              <w:t xml:space="preserve">Description</w:t>
            </w:r>
          </w:p>
        </w:tc>
      </w:tr>
      <w:tr>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Requirements Sign-off</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Week 2</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Stakeholder-approved requirements and architecture document</w:t>
            </w:r>
          </w:p>
        </w:tc>
      </w:tr>
      <w:tr>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IoT Pipeline Prototype</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Week 4</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Working sensor data ingestion into the cloud platform</w:t>
            </w:r>
          </w:p>
        </w:tc>
      </w:tr>
      <w:tr>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Blockchain Ledger Live</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Week 6</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Traceability records being written to the distributed ledger</w:t>
            </w:r>
          </w:p>
        </w:tc>
      </w:tr>
      <w:tr>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Alerting System Complete</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Week 8</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Automated threshold-based alerts operational</w:t>
            </w:r>
          </w:p>
        </w:tc>
      </w:tr>
      <w:tr>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Dashboards Delivered</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Week 10</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Role-based dashboards available to all stakeholder groups</w:t>
            </w:r>
          </w:p>
        </w:tc>
      </w:tr>
      <w:tr>
        <w:tc>
          <w:tcPr>
            <w:tcW w:type="dxa" w:w="2900"/>
            <w:tcMar>
              <w:top w:type="dxa" w:w="80"/>
              <w:left w:type="dxa" w:w="100"/>
              <w:bottom w:type="dxa" w:w="80"/>
              <w:right w:type="dxa" w:w="100"/>
            </w:tcMar>
          </w:tcPr>
          <w:p>
            <w:r>
              <w:rPr>
                <w:rFonts w:ascii="Calibri" w:cs="Calibri" w:eastAsia="Calibri" w:hAnsi="Calibri"/>
                <w:b w:val="false"/>
                <w:bCs w:val="false"/>
                <w:sz w:val="20"/>
                <w:szCs w:val="20"/>
              </w:rPr>
              <w:t xml:space="preserve">UAT and Deployment</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Week 12</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User acceptance testing complete, system deployed to production</w:t>
            </w:r>
          </w:p>
        </w:tc>
      </w:tr>
    </w:tbl>
    <w:p>
      <w:pPr>
        <w:spacing w:after="100" w:before="200"/>
      </w:pPr>
      <w:r>
        <w:rPr>
          <w:rFonts w:ascii="Calibri" w:cs="Calibri" w:eastAsia="Calibri" w:hAnsi="Calibri"/>
          <w:b/>
          <w:bCs/>
          <w:sz w:val="23"/>
          <w:szCs w:val="23"/>
        </w:rPr>
        <w:t xml:space="preserve">Cost and Resource Estimation</w:t>
      </w:r>
    </w:p>
    <w:p>
      <w:pPr>
        <w:spacing w:after="150" w:line="276"/>
        <w:jc w:val="both"/>
      </w:pPr>
      <w:r>
        <w:rPr>
          <w:rFonts w:ascii="Calibri" w:cs="Calibri" w:eastAsia="Calibri" w:hAnsi="Calibri"/>
          <w:sz w:val="22"/>
          <w:szCs w:val="22"/>
        </w:rPr>
        <w:t xml:space="preserve">A preliminary resource estimate assumes a small cross-functional team consisting of two backend developers, one frontend developer, one IoT/hardware specialist, one blockchain engineer, and a project manager acting also as Scrum Master. Cloud infrastructure costs are estimated based on IoT message volume and data storage requirements, scaling with the number of active sensors deployed. Hardware costs include the sensor units themselves, which represent a one-time investment per storage or transport unit rather than a recurring expense, making the solution more cost-effective as deployment scales across a larger network of farms and distributors.</w:t>
      </w:r>
    </w:p>
    <w:p>
      <w:pPr>
        <w:spacing w:after="100" w:before="200"/>
      </w:pPr>
      <w:r>
        <w:rPr>
          <w:rFonts w:ascii="Calibri" w:cs="Calibri" w:eastAsia="Calibri" w:hAnsi="Calibri"/>
          <w:b/>
          <w:bCs/>
          <w:sz w:val="23"/>
          <w:szCs w:val="23"/>
        </w:rPr>
        <w:t xml:space="preserve">Limitations and Future Enhancements</w:t>
      </w:r>
    </w:p>
    <w:p>
      <w:pPr>
        <w:spacing w:after="150" w:line="276"/>
        <w:jc w:val="both"/>
      </w:pPr>
      <w:r>
        <w:rPr>
          <w:rFonts w:ascii="Calibri" w:cs="Calibri" w:eastAsia="Calibri" w:hAnsi="Calibri"/>
          <w:sz w:val="22"/>
          <w:szCs w:val="22"/>
        </w:rPr>
        <w:t xml:space="preserve">The current scope of the system focuses on monitoring and alerting rather than automated control of physical equipment; for example, the system can detect a refrigeration failure but cannot directly instruct the unit to self-correct. Future enhancements could integrate with smart actuators to enable automated corrective actions, such as adjusting a cooling unit's setpoint in response to a detected anomaly. Additional future work includes expanding the predictive analytics model to account for seasonal and regional spoilage patterns, and extending consumer-facing features such as sustainability scoring based on transportation distance and storage efficiency.</w:t>
      </w:r>
    </w:p>
    <w:p>
      <w:pPr>
        <w:spacing w:after="100" w:before="200"/>
      </w:pPr>
      <w:r>
        <w:rPr>
          <w:rFonts w:ascii="Calibri" w:cs="Calibri" w:eastAsia="Calibri" w:hAnsi="Calibri"/>
          <w:b/>
          <w:bCs/>
          <w:sz w:val="23"/>
          <w:szCs w:val="23"/>
        </w:rPr>
        <w:t xml:space="preserve">Conclusion</w:t>
      </w:r>
    </w:p>
    <w:p>
      <w:pPr>
        <w:spacing w:after="150" w:line="276"/>
        <w:jc w:val="both"/>
      </w:pPr>
      <w:r>
        <w:rPr>
          <w:rFonts w:ascii="Calibri" w:cs="Calibri" w:eastAsia="Calibri" w:hAnsi="Calibri"/>
          <w:sz w:val="22"/>
          <w:szCs w:val="22"/>
        </w:rPr>
        <w:t xml:space="preserve">The Smart Food Supply Chain Traceability and Quality Monitoring System addresses a pressing need in the food industry by combining IoT sensing, blockchain-based traceability, and predictive analytics into a single integrated platform. By providing real-time visibility into storage and transportation conditions, the system enables faster response to quality deviations, reduces spoilage-related losses, and strengthens regulatory compliance. Its layered architecture and Agile development approach ensure the system can scale to accommodate a growing number of stakeholders while remaining adaptable to future regulatory and technological changes. Ultimately, the platform contributes to a safer, more transparent, and more efficient food supply chain from farm to 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2026-07-27T16:04:49.188Z</dcterms:created>
  <dcterms:modified xsi:type="dcterms:W3CDTF">2026-07-27T16:04:49.188Z</dcterms:modified>
</cp:coreProperties>
</file>

<file path=docProps/custom.xml><?xml version="1.0" encoding="utf-8"?>
<Properties xmlns="http://schemas.openxmlformats.org/officeDocument/2006/custom-properties" xmlns:vt="http://schemas.openxmlformats.org/officeDocument/2006/docPropsVTypes"/>
</file>