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RP步兵工程复盘</w:t>
      </w:r>
    </w:p>
    <w:p>
      <w:pPr>
        <w:pStyle w:val="Subtitle"/>
      </w:pPr>
      <w:r>
        <w:t>上板云台与发射  下板底盘与通信</w:t>
      </w:r>
    </w:p>
    <w:p>
      <w:r>
        <w:t>整理日期  2026年10月8日</w:t>
      </w:r>
    </w:p>
    <w:p>
      <w:r>
        <w:t>本次工程采用上下双板结构，完成了云台、升降、发射、底盘、功率、热量及板间通信控制。本文记录调试和工程整理中的主要问题，按“遇到的问题、解决办法、根本原因、学到的教训”展开，作为后续调车、移植和交接的参考。</w:t>
      </w:r>
    </w:p>
    <w:p>
      <w:r>
        <w:t>调试过程中，反馈质量、单位换算、数据时效和状态职责对稳定性影响较大。后续维护应先核对这些基础条件，再调整控制参数；相同动作共用流程，本地预测通过外部实测校准。</w:t>
      </w:r>
    </w:p>
    <w:p>
      <w:pPr>
        <w:pStyle w:val="Heading2"/>
      </w:pPr>
      <w:r>
        <w:t>阅读说明</w:t>
      </w:r>
    </w:p>
    <w:p>
      <w:r>
        <w:t>处理状态区分当前已实现的措施、已有实车改善记录和仍待验证的问题。涉及传感器延迟、负载和机械因素的原因，按实际证据写明范围；尚未定位的问题保留候选原因与观察入口。</w:t>
      </w:r>
    </w:p>
    <w:p>
      <w:r>
        <w:t>本版核对当前工程源码、模块文档及此前调车交流。历史参数可能已经调整，使用时以各板 config 初始化文件和运行值为准。</w:t>
      </w:r>
    </w:p>
    <w:p>
      <w:r>
        <w:br w:type="page"/>
      </w:r>
    </w:p>
    <w:p>
      <w:pPr>
        <w:pStyle w:val="Title"/>
      </w:pPr>
      <w:r>
        <w:t>目录</w:t>
      </w:r>
    </w:p>
    <w:p>
      <w:r>
        <w:t>点击章节可跳转。页码为本版排版结果，后续编辑可更新页码域。</w:t>
      </w:r>
    </w:p>
    <w:p>
      <w:pPr>
        <w:tabs>
          <w:tab w:pos="9354" w:val="right" w:leader="dot"/>
        </w:tabs>
        <w:spacing w:after="240"/>
      </w:pPr>
      <w:hyperlink w:anchor="chapter_1">
        <w:r>
          <w:rPr>
            <w:color w:val="000000"/>
          </w:rPr>
          <w:t>01  机械云台的稳定与回正</w:t>
        </w:r>
      </w:hyperlink>
      <w:r>
        <w:tab/>
      </w:r>
      <w:r>
        <w:fldChar w:fldCharType="begin"/>
      </w:r>
      <w:r>
        <w:instrText xml:space="preserve"> PAGEREF chapter_1 \h </w:instrText>
      </w:r>
      <w:r>
        <w:fldChar w:fldCharType="separate"/>
      </w:r>
      <w:r>
        <w:t>3</w:t>
      </w:r>
      <w:r>
        <w:fldChar w:fldCharType="end"/>
      </w:r>
    </w:p>
    <w:p>
      <w:pPr>
        <w:tabs>
          <w:tab w:pos="9354" w:val="right" w:leader="dot"/>
        </w:tabs>
        <w:spacing w:after="240"/>
      </w:pPr>
      <w:hyperlink w:anchor="chapter_2">
        <w:r>
          <w:rPr>
            <w:color w:val="000000"/>
          </w:rPr>
          <w:t>02  调头轨迹与开机归中</w:t>
        </w:r>
      </w:hyperlink>
      <w:r>
        <w:tab/>
      </w:r>
      <w:r>
        <w:fldChar w:fldCharType="begin"/>
      </w:r>
      <w:r>
        <w:instrText xml:space="preserve"> PAGEREF chapter_2 \h </w:instrText>
      </w:r>
      <w:r>
        <w:fldChar w:fldCharType="separate"/>
      </w:r>
      <w:r>
        <w:t>4</w:t>
      </w:r>
      <w:r>
        <w:fldChar w:fldCharType="end"/>
      </w:r>
    </w:p>
    <w:p>
      <w:pPr>
        <w:tabs>
          <w:tab w:pos="9354" w:val="right" w:leader="dot"/>
        </w:tabs>
        <w:spacing w:after="240"/>
      </w:pPr>
      <w:hyperlink w:anchor="chapter_3">
        <w:r>
          <w:rPr>
            <w:color w:val="000000"/>
          </w:rPr>
          <w:t>03  升降与安全联锁</w:t>
        </w:r>
      </w:hyperlink>
      <w:r>
        <w:tab/>
      </w:r>
      <w:r>
        <w:fldChar w:fldCharType="begin"/>
      </w:r>
      <w:r>
        <w:instrText xml:space="preserve"> PAGEREF chapter_3 \h </w:instrText>
      </w:r>
      <w:r>
        <w:fldChar w:fldCharType="separate"/>
      </w:r>
      <w:r>
        <w:t>5</w:t>
      </w:r>
      <w:r>
        <w:fldChar w:fldCharType="end"/>
      </w:r>
    </w:p>
    <w:p>
      <w:pPr>
        <w:tabs>
          <w:tab w:pos="9354" w:val="right" w:leader="dot"/>
        </w:tabs>
        <w:spacing w:after="240"/>
      </w:pPr>
      <w:hyperlink w:anchor="chapter_4">
        <w:r>
          <w:rPr>
            <w:color w:val="000000"/>
          </w:rPr>
          <w:t>04  遥控与发射状态</w:t>
        </w:r>
      </w:hyperlink>
      <w:r>
        <w:tab/>
      </w:r>
      <w:r>
        <w:fldChar w:fldCharType="begin"/>
      </w:r>
      <w:r>
        <w:instrText xml:space="preserve"> PAGEREF chapter_4 \h </w:instrText>
      </w:r>
      <w:r>
        <w:fldChar w:fldCharType="separate"/>
      </w:r>
      <w:r>
        <w:t>6</w:t>
      </w:r>
      <w:r>
        <w:fldChar w:fldCharType="end"/>
      </w:r>
    </w:p>
    <w:p>
      <w:pPr>
        <w:tabs>
          <w:tab w:pos="9354" w:val="right" w:leader="dot"/>
        </w:tabs>
        <w:spacing w:after="240"/>
      </w:pPr>
      <w:hyperlink w:anchor="chapter_5">
        <w:r>
          <w:rPr>
            <w:color w:val="000000"/>
          </w:rPr>
          <w:t>05  热量与弹速自适应</w:t>
        </w:r>
      </w:hyperlink>
      <w:r>
        <w:tab/>
      </w:r>
      <w:r>
        <w:fldChar w:fldCharType="begin"/>
      </w:r>
      <w:r>
        <w:instrText xml:space="preserve"> PAGEREF chapter_5 \h </w:instrText>
      </w:r>
      <w:r>
        <w:fldChar w:fldCharType="separate"/>
      </w:r>
      <w:r>
        <w:t>7</w:t>
      </w:r>
      <w:r>
        <w:fldChar w:fldCharType="end"/>
      </w:r>
    </w:p>
    <w:p>
      <w:pPr>
        <w:tabs>
          <w:tab w:pos="9354" w:val="right" w:leader="dot"/>
        </w:tabs>
        <w:spacing w:after="240"/>
      </w:pPr>
      <w:hyperlink w:anchor="chapter_6">
        <w:r>
          <w:rPr>
            <w:color w:val="000000"/>
          </w:rPr>
          <w:t>06  底盘功率估算与分配</w:t>
        </w:r>
      </w:hyperlink>
      <w:r>
        <w:tab/>
      </w:r>
      <w:r>
        <w:fldChar w:fldCharType="begin"/>
      </w:r>
      <w:r>
        <w:instrText xml:space="preserve"> PAGEREF chapter_6 \h </w:instrText>
      </w:r>
      <w:r>
        <w:fldChar w:fldCharType="separate"/>
      </w:r>
      <w:r>
        <w:t>8</w:t>
      </w:r>
      <w:r>
        <w:fldChar w:fldCharType="end"/>
      </w:r>
    </w:p>
    <w:p>
      <w:pPr>
        <w:tabs>
          <w:tab w:pos="9354" w:val="right" w:leader="dot"/>
        </w:tabs>
        <w:spacing w:after="240"/>
      </w:pPr>
      <w:hyperlink w:anchor="chapter_7">
        <w:r>
          <w:rPr>
            <w:color w:val="000000"/>
          </w:rPr>
          <w:t>07  超电与缓冲能量</w:t>
        </w:r>
      </w:hyperlink>
      <w:r>
        <w:tab/>
      </w:r>
      <w:r>
        <w:fldChar w:fldCharType="begin"/>
      </w:r>
      <w:r>
        <w:instrText xml:space="preserve"> PAGEREF chapter_7 \h </w:instrText>
      </w:r>
      <w:r>
        <w:fldChar w:fldCharType="separate"/>
      </w:r>
      <w:r>
        <w:t>9</w:t>
      </w:r>
      <w:r>
        <w:fldChar w:fldCharType="end"/>
      </w:r>
    </w:p>
    <w:p>
      <w:pPr>
        <w:tabs>
          <w:tab w:pos="9354" w:val="right" w:leader="dot"/>
        </w:tabs>
        <w:spacing w:after="240"/>
      </w:pPr>
      <w:hyperlink w:anchor="chapter_8">
        <w:r>
          <w:rPr>
            <w:color w:val="000000"/>
          </w:rPr>
          <w:t>08  协议解析与通信时效</w:t>
        </w:r>
      </w:hyperlink>
      <w:r>
        <w:tab/>
      </w:r>
      <w:r>
        <w:fldChar w:fldCharType="begin"/>
      </w:r>
      <w:r>
        <w:instrText xml:space="preserve"> PAGEREF chapter_8 \h </w:instrText>
      </w:r>
      <w:r>
        <w:fldChar w:fldCharType="separate"/>
      </w:r>
      <w:r>
        <w:t>10</w:t>
      </w:r>
      <w:r>
        <w:fldChar w:fldCharType="end"/>
      </w:r>
    </w:p>
    <w:p>
      <w:pPr>
        <w:tabs>
          <w:tab w:pos="9354" w:val="right" w:leader="dot"/>
        </w:tabs>
        <w:spacing w:after="240"/>
      </w:pPr>
      <w:hyperlink w:anchor="chapter_9">
        <w:r>
          <w:rPr>
            <w:color w:val="000000"/>
          </w:rPr>
          <w:t>09  外设配置与工程维护</w:t>
        </w:r>
      </w:hyperlink>
      <w:r>
        <w:tab/>
      </w:r>
      <w:r>
        <w:fldChar w:fldCharType="begin"/>
      </w:r>
      <w:r>
        <w:instrText xml:space="preserve"> PAGEREF chapter_9 \h </w:instrText>
      </w:r>
      <w:r>
        <w:fldChar w:fldCharType="separate"/>
      </w:r>
      <w:r>
        <w:t>11</w:t>
      </w:r>
      <w:r>
        <w:fldChar w:fldCharType="end"/>
      </w:r>
    </w:p>
    <w:p>
      <w:pPr>
        <w:tabs>
          <w:tab w:pos="9354" w:val="right" w:leader="dot"/>
        </w:tabs>
        <w:spacing w:after="240"/>
      </w:pPr>
      <w:hyperlink w:anchor="chapter_10">
        <w:r>
          <w:rPr>
            <w:color w:val="000000"/>
          </w:rPr>
          <w:t>10  调试观察与剩余问题</w:t>
        </w:r>
      </w:hyperlink>
      <w:r>
        <w:tab/>
      </w:r>
      <w:r>
        <w:fldChar w:fldCharType="begin"/>
      </w:r>
      <w:r>
        <w:instrText xml:space="preserve"> PAGEREF chapter_10 \h </w:instrText>
      </w:r>
      <w:r>
        <w:fldChar w:fldCharType="separate"/>
      </w:r>
      <w:r>
        <w:t>12</w:t>
      </w:r>
      <w:r>
        <w:fldChar w:fldCharType="end"/>
      </w:r>
    </w:p>
    <w:p>
      <w:pPr>
        <w:tabs>
          <w:tab w:pos="9354" w:val="right" w:leader="dot"/>
        </w:tabs>
        <w:spacing w:after="240"/>
      </w:pPr>
      <w:hyperlink w:anchor="chapter_11">
        <w:r>
          <w:rPr>
            <w:color w:val="000000"/>
          </w:rPr>
          <w:t>11  下一台车的做法与资料入口</w:t>
        </w:r>
      </w:hyperlink>
      <w:r>
        <w:tab/>
      </w:r>
      <w:r>
        <w:fldChar w:fldCharType="begin"/>
      </w:r>
      <w:r>
        <w:instrText xml:space="preserve"> PAGEREF chapter_11 \h </w:instrText>
      </w:r>
      <w:r>
        <w:fldChar w:fldCharType="separate"/>
      </w:r>
      <w:r>
        <w:t>13</w:t>
      </w:r>
      <w:r>
        <w:fldChar w:fldCharType="end"/>
      </w:r>
    </w:p>
    <w:p>
      <w:r>
        <w:t>第 01 至 10 章各包含两个案例；第 11 章汇总后续维护做法与工程资料入口。</w:t>
      </w:r>
    </w:p>
    <w:p>
      <w:r>
        <w:br w:type="page"/>
      </w:r>
    </w:p>
    <w:p>
      <w:bookmarkStart w:id="1" w:name="chapter_1"/>
      <w:pPr>
        <w:pStyle w:val="Heading1"/>
      </w:pPr>
      <w:r>
        <w:t>01  机械云台的稳定与回正</w:t>
      </w:r>
      <w:bookmarkEnd w:id="1"/>
    </w:p>
    <w:p>
      <w:pPr>
        <w:pStyle w:val="Heading2"/>
      </w:pPr>
      <w:r>
        <w:t>01  机械 Yaw 小角度保持不稳定</w:t>
      </w:r>
    </w:p>
    <w:p>
      <w:pPr>
        <w:spacing w:after="120"/>
      </w:pPr>
      <w:r>
        <w:rPr>
          <w:sz w:val="19"/>
        </w:rPr>
        <w:t>处理状态  实车反馈已改善 原因机制仍需测量</w:t>
      </w:r>
    </w:p>
    <w:p>
      <w:r>
        <w:rPr>
          <w:b/>
        </w:rPr>
        <w:t xml:space="preserve">遇到的问题　</w:t>
      </w:r>
      <w:r>
        <w:t>底盘移动时，Yaw 保持位置发生偏移；提高位置增益后回正加快，但震荡和超调加重。惯量较大的云台很难靠一味加 Kp 兼顾速度与稳定。</w:t>
      </w:r>
    </w:p>
    <w:p>
      <w:r>
        <w:rPr>
          <w:b/>
        </w:rPr>
        <w:t xml:space="preserve">解决办法　</w:t>
      </w:r>
      <w:r>
        <w:t>机械位置外环继续使用编码器，速度内环改用上板 IMU 的角速度，统一方向和 deg/s 单位。随后保留软死区、回正限速和可调底盘角速度前馈。改用 IMU 后，实车反馈机械模式明显稳定。</w:t>
      </w:r>
    </w:p>
    <w:p>
      <w:r>
        <w:rPr>
          <w:b/>
        </w:rPr>
        <w:t xml:space="preserve">根本原因　</w:t>
      </w:r>
      <w:r>
        <w:t>低速附近的电机速度码量化较粗，跳变和反馈链路延迟会影响速度环阻尼。IMU 直接观测云台本体角速度，对这次控制更合适。具体延迟和各因素占比尚未实测，惯量、摩擦和增益也会影响结果。</w:t>
      </w:r>
    </w:p>
    <w:p>
      <w:r>
        <w:rPr>
          <w:b/>
        </w:rPr>
        <w:t xml:space="preserve">学到的教训　</w:t>
      </w:r>
      <w:r>
        <w:t>调位置和速度环前，先核对反馈分辨率、更新周期、方向和单位。速度反馈应适合当前控制对象；反馈质量不足时，提高增益可能进一步放大震荡。</w:t>
      </w:r>
    </w:p>
    <w:p>
      <w:pPr>
        <w:spacing w:line="276" w:lineRule="auto" w:after="240"/>
      </w:pPr>
      <w:r>
        <w:rPr>
          <w:b/>
          <w:sz w:val="18"/>
        </w:rPr>
        <w:t xml:space="preserve">常用观察　</w:t>
      </w:r>
      <w:r>
        <w:rPr>
          <w:sz w:val="18"/>
        </w:rPr>
        <w:t>cloud_yaw_mechanical_error_deg  cloud_yaw_rate_deg_s  cloud_yaw_torque_raw</w:t>
      </w:r>
    </w:p>
    <w:p>
      <w:pPr>
        <w:pStyle w:val="Heading2"/>
      </w:pPr>
      <w:r>
        <w:t>02  机械 Yaw 回正超调</w:t>
      </w:r>
    </w:p>
    <w:p>
      <w:pPr>
        <w:spacing w:after="120"/>
      </w:pPr>
      <w:r>
        <w:rPr>
          <w:sz w:val="19"/>
        </w:rPr>
        <w:t>处理状态  已加入回正限速 实车仍需继续调参</w:t>
      </w:r>
    </w:p>
    <w:p>
      <w:r>
        <w:rPr>
          <w:b/>
        </w:rPr>
        <w:t xml:space="preserve">遇到的问题　</w:t>
      </w:r>
      <w:r>
        <w:t>位置偏差较大时回正速度较高，接近零点后未及时减速，越过目标后反向纠偏。减小增益可减轻超调，但受外力后的回正速度下降。</w:t>
      </w:r>
    </w:p>
    <w:p>
      <w:r>
        <w:rPr>
          <w:b/>
        </w:rPr>
        <w:t xml:space="preserve">解决办法　</w:t>
      </w:r>
      <w:r>
        <w:t>按剩余误差缩小位置环的速度上限，保留速度内环的制动作用。软死区内撤掉位置纠偏速度，速度环继续控制；回正限幅参数集中在机械 Yaw 配置内。</w:t>
      </w:r>
    </w:p>
    <w:p>
      <w:r>
        <w:rPr>
          <w:b/>
        </w:rPr>
        <w:t xml:space="preserve">根本原因　</w:t>
      </w:r>
      <w:r>
        <w:t>位置已接近目标时，云台仍可能存有较大的动能。外环只看误差，若提前制动不足，高惯量机构就会越过零点。饱和、摩擦和时延可能进一步放大往返纠偏。</w:t>
      </w:r>
    </w:p>
    <w:p>
      <w:r>
        <w:rPr>
          <w:b/>
        </w:rPr>
        <w:t xml:space="preserve">学到的教训　</w:t>
      </w:r>
      <w:r>
        <w:t>回正过程需要按剩余距离提前限制速度。位置死区、速度内环阻尼和输出限幅应配合调整，分别观察收敛时间、超调和抗扰动效果。</w:t>
      </w:r>
    </w:p>
    <w:p>
      <w:pPr>
        <w:spacing w:line="276" w:lineRule="auto" w:after="240"/>
      </w:pPr>
      <w:r>
        <w:rPr>
          <w:b/>
          <w:sz w:val="18"/>
        </w:rPr>
        <w:t xml:space="preserve">常用观察　</w:t>
      </w:r>
      <w:r>
        <w:rPr>
          <w:sz w:val="18"/>
        </w:rPr>
        <w:t>cloud_yaw_mechanical_speed_limit_raw  cloud_yaw_rate_target_deg_s</w:t>
      </w:r>
    </w:p>
    <w:p>
      <w:r>
        <w:br w:type="page"/>
      </w:r>
    </w:p>
    <w:p>
      <w:bookmarkStart w:id="2" w:name="chapter_2"/>
      <w:pPr>
        <w:pStyle w:val="Heading1"/>
      </w:pPr>
      <w:r>
        <w:t>02  调头轨迹与开机归中</w:t>
      </w:r>
      <w:bookmarkEnd w:id="2"/>
    </w:p>
    <w:p>
      <w:pPr>
        <w:pStyle w:val="Heading2"/>
      </w:pPr>
      <w:r>
        <w:t>03  缩短调头时间后轨迹跟踪误差增大</w:t>
      </w:r>
    </w:p>
    <w:p>
      <w:pPr>
        <w:spacing w:after="120"/>
      </w:pPr>
      <w:r>
        <w:rPr>
          <w:sz w:val="19"/>
        </w:rPr>
        <w:t>处理状态  已恢复五次曲线 更短动作时间待验证</w:t>
      </w:r>
    </w:p>
    <w:p>
      <w:r>
        <w:rPr>
          <w:b/>
        </w:rPr>
        <w:t xml:space="preserve">遇到的问题　</w:t>
      </w:r>
      <w:r>
        <w:t>原五次曲线调头在较短时间内容易震荡。尝试起步更快的函数后，电机跟踪困难，最终恢复原曲线。</w:t>
      </w:r>
    </w:p>
    <w:p>
      <w:r>
        <w:rPr>
          <w:b/>
        </w:rPr>
        <w:t xml:space="preserve">解决办法　</w:t>
      </w:r>
      <w:r>
        <w:t>采用目标时间 T 生成五次轨迹，进度函数为 10u³−15u⁴+6u⁵，u 为有效经过时间除以 T。保留独立调头 PID；曲线走完后继续检查位置、速度和连续稳定周期。</w:t>
      </w:r>
    </w:p>
    <w:p>
      <w:r>
        <w:rPr>
          <w:b/>
        </w:rPr>
        <w:t xml:space="preserve">根本原因　</w:t>
      </w:r>
      <w:r>
        <w:t>曲线光滑只能改善目标的连续性，电机仍受转矩、惯量和带宽限制。同样位移下，五次轨迹的峰值速度为 1.875×位移/T，加速度随 1/T² 增长。0.8 s 缩到 0.5 s 时，两者分别约增至 1.6 倍和 2.56 倍。</w:t>
      </w:r>
    </w:p>
    <w:p>
      <w:r>
        <w:rPr>
          <w:b/>
        </w:rPr>
        <w:t xml:space="preserve">学到的教训　</w:t>
      </w:r>
      <w:r>
        <w:t>缩短调头时间前先评估峰值速度、加速度与转矩余量。目标轨迹时间和实际到位时间分别记录，以实测跟踪误差判断可用范围。</w:t>
      </w:r>
    </w:p>
    <w:p>
      <w:pPr>
        <w:spacing w:line="276" w:lineRule="auto" w:after="240"/>
      </w:pPr>
      <w:r>
        <w:rPr>
          <w:b/>
          <w:sz w:val="18"/>
        </w:rPr>
        <w:t xml:space="preserve">常用观察　</w:t>
      </w:r>
      <w:r>
        <w:rPr>
          <w:sz w:val="18"/>
        </w:rPr>
        <w:t>cloud_turn_progress  cloud_turn_target_deg  cloud_turn_duration_s</w:t>
      </w:r>
    </w:p>
    <w:p>
      <w:pPr>
        <w:pStyle w:val="Heading2"/>
      </w:pPr>
      <w:r>
        <w:t>04  开机归中与机械模式控制流程不一致</w:t>
      </w:r>
    </w:p>
    <w:p>
      <w:pPr>
        <w:spacing w:after="120"/>
      </w:pPr>
      <w:r>
        <w:rPr>
          <w:sz w:val="19"/>
        </w:rPr>
        <w:t>处理状态  已共用控制流程和参数</w:t>
      </w:r>
    </w:p>
    <w:p>
      <w:r>
        <w:rPr>
          <w:b/>
        </w:rPr>
        <w:t xml:space="preserve">遇到的问题　</w:t>
      </w:r>
      <w:r>
        <w:t>同一套云台，开机归中和进入机械模式后的表现不一致；正常控制调好了，上电归中阶段仍可能出现输出偏大或响应不一致。</w:t>
      </w:r>
    </w:p>
    <w:p>
      <w:r>
        <w:rPr>
          <w:b/>
        </w:rPr>
        <w:t xml:space="preserve">解决办法　</w:t>
      </w:r>
      <w:r>
        <w:t>开机 Yaw 归中调用机械保持的控制函数，共用位置环、IMU 速度内环、死区、回正限速和底盘前馈。归中完成条件单独保留；IMU 无效或发送失败时清除稳定计数。</w:t>
      </w:r>
    </w:p>
    <w:p>
      <w:r>
        <w:rPr>
          <w:b/>
        </w:rPr>
        <w:t xml:space="preserve">根本原因　</w:t>
      </w:r>
      <w:r>
        <w:t>历史实现里，开机动作与常规保持走过不同的闭环和参数路径。两处分别修改，时间久了就会产生行为偏差；接管时重置目标或积分也可能产生突变。</w:t>
      </w:r>
    </w:p>
    <w:p>
      <w:r>
        <w:rPr>
          <w:b/>
        </w:rPr>
        <w:t xml:space="preserve">学到的教训　</w:t>
      </w:r>
      <w:r>
        <w:t>相同控制需求共用函数和参数，归中完成条件单独配置。模式接管时保持目标连续，明确哪些控制状态保留，哪些需要重置。</w:t>
      </w:r>
    </w:p>
    <w:p>
      <w:pPr>
        <w:spacing w:line="276" w:lineRule="auto" w:after="240"/>
      </w:pPr>
      <w:r>
        <w:rPr>
          <w:b/>
          <w:sz w:val="18"/>
        </w:rPr>
        <w:t xml:space="preserve">常用观察　</w:t>
      </w:r>
      <w:r>
        <w:rPr>
          <w:sz w:val="18"/>
        </w:rPr>
        <w:t>cloud_terrace_home_state  home_stable_cycles  home_target[MOTOR4310_YAW]</w:t>
      </w:r>
    </w:p>
    <w:p>
      <w:r>
        <w:br w:type="page"/>
      </w:r>
    </w:p>
    <w:p>
      <w:bookmarkStart w:id="3" w:name="chapter_3"/>
      <w:pPr>
        <w:pStyle w:val="Heading1"/>
      </w:pPr>
      <w:r>
        <w:t>03  升降与安全联锁</w:t>
      </w:r>
      <w:bookmarkEnd w:id="3"/>
    </w:p>
    <w:p>
      <w:pPr>
        <w:pStyle w:val="Heading2"/>
      </w:pPr>
      <w:r>
        <w:t>05  升降到顶后特殊动作仍被联锁</w:t>
      </w:r>
    </w:p>
    <w:p>
      <w:pPr>
        <w:spacing w:after="120"/>
      </w:pPr>
      <w:r>
        <w:rPr>
          <w:sz w:val="19"/>
        </w:rPr>
        <w:t>处理状态  已调整许可和保持逻辑</w:t>
      </w:r>
    </w:p>
    <w:p>
      <w:r>
        <w:rPr>
          <w:b/>
        </w:rPr>
        <w:t xml:space="preserve">遇到的问题　</w:t>
      </w:r>
      <w:r>
        <w:t>切出升降档后仍无法发射或调头，关遥控再开有时恢复。顶部放行区生效以后，完全到顶又可能再次触发联锁；保持纠偏时也出现过类似现象。</w:t>
      </w:r>
    </w:p>
    <w:p>
      <w:r>
        <w:rPr>
          <w:b/>
        </w:rPr>
        <w:t xml:space="preserve">解决办法　</w:t>
      </w:r>
      <w:r>
        <w:t>分开主动升降请求、实际运动和位置保持。顶部区域采用进入与退出迟滞，允许保持纠偏；退出专用档撤销回零请求。特殊动作统一读取升降安全快照，按实际有效条件放行。</w:t>
      </w:r>
    </w:p>
    <w:p>
      <w:r>
        <w:rPr>
          <w:b/>
        </w:rPr>
        <w:t xml:space="preserve">根本原因　</w:t>
      </w:r>
      <w:r>
        <w:t>机构到位后仍会产生保持电流或微小纠偏速度，若把这些状态继续当成主动下降或回零请求，许可就会反复被撤销。停机枚举、位置有效性和特殊动作许可需要分别判断。</w:t>
      </w:r>
    </w:p>
    <w:p>
      <w:r>
        <w:rPr>
          <w:b/>
        </w:rPr>
        <w:t xml:space="preserve">学到的教训　</w:t>
      </w:r>
      <w:r>
        <w:t>主动请求、实际运动、保持纠偏和安全许可应分别定义。每个状态规定更新者、进入条件和清除条件，并验证顶部边界、退出操作档和失联恢复。</w:t>
      </w:r>
    </w:p>
    <w:p>
      <w:pPr>
        <w:spacing w:line="276" w:lineRule="auto" w:after="240"/>
      </w:pPr>
      <w:r>
        <w:rPr>
          <w:b/>
          <w:sz w:val="18"/>
        </w:rPr>
        <w:t xml:space="preserve">常用观察　</w:t>
      </w:r>
      <w:r>
        <w:rPr>
          <w:sz w:val="18"/>
        </w:rPr>
        <w:t>lift_wait_reason  lift_safety_state.upper_zone  lift_safety_state.descending</w:t>
      </w:r>
    </w:p>
    <w:p>
      <w:pPr>
        <w:pStyle w:val="Heading2"/>
      </w:pPr>
      <w:r>
        <w:t>06  正常上升过程出现堵转误判</w:t>
      </w:r>
    </w:p>
    <w:p>
      <w:pPr>
        <w:spacing w:after="120"/>
      </w:pPr>
      <w:r>
        <w:rPr>
          <w:sz w:val="19"/>
        </w:rPr>
        <w:t>处理状态  实车反馈改善 参数仍依赖机构负载</w:t>
      </w:r>
    </w:p>
    <w:p>
      <w:r>
        <w:rPr>
          <w:b/>
        </w:rPr>
        <w:t xml:space="preserve">遇到的问题　</w:t>
      </w:r>
      <w:r>
        <w:t>完全到顶附近曾出现保护。早先 Watch 没有实时刷新，一度读到错误状态；更新后才看到真实故障信息。调整以后，结合实车表现判断较重云台的上升过程造成了堵转误判。</w:t>
      </w:r>
    </w:p>
    <w:p>
      <w:r>
        <w:rPr>
          <w:b/>
        </w:rPr>
        <w:t xml:space="preserve">解决办法　</w:t>
      </w:r>
      <w:r>
        <w:t>结合低速、高电流、无位置进展和持续时间判断，区分主动运动与保持。已知顶部窗口内按顶部接触和保持规则处理；保留堵转快照用于记录触发时的位置、速度、电流与请求方向。</w:t>
      </w:r>
    </w:p>
    <w:p>
      <w:r>
        <w:rPr>
          <w:b/>
        </w:rPr>
        <w:t xml:space="preserve">根本原因　</w:t>
      </w:r>
      <w:r>
        <w:t>爬升负载较大时，电流升高、速度降低可以是正常现象；机械碰顶又会形成相似信号。只凭一个瞬时阈值难以区分两者。该次负载解释来自实车现象，仍适合用快照持续核对。</w:t>
      </w:r>
    </w:p>
    <w:p>
      <w:r>
        <w:rPr>
          <w:b/>
        </w:rPr>
        <w:t xml:space="preserve">学到的教训　</w:t>
      </w:r>
      <w:r>
        <w:t>堵转阈值依据正常负载和机械行程设定，综合电流、速度、位置进展与持续时间判断。调整保护门槛后，同时验证真实卡阻和顶部保持工况。</w:t>
      </w:r>
    </w:p>
    <w:p>
      <w:pPr>
        <w:spacing w:line="276" w:lineRule="auto" w:after="240"/>
      </w:pPr>
      <w:r>
        <w:rPr>
          <w:b/>
          <w:sz w:val="18"/>
        </w:rPr>
        <w:t xml:space="preserve">常用观察　</w:t>
      </w:r>
      <w:r>
        <w:rPr>
          <w:sz w:val="18"/>
        </w:rPr>
        <w:t>stall_snapshot  lift_control_state  motor2006_feedback.current_raw</w:t>
      </w:r>
    </w:p>
    <w:p>
      <w:r>
        <w:br w:type="page"/>
      </w:r>
    </w:p>
    <w:p>
      <w:bookmarkStart w:id="4" w:name="chapter_4"/>
      <w:pPr>
        <w:pStyle w:val="Heading1"/>
      </w:pPr>
      <w:r>
        <w:t>04  遥控与发射状态</w:t>
      </w:r>
      <w:bookmarkEnd w:id="4"/>
    </w:p>
    <w:p>
      <w:pPr>
        <w:pStyle w:val="Heading2"/>
      </w:pPr>
      <w:r>
        <w:t>07  物理遥控小陀螺操作误触发供弹</w:t>
      </w:r>
    </w:p>
    <w:p>
      <w:pPr>
        <w:spacing w:after="120"/>
      </w:pPr>
      <w:r>
        <w:rPr>
          <w:sz w:val="19"/>
        </w:rPr>
        <w:t>处理状态  已按输入来源区分操作</w:t>
      </w:r>
    </w:p>
    <w:p>
      <w:r>
        <w:rPr>
          <w:b/>
        </w:rPr>
        <w:t xml:space="preserve">遇到的问题　</w:t>
      </w:r>
      <w:r>
        <w:t>物理遥控进入小陀螺时，右杆操作可能同时被发射逻辑理解成射击请求；后来又提出键鼠小陀螺需要正常发射。两种操作的需求并不相同。</w:t>
      </w:r>
    </w:p>
    <w:p>
      <w:r>
        <w:rPr>
          <w:b/>
        </w:rPr>
        <w:t xml:space="preserve">解决办法　</w:t>
      </w:r>
      <w:r>
        <w:t>物理遥控小陀螺禁止供弹，右杆只控制自旋使能；键鼠小陀螺保留摩擦轮锁存和鼠标单发、连发。最终执行仍检查升降许可、电机在线和重新布防。</w:t>
      </w:r>
    </w:p>
    <w:p>
      <w:r>
        <w:rPr>
          <w:b/>
        </w:rPr>
        <w:t xml:space="preserve">根本原因　</w:t>
      </w:r>
      <w:r>
        <w:t>同一个开关值在不同模式里承担不同用途，若多个模块直接各自读取，就容易重复消费。模式请求、输入边沿和执行许可混在一起，互斥条件也容易遗漏。</w:t>
      </w:r>
    </w:p>
    <w:p>
      <w:r>
        <w:rPr>
          <w:b/>
        </w:rPr>
        <w:t xml:space="preserve">学到的教训　</w:t>
      </w:r>
      <w:r>
        <w:t>遥控输入统一转换为操作请求，再由应用检查许可。复用开关时写清不同模式和输入来源下的含义，验证互斥、边沿触发及恢复后的重新布防。</w:t>
      </w:r>
    </w:p>
    <w:p>
      <w:pPr>
        <w:spacing w:line="276" w:lineRule="auto" w:after="240"/>
      </w:pPr>
      <w:r>
        <w:rPr>
          <w:b/>
          <w:sz w:val="18"/>
        </w:rPr>
        <w:t xml:space="preserve">常用观察　</w:t>
      </w:r>
      <w:r>
        <w:rPr>
          <w:sz w:val="18"/>
        </w:rPr>
        <w:t>upper_shoot_block_reason  remote_state.input.keyboard_active</w:t>
      </w:r>
    </w:p>
    <w:p>
      <w:pPr>
        <w:pStyle w:val="Heading2"/>
      </w:pPr>
      <w:r>
        <w:t>08  拨盘待机位置受振动影响</w:t>
      </w:r>
    </w:p>
    <w:p>
      <w:pPr>
        <w:spacing w:after="120"/>
      </w:pPr>
      <w:r>
        <w:rPr>
          <w:sz w:val="19"/>
        </w:rPr>
        <w:t>处理状态  已加入固定相位位置保持</w:t>
      </w:r>
    </w:p>
    <w:p>
      <w:r>
        <w:rPr>
          <w:b/>
        </w:rPr>
        <w:t xml:space="preserve">遇到的问题　</w:t>
      </w:r>
      <w:r>
        <w:t>最初只有摩擦轮开启时拨盘才保持，待机时弹链会被振动改变位置。控制目标调整为上线后保持指定单圈相位，单发、连发结束后也回到该相位。</w:t>
      </w:r>
    </w:p>
    <w:p>
      <w:r>
        <w:rPr>
          <w:b/>
        </w:rPr>
        <w:t xml:space="preserve">解决办法　</w:t>
      </w:r>
      <w:r>
        <w:t>遥控与拨盘在线时持续保持配置相位，把单圈码换算成最近一圈的累计目标。停射、摩擦轮关闭和升降禁止供弹时仍保持；遥控或拨盘失联时输出零电流，恢复后重新建立目标。</w:t>
      </w:r>
    </w:p>
    <w:p>
      <w:r>
        <w:rPr>
          <w:b/>
        </w:rPr>
        <w:t xml:space="preserve">根本原因　</w:t>
      </w:r>
      <w:r>
        <w:t>撤掉驱动力以后，外力和传动间隙仍会改变位置。累计位置适合连续动作，单圈相位适合固定停弹位置，两种位置目标需要正确换算。</w:t>
      </w:r>
    </w:p>
    <w:p>
      <w:r>
        <w:rPr>
          <w:b/>
        </w:rPr>
        <w:t xml:space="preserve">学到的教训　</w:t>
      </w:r>
      <w:r>
        <w:t>待机位置保持、停止供弹和失联停机分别处理。单圈相位与累计位置换算明确，保持目标建立后固定，恢复在线时重新同步实际位置。</w:t>
      </w:r>
    </w:p>
    <w:p>
      <w:pPr>
        <w:spacing w:line="276" w:lineRule="auto" w:after="240"/>
      </w:pPr>
      <w:r>
        <w:rPr>
          <w:b/>
          <w:sz w:val="18"/>
        </w:rPr>
        <w:t xml:space="preserve">常用观察　</w:t>
      </w:r>
      <w:r>
        <w:rPr>
          <w:sz w:val="18"/>
        </w:rPr>
        <w:t>shoot_control_state.dial.target  dial_motor_feedback.encoder</w:t>
      </w:r>
    </w:p>
    <w:p>
      <w:r>
        <w:br w:type="page"/>
      </w:r>
    </w:p>
    <w:p>
      <w:bookmarkStart w:id="5" w:name="chapter_5"/>
      <w:pPr>
        <w:pStyle w:val="Heading1"/>
      </w:pPr>
      <w:r>
        <w:t>05  热量与弹速自适应</w:t>
      </w:r>
      <w:bookmarkEnd w:id="5"/>
    </w:p>
    <w:p>
      <w:pPr>
        <w:pStyle w:val="Heading2"/>
      </w:pPr>
      <w:r>
        <w:t>09  连发速度未及时跟随裁判热量</w:t>
      </w:r>
    </w:p>
    <w:p>
      <w:pPr>
        <w:spacing w:after="120"/>
      </w:pPr>
      <w:r>
        <w:rPr>
          <w:sz w:val="19"/>
        </w:rPr>
        <w:t>处理状态  已加入双向校准和实时射频更新</w:t>
      </w:r>
    </w:p>
    <w:p>
      <w:r>
        <w:rPr>
          <w:b/>
        </w:rPr>
        <w:t xml:space="preserve">遇到的问题　</w:t>
      </w:r>
      <w:r>
        <w:t>本地计热以后，曾出现射频不能自动跟随裁判热量的情况。空弹链、堵转重试和通信延迟也会让软件估计与真实热量逐渐分开。</w:t>
      </w:r>
    </w:p>
    <w:p>
      <w:r>
        <w:rPr>
          <w:b/>
        </w:rPr>
        <w:t xml:space="preserve">解决办法　</w:t>
      </w:r>
      <w:r>
        <w:t>按时间扣冷却量，新供弹预留一发热量。新裁判样本双向校准，并保留近期尚未反馈的预留；每周期按余量更新连发速度。同一热量序号只校准一次，默认失联禁止新供弹，调试开关单独保留。</w:t>
      </w:r>
    </w:p>
    <w:p>
      <w:r>
        <w:rPr>
          <w:b/>
        </w:rPr>
        <w:t xml:space="preserve">根本原因　</w:t>
      </w:r>
      <w:r>
        <w:t>本地估计和裁判反馈有时差，直接覆盖可能漏计刚发出的弹，长期只往高处校准又会累积多计。射频若仅在起动时选择，持续连发时也无法跟随新热量。</w:t>
      </w:r>
    </w:p>
    <w:p>
      <w:r>
        <w:rPr>
          <w:b/>
        </w:rPr>
        <w:t xml:space="preserve">学到的教训　</w:t>
      </w:r>
      <w:r>
        <w:t>本地预测及时计入新供弹，裁判校准考虑反馈延迟。重试只沿用原预留，同一反馈序号只处理一次；持续连发期间实时更新允许射频。</w:t>
      </w:r>
    </w:p>
    <w:p>
      <w:pPr>
        <w:spacing w:line="276" w:lineRule="auto" w:after="240"/>
      </w:pPr>
      <w:r>
        <w:rPr>
          <w:b/>
          <w:sz w:val="18"/>
        </w:rPr>
        <w:t xml:space="preserve">常用观察　</w:t>
      </w:r>
      <w:r>
        <w:rPr>
          <w:sz w:val="18"/>
        </w:rPr>
        <w:t>shoot_heat_state.remaining  shoot_heat_state.calibration_count  shoot_heat_state.continuous_rate_hz</w:t>
      </w:r>
    </w:p>
    <w:p>
      <w:pPr>
        <w:pStyle w:val="Heading2"/>
      </w:pPr>
      <w:r>
        <w:t>10  固定摩擦轮转速下弹速发生变化</w:t>
      </w:r>
    </w:p>
    <w:p>
      <w:pPr>
        <w:spacing w:after="120"/>
      </w:pPr>
      <w:r>
        <w:rPr>
          <w:sz w:val="19"/>
        </w:rPr>
        <w:t>处理状态  已实现按发测速的小步调整</w:t>
      </w:r>
    </w:p>
    <w:p>
      <w:r>
        <w:rPr>
          <w:b/>
        </w:rPr>
        <w:t xml:space="preserve">遇到的问题　</w:t>
      </w:r>
      <w:r>
        <w:t>同样的摩擦轮转速，在连续发射、轮面变化或负载变化时，实际弹速可能偏离目标。直接提高转速又可能减小弹速上限的余量。</w:t>
      </w:r>
    </w:p>
    <w:p>
      <w:r>
        <w:rPr>
          <w:b/>
        </w:rPr>
        <w:t xml:space="preserve">解决办法　</w:t>
      </w:r>
      <w:r>
        <w:t>读取主 17 mm 枪管测速，目标弹速由上限减余量得到。每个新样本最多调整一步，设置死区、调速等待时间和正常转速上限；启动和堵转恢复阶段暂停学习，过期测速不补调。</w:t>
      </w:r>
    </w:p>
    <w:p>
      <w:r>
        <w:rPr>
          <w:b/>
        </w:rPr>
        <w:t xml:space="preserve">根本原因　</w:t>
      </w:r>
      <w:r>
        <w:t>轮速与弹速之间存在接触、摩擦和能量损耗。测速是发射后的结果，过大步长或重复使用同一发数据，会造成反复追调；旧数据也可能反馈上一轮的转速。</w:t>
      </w:r>
    </w:p>
    <w:p>
      <w:r>
        <w:rPr>
          <w:b/>
        </w:rPr>
        <w:t xml:space="preserve">学到的教训　</w:t>
      </w:r>
      <w:r>
        <w:t>测速样本与其对应的转速和稳定阶段匹配。每发只调整一次，步长、死区、等待时间和转速上限共同限制调速；首次弹速和连续发射效果仍需实测。</w:t>
      </w:r>
    </w:p>
    <w:p>
      <w:pPr>
        <w:spacing w:line="276" w:lineRule="auto" w:after="240"/>
      </w:pPr>
      <w:r>
        <w:rPr>
          <w:b/>
          <w:sz w:val="18"/>
        </w:rPr>
        <w:t xml:space="preserve">常用观察　</w:t>
      </w:r>
      <w:r>
        <w:rPr>
          <w:sz w:val="18"/>
        </w:rPr>
        <w:t>shoot_control_state.speed.actual_m_s  shoot_control_state.speed.adjusted_count</w:t>
      </w:r>
    </w:p>
    <w:p>
      <w:r>
        <w:br w:type="page"/>
      </w:r>
    </w:p>
    <w:p>
      <w:bookmarkStart w:id="6" w:name="chapter_6"/>
      <w:pPr>
        <w:pStyle w:val="Heading1"/>
      </w:pPr>
      <w:r>
        <w:t>06  底盘功率估算与分配</w:t>
      </w:r>
      <w:bookmarkEnd w:id="6"/>
    </w:p>
    <w:p>
      <w:pPr>
        <w:pStyle w:val="Heading2"/>
      </w:pPr>
      <w:r>
        <w:t>11  早期底盘功率估算偏大</w:t>
      </w:r>
    </w:p>
    <w:p>
      <w:pPr>
        <w:spacing w:after="120"/>
      </w:pPr>
      <w:r>
        <w:rPr>
          <w:sz w:val="19"/>
        </w:rPr>
        <w:t>处理状态  已改用超电实测功率</w:t>
      </w:r>
    </w:p>
    <w:p>
      <w:r>
        <w:rPr>
          <w:b/>
        </w:rPr>
        <w:t xml:space="preserve">遇到的问题　</w:t>
      </w:r>
      <w:r>
        <w:t>早期用电容电压乘电机反馈电流估功率，慢速时显示数百瓦。实车观察到空转至最大转速也只有约几十瓦，估计结果明显偏大。</w:t>
      </w:r>
    </w:p>
    <w:p>
      <w:r>
        <w:rPr>
          <w:b/>
        </w:rPr>
        <w:t xml:space="preserve">解决办法　</w:t>
      </w:r>
      <w:r>
        <w:t>停止把该乘积当底盘输入功率，改读超电返回的底盘功率字段。当前协议经实物核对，chassis_power_raw 直接按 W 使用；电容电压、电流按各自协议单独换算。</w:t>
      </w:r>
    </w:p>
    <w:p>
      <w:r>
        <w:rPr>
          <w:b/>
        </w:rPr>
        <w:t xml:space="preserve">根本原因　</w:t>
      </w:r>
      <w:r>
        <w:t>C620 电机反馈是转矩电流，电容端电压又处在另一测量位置，两者相乘无法得到底盘母线真实功率。机械功率、电机损耗和母线输入功率之间还存在能量转换关系。</w:t>
      </w:r>
    </w:p>
    <w:p>
      <w:r>
        <w:rPr>
          <w:b/>
        </w:rPr>
        <w:t xml:space="preserve">学到的教训　</w:t>
      </w:r>
      <w:r>
        <w:t>估算功率前明确电流的物理含义、电压测量位置和能量转换关系。原始码、物理量及实际母线功率分别保存，换算依据由协议和实测核对。</w:t>
      </w:r>
    </w:p>
    <w:p>
      <w:pPr>
        <w:spacing w:line="276" w:lineRule="auto" w:after="240"/>
      </w:pPr>
      <w:r>
        <w:rPr>
          <w:b/>
          <w:sz w:val="18"/>
        </w:rPr>
        <w:t xml:space="preserve">常用观察　</w:t>
      </w:r>
      <w:r>
        <w:rPr>
          <w:sz w:val="18"/>
        </w:rPr>
        <w:t>power_communication_state.capacitor.chassis_power_raw  chassis_power_state.power_w</w:t>
      </w:r>
    </w:p>
    <w:p>
      <w:pPr>
        <w:pStyle w:val="Heading2"/>
      </w:pPr>
      <w:r>
        <w:t>12  统一电流缩放导致部分轮子跟踪不足</w:t>
      </w:r>
    </w:p>
    <w:p>
      <w:pPr>
        <w:spacing w:after="120"/>
      </w:pPr>
      <w:r>
        <w:rPr>
          <w:sz w:val="19"/>
        </w:rPr>
        <w:t>处理状态  已更换 RLS 辨识与按轮分配</w:t>
      </w:r>
    </w:p>
    <w:p>
      <w:r>
        <w:rPr>
          <w:b/>
        </w:rPr>
        <w:t xml:space="preserve">遇到的问题　</w:t>
      </w:r>
      <w:r>
        <w:t>急加减速时预测峰值与实测差异较大，旧限制策略又使部分轮子跟不上。机械卡轮也出现过，单看速度误差容易把两类问题混在一起。</w:t>
      </w:r>
    </w:p>
    <w:p>
      <w:r>
        <w:rPr>
          <w:b/>
        </w:rPr>
        <w:t xml:space="preserve">解决办法　</w:t>
      </w:r>
      <w:r>
        <w:t>采用两参数 RLS 在线估计速度损耗和力矩平方损耗，按各轮速度误差与功率需求分配预算。裁判给上限，超电实测反馈修正预算；每轮分别限流，并处理该轮后级饱和积分。</w:t>
      </w:r>
    </w:p>
    <w:p>
      <w:r>
        <w:rPr>
          <w:b/>
        </w:rPr>
        <w:t xml:space="preserve">根本原因　</w:t>
      </w:r>
      <w:r>
        <w:t>固定系数适应不了所有工况，统一缩放也无法照顾不同轮子的跟踪误差。峰值还受到传感器延迟和模型简化影响；RLS 只能学习模型中的损耗项，机械卡阻需另行处理。</w:t>
      </w:r>
    </w:p>
    <w:p>
      <w:r>
        <w:rPr>
          <w:b/>
        </w:rPr>
        <w:t xml:space="preserve">学到的教训　</w:t>
      </w:r>
      <w:r>
        <w:t>功率限制同时评估总功率和各轮跟踪效果。在线辨识保留参数范围、异常门槛和时间匹配检查；机械卡阻单独排查，后级限流配合各轮积分处理。</w:t>
      </w:r>
    </w:p>
    <w:p>
      <w:pPr>
        <w:spacing w:line="276" w:lineRule="auto" w:after="240"/>
      </w:pPr>
      <w:r>
        <w:rPr>
          <w:b/>
          <w:sz w:val="18"/>
        </w:rPr>
        <w:t xml:space="preserve">常用观察　</w:t>
      </w:r>
      <w:r>
        <w:rPr>
          <w:sz w:val="18"/>
        </w:rPr>
        <w:t>chassis_power_model_state.loss  chassis_power_state.wheel_scale[0]</w:t>
      </w:r>
    </w:p>
    <w:p>
      <w:r>
        <w:br w:type="page"/>
      </w:r>
    </w:p>
    <w:p>
      <w:bookmarkStart w:id="7" w:name="chapter_7"/>
      <w:pPr>
        <w:pStyle w:val="Heading1"/>
      </w:pPr>
      <w:r>
        <w:t>07  超电与缓冲能量</w:t>
      </w:r>
      <w:bookmarkEnd w:id="7"/>
    </w:p>
    <w:p>
      <w:pPr>
        <w:pStyle w:val="Heading2"/>
      </w:pPr>
      <w:r>
        <w:t>13  缓冲能量长期保持满值</w:t>
      </w:r>
    </w:p>
    <w:p>
      <w:pPr>
        <w:spacing w:after="120"/>
      </w:pPr>
      <w:r>
        <w:rPr>
          <w:sz w:val="19"/>
        </w:rPr>
        <w:t>处理状态  已核对来源并改为实时转发</w:t>
      </w:r>
    </w:p>
    <w:p>
      <w:r>
        <w:rPr>
          <w:b/>
        </w:rPr>
        <w:t xml:space="preserve">遇到的问题　</w:t>
      </w:r>
      <w:r>
        <w:t>观察到缓冲能量长期为满值，同时又存在功率峰值超限。早先采样时关闭过对应选项，因此单看那份记录无法确定缓冲的正常消耗情况。</w:t>
      </w:r>
    </w:p>
    <w:p>
      <w:r>
        <w:rPr>
          <w:b/>
        </w:rPr>
        <w:t xml:space="preserve">解决办法　</w:t>
      </w:r>
      <w:r>
        <w:t>确认缓冲来自裁判 0x0202，发送给超电时重新读取有效快照；数据过期或未收到时发送零，避免固定旧值。对照裁判缓冲、消息新鲜度与成功入队控制帧的第一个字节检查链路。</w:t>
      </w:r>
    </w:p>
    <w:p>
      <w:r>
        <w:rPr>
          <w:b/>
        </w:rPr>
        <w:t xml:space="preserve">根本原因　</w:t>
      </w:r>
      <w:r>
        <w:t>数值保持满值，可能由测试设置、裁判侧母线功率和缓冲恢复共同形成；陈旧值转发也会造成假象。超电负载侧功率与裁判输入侧功率处在不同位置，峰值不能直接逐点等同。</w:t>
      </w:r>
    </w:p>
    <w:p>
      <w:r>
        <w:rPr>
          <w:b/>
        </w:rPr>
        <w:t xml:space="preserve">学到的教训　</w:t>
      </w:r>
      <w:r>
        <w:t>沿裁判接收、缓存、快照与超电控制帧逐段核对缓冲数值和时效。判断能量使用情况时同步记录电压、电流和两侧功率，并保留测试选项。</w:t>
      </w:r>
    </w:p>
    <w:p>
      <w:pPr>
        <w:spacing w:line="276" w:lineRule="auto" w:after="240"/>
      </w:pPr>
      <w:r>
        <w:rPr>
          <w:b/>
          <w:sz w:val="18"/>
        </w:rPr>
        <w:t xml:space="preserve">常用观察　</w:t>
      </w:r>
      <w:r>
        <w:rPr>
          <w:sz w:val="18"/>
        </w:rPr>
        <w:t>referee_state.info.power_heat_data.buffer_energy  power_communication_state.control.raw[0]</w:t>
      </w:r>
    </w:p>
    <w:p>
      <w:pPr>
        <w:pStyle w:val="Heading2"/>
      </w:pPr>
      <w:r>
        <w:t>14  超级电容放电状态的判断依据不足</w:t>
      </w:r>
    </w:p>
    <w:p>
      <w:pPr>
        <w:spacing w:after="120"/>
      </w:pPr>
      <w:r>
        <w:rPr>
          <w:sz w:val="19"/>
        </w:rPr>
        <w:t>处理状态  已增加可观察量 放电结论需结合实测</w:t>
      </w:r>
    </w:p>
    <w:p>
      <w:r>
        <w:rPr>
          <w:b/>
        </w:rPr>
        <w:t xml:space="preserve">遇到的问题　</w:t>
      </w:r>
      <w:r>
        <w:t>控制使能、允许放电、收到反馈都能看到，但仅凭一个在线位仍难判断电容当时是否向底盘输出能量。</w:t>
      </w:r>
    </w:p>
    <w:p>
      <w:r>
        <w:rPr>
          <w:b/>
        </w:rPr>
        <w:t xml:space="preserve">解决办法　</w:t>
      </w:r>
      <w:r>
        <w:t>同时观察使能配置、已入队控制标志、允许放电、预充状态、电容电压和电流，再结合底盘实测功率。原始码与换算值分别保存，观察工具同步增加这些曲线。</w:t>
      </w:r>
    </w:p>
    <w:p>
      <w:r>
        <w:rPr>
          <w:b/>
        </w:rPr>
        <w:t xml:space="preserve">根本原因　</w:t>
      </w:r>
      <w:r>
        <w:t>通信在线描述的是收帧情况，允许放电描述的是设备许可，实际电流才反映当时的能量流。还需核对电流符号、预充过程和超电内部控制。</w:t>
      </w:r>
    </w:p>
    <w:p>
      <w:r>
        <w:rPr>
          <w:b/>
        </w:rPr>
        <w:t xml:space="preserve">学到的教训　</w:t>
      </w:r>
      <w:r>
        <w:t>通信在线、设备许可和实际能量流分别判断。放电结论结合电流方向、预充状态和电容电压变化，先核对协议符号和测量位置。</w:t>
      </w:r>
    </w:p>
    <w:p>
      <w:pPr>
        <w:spacing w:line="276" w:lineRule="auto" w:after="240"/>
      </w:pPr>
      <w:r>
        <w:rPr>
          <w:b/>
          <w:sz w:val="18"/>
        </w:rPr>
        <w:t xml:space="preserve">常用观察　</w:t>
      </w:r>
      <w:r>
        <w:rPr>
          <w:sz w:val="18"/>
        </w:rPr>
        <w:t>power_communication_state.capacitor.current_a  power_communication_state.capacitor.discharge_available</w:t>
      </w:r>
    </w:p>
    <w:p>
      <w:r>
        <w:br w:type="page"/>
      </w:r>
    </w:p>
    <w:p>
      <w:bookmarkStart w:id="8" w:name="chapter_8"/>
      <w:pPr>
        <w:pStyle w:val="Heading1"/>
      </w:pPr>
      <w:r>
        <w:t>08  协议解析与通信时效</w:t>
      </w:r>
      <w:bookmarkEnd w:id="8"/>
    </w:p>
    <w:p>
      <w:pPr>
        <w:pStyle w:val="Heading2"/>
      </w:pPr>
      <w:r>
        <w:t>15  裁判系统收到字节但状态解析异常</w:t>
      </w:r>
    </w:p>
    <w:p>
      <w:pPr>
        <w:spacing w:after="120"/>
      </w:pPr>
      <w:r>
        <w:rPr>
          <w:sz w:val="19"/>
        </w:rPr>
        <w:t>处理状态  已修正版本解析 实车确认接收正常</w:t>
      </w:r>
    </w:p>
    <w:p>
      <w:r>
        <w:rPr>
          <w:b/>
        </w:rPr>
        <w:t xml:space="preserve">遇到的问题　</w:t>
      </w:r>
      <w:r>
        <w:t>裁判字节在增长，通过 CRC 的帧较少，机器人状态没有正确解析。后来修正之后，实车反馈错误为零，信息可以正确接收。</w:t>
      </w:r>
    </w:p>
    <w:p>
      <w:r>
        <w:rPr>
          <w:b/>
        </w:rPr>
        <w:t xml:space="preserve">解决办法　</w:t>
      </w:r>
      <w:r>
        <w:t>分开统计字节、CRC 正确帧、内容解析成功帧及各命令计数。按真实负载长度处理新旧机器人状态布局，核对字段偏移；H7 接收同时处理 DMA 存储位置与 DCache。</w:t>
      </w:r>
    </w:p>
    <w:p>
      <w:r>
        <w:rPr>
          <w:b/>
        </w:rPr>
        <w:t xml:space="preserve">根本原因　</w:t>
      </w:r>
      <w:r>
        <w:t>串口收字节、拼成正确帧、认出对应命令是三个步骤。协议版本变化使长度和字段位置变化；当前 0x0202 前部含保留位，真实功率需从已核对的超电字段获取。</w:t>
      </w:r>
    </w:p>
    <w:p>
      <w:r>
        <w:rPr>
          <w:b/>
        </w:rPr>
        <w:t xml:space="preserve">学到的教训　</w:t>
      </w:r>
      <w:r>
        <w:t>接收诊断按字节搬运、帧校验、命令解析和字段新鲜度逐层设置。协议长度、字段偏移、字节序与版本对应，H7 同时核对 DMA 内存和 Cache。</w:t>
      </w:r>
    </w:p>
    <w:p>
      <w:pPr>
        <w:spacing w:line="276" w:lineRule="auto" w:after="240"/>
      </w:pPr>
      <w:r>
        <w:rPr>
          <w:b/>
          <w:sz w:val="18"/>
        </w:rPr>
        <w:t xml:space="preserve">常用观察　</w:t>
      </w:r>
      <w:r>
        <w:rPr>
          <w:sz w:val="18"/>
        </w:rPr>
        <w:t>referee_uart_diagnostics.received_byte_count  referee_state.diagnostics.parsed_frame_count</w:t>
      </w:r>
    </w:p>
    <w:p>
      <w:pPr>
        <w:pStyle w:val="Heading2"/>
      </w:pPr>
      <w:r>
        <w:t>16  过期 D1 分片参与遥控拼接</w:t>
      </w:r>
    </w:p>
    <w:p>
      <w:pPr>
        <w:spacing w:after="120"/>
      </w:pPr>
      <w:r>
        <w:rPr>
          <w:sz w:val="19"/>
        </w:rPr>
        <w:t>处理状态  已修正过期拼接</w:t>
      </w:r>
    </w:p>
    <w:p>
      <w:r>
        <w:rPr>
          <w:b/>
        </w:rPr>
        <w:t xml:space="preserve">遇到的问题　</w:t>
      </w:r>
      <w:r>
        <w:t>遥控由 D1、D2、D3 分片传输。曾发现 D1 过期后仍可能参与后续拼接，让较新分片与旧数据组合。</w:t>
      </w:r>
    </w:p>
    <w:p>
      <w:r>
        <w:rPr>
          <w:b/>
        </w:rPr>
        <w:t xml:space="preserve">解决办法　</w:t>
      </w:r>
      <w:r>
        <w:t>对整组分片检查顺序和时效，失效时清除半包；只有完整、连续且通过校验的数据才能更新遥控快照和有效时间。其他状态帧也各自检查独立超时。</w:t>
      </w:r>
    </w:p>
    <w:p>
      <w:r>
        <w:rPr>
          <w:b/>
        </w:rPr>
        <w:t xml:space="preserve">根本原因　</w:t>
      </w:r>
      <w:r>
        <w:t>分片保存在缓存里，若仅检查后到达的帧，早期片段就可能越过超时。拼成固定长度的数据包后，也可能恰好落在合法数值范围内。</w:t>
      </w:r>
    </w:p>
    <w:p>
      <w:r>
        <w:rPr>
          <w:b/>
        </w:rPr>
        <w:t xml:space="preserve">学到的教训　</w:t>
      </w:r>
      <w:r>
        <w:t>分片拼接检查整包顺序和时效，半包失效后重同步。关键控制数据明确序号、有效标志和超时策略，避免旧数据组合后继续获得执行许可。</w:t>
      </w:r>
    </w:p>
    <w:p>
      <w:pPr>
        <w:spacing w:line="276" w:lineRule="auto" w:after="240"/>
      </w:pPr>
      <w:r>
        <w:rPr>
          <w:b/>
          <w:sz w:val="18"/>
        </w:rPr>
        <w:t xml:space="preserve">常用观察　</w:t>
      </w:r>
      <w:r>
        <w:rPr>
          <w:sz w:val="18"/>
        </w:rPr>
        <w:t>communication_rc_assembly_error_count  communication_rc_last_valid_ms</w:t>
      </w:r>
    </w:p>
    <w:p>
      <w:r>
        <w:br w:type="page"/>
      </w:r>
    </w:p>
    <w:p>
      <w:bookmarkStart w:id="9" w:name="chapter_9"/>
      <w:pPr>
        <w:pStyle w:val="Heading1"/>
      </w:pPr>
      <w:r>
        <w:t>09  外设配置与工程维护</w:t>
      </w:r>
      <w:bookmarkEnd w:id="9"/>
    </w:p>
    <w:p>
      <w:pPr>
        <w:pStyle w:val="Heading2"/>
      </w:pPr>
      <w:r>
        <w:t>17  新增板间通信后底盘电机反馈丢失</w:t>
      </w:r>
    </w:p>
    <w:p>
      <w:pPr>
        <w:spacing w:after="120"/>
      </w:pPr>
      <w:r>
        <w:rPr>
          <w:sz w:val="19"/>
        </w:rPr>
        <w:t>处理状态  历史故障已定位 当前配置分区</w:t>
      </w:r>
    </w:p>
    <w:p>
      <w:r>
        <w:rPr>
          <w:b/>
        </w:rPr>
        <w:t xml:space="preserve">遇到的问题　</w:t>
      </w:r>
      <w:r>
        <w:t>早期下板加通信后，遥控数据正常变化，底盘电机却不动。只注释发送任务也没有恢复，问题发生在任务启动之前。</w:t>
      </w:r>
    </w:p>
    <w:p>
      <w:r>
        <w:rPr>
          <w:b/>
        </w:rPr>
        <w:t xml:space="preserve">解决办法　</w:t>
      </w:r>
      <w:r>
        <w:t>为 H7 的两路 FDCAN 分配互不重叠的 Message RAM，并配置实际过滤器、接收和发送 FIFO。当前 FDCAN1 偏移为 0，FDCAN2 偏移为 1280；同时在 CubeMX 配置中保留分区。</w:t>
      </w:r>
    </w:p>
    <w:p>
      <w:r>
        <w:rPr>
          <w:b/>
        </w:rPr>
        <w:t xml:space="preserve">根本原因　</w:t>
      </w:r>
      <w:r>
        <w:t>该历史失败版本中，两路偏移均为零，FDCAN2 初始化写入板间过滤器时覆盖了 FDCAN1 电机过滤器。电机反馈失效后，在线检查触发持续零电流。外设寄存器独立，共享消息内存仍需分区。</w:t>
      </w:r>
    </w:p>
    <w:p>
      <w:r>
        <w:rPr>
          <w:b/>
        </w:rPr>
        <w:t xml:space="preserve">学到的教训　</w:t>
      </w:r>
      <w:r>
        <w:t>外设初始化除寄存器配置外，还需检查共享内存、过滤器和 FIFO 资源。CubeMX 重新生成后核对关键布局；发送错误保留统计，周期任务必须有阻塞或延时。</w:t>
      </w:r>
    </w:p>
    <w:p>
      <w:pPr>
        <w:spacing w:line="276" w:lineRule="auto" w:after="240"/>
      </w:pPr>
      <w:r>
        <w:rPr>
          <w:b/>
          <w:sz w:val="18"/>
        </w:rPr>
        <w:t xml:space="preserve">常用观察　</w:t>
      </w:r>
      <w:r>
        <w:rPr>
          <w:sz w:val="18"/>
        </w:rPr>
        <w:t>communication_rx_count  chassis_can_state.rx_count</w:t>
      </w:r>
    </w:p>
    <w:p>
      <w:pPr>
        <w:pStyle w:val="Heading2"/>
      </w:pPr>
      <w:r>
        <w:t>18  大范围重构后出现实车控制异常</w:t>
      </w:r>
    </w:p>
    <w:p>
      <w:pPr>
        <w:spacing w:after="120"/>
      </w:pPr>
      <w:r>
        <w:rPr>
          <w:sz w:val="19"/>
        </w:rPr>
        <w:t>处理状态  已按要求回滚 后续按模块整理</w:t>
      </w:r>
    </w:p>
    <w:p>
      <w:r>
        <w:rPr>
          <w:b/>
        </w:rPr>
        <w:t xml:space="preserve">遇到的问题　</w:t>
      </w:r>
      <w:r>
        <w:t>工程曾大幅重构并使用配置工具，新固件烧录后出现严重异常。当时决定回到指定提交，停用配置工具，并恢复原 Keil 配置。</w:t>
      </w:r>
    </w:p>
    <w:p>
      <w:r>
        <w:rPr>
          <w:b/>
        </w:rPr>
        <w:t xml:space="preserve">解决办法　</w:t>
      </w:r>
      <w:r>
        <w:t>先恢复已知可用版本，再逐步按电机、应用和算法分目录。配置集中分类，驱动入口保存数据引用与函数指针，原函数保留；复用范围、观察变量和移植步骤写入模块文档。</w:t>
      </w:r>
    </w:p>
    <w:p>
      <w:r>
        <w:rPr>
          <w:b/>
        </w:rPr>
        <w:t xml:space="preserve">根本原因　</w:t>
      </w:r>
      <w:r>
        <w:t>结构、参数、协议和时序同时变化，会使异常难以归因。那次实车异常没有足够证据归结到某一个字段或配置工具；可以确认的是变化范围过大，验证覆盖与硬件工况还存在距离。</w:t>
      </w:r>
    </w:p>
    <w:p>
      <w:r>
        <w:rPr>
          <w:b/>
        </w:rPr>
        <w:t xml:space="preserve">学到的教训　</w:t>
      </w:r>
      <w:r>
        <w:t>重构按模块推进，每步保留可运行版本，并记录参数、协议和时序变化。PC 回归验证逻辑分支，实车验证方向、运动与故障恢复；编译通过后仍需完成这些验证。</w:t>
      </w:r>
    </w:p>
    <w:p>
      <w:pPr>
        <w:spacing w:line="276" w:lineRule="auto" w:after="240"/>
      </w:pPr>
      <w:r>
        <w:rPr>
          <w:b/>
          <w:sz w:val="18"/>
        </w:rPr>
        <w:t xml:space="preserve">常用观察　</w:t>
      </w:r>
      <w:r>
        <w:rPr>
          <w:sz w:val="18"/>
        </w:rPr>
        <w:t>各板 config 配置  模块反馈有效性  任务与发送错误计数</w:t>
      </w:r>
    </w:p>
    <w:p>
      <w:r>
        <w:br w:type="page"/>
      </w:r>
    </w:p>
    <w:p>
      <w:bookmarkStart w:id="10" w:name="chapter_10"/>
      <w:pPr>
        <w:pStyle w:val="Heading1"/>
      </w:pPr>
      <w:r>
        <w:t>10  调试观察与剩余问题</w:t>
      </w:r>
      <w:bookmarkEnd w:id="10"/>
    </w:p>
    <w:p>
      <w:pPr>
        <w:pStyle w:val="Heading2"/>
      </w:pPr>
      <w:r>
        <w:t>19  Watch 未刷新导致故障判断偏差</w:t>
      </w:r>
    </w:p>
    <w:p>
      <w:pPr>
        <w:spacing w:after="120"/>
      </w:pPr>
      <w:r>
        <w:rPr>
          <w:sz w:val="19"/>
        </w:rPr>
        <w:t>处理状态  已识别观察失真</w:t>
      </w:r>
    </w:p>
    <w:p>
      <w:r>
        <w:rPr>
          <w:b/>
        </w:rPr>
        <w:t xml:space="preserve">遇到的问题　</w:t>
      </w:r>
      <w:r>
        <w:t>定位升降保护时，最初以为状态数值为零；后来确认 Keil Watch 没有实时更新。真实截图提供的信息与之前判断不同，排查方向才修正。</w:t>
      </w:r>
    </w:p>
    <w:p>
      <w:r>
        <w:rPr>
          <w:b/>
        </w:rPr>
        <w:t xml:space="preserve">解决办法　</w:t>
      </w:r>
      <w:r>
        <w:t>核对固件与调试符号，启用运行时观察，并用接收计数、时间戳和已知变化量证明刷新在工作。重新编译后重新加载 AXF；按地址采样的工具同步更新 ELF 或变量地址。</w:t>
      </w:r>
    </w:p>
    <w:p>
      <w:r>
        <w:rPr>
          <w:b/>
        </w:rPr>
        <w:t xml:space="preserve">根本原因　</w:t>
      </w:r>
      <w:r>
        <w:t>暂停时留下的旧值、运行时刷新设置和过期符号都会造成观察失真。静态变量还受作用域与编译优化影响，需要到定义位置查看。</w:t>
      </w:r>
    </w:p>
    <w:p>
      <w:r>
        <w:rPr>
          <w:b/>
        </w:rPr>
        <w:t xml:space="preserve">学到的教训　</w:t>
      </w:r>
      <w:r>
        <w:t>故障定位前先确认观察工具正在更新，固件与调试符号一致。记录包含时间戳、接收计数和有效标志；按地址采样的工具在重新编译后更新变量地址。</w:t>
      </w:r>
    </w:p>
    <w:p>
      <w:pPr>
        <w:spacing w:line="276" w:lineRule="auto" w:after="240"/>
      </w:pPr>
      <w:r>
        <w:rPr>
          <w:b/>
          <w:sz w:val="18"/>
        </w:rPr>
        <w:t xml:space="preserve">常用观察　</w:t>
      </w:r>
      <w:r>
        <w:rPr>
          <w:sz w:val="18"/>
        </w:rPr>
        <w:t>lift_safety_state.update_ms  各驱动 rx_count  IMU update_count</w:t>
      </w:r>
    </w:p>
    <w:p>
      <w:pPr>
        <w:pStyle w:val="Heading2"/>
      </w:pPr>
      <w:r>
        <w:t>20  单发偶发双发与 Pitch 响应偏慢</w:t>
      </w:r>
    </w:p>
    <w:p>
      <w:pPr>
        <w:spacing w:after="120"/>
      </w:pPr>
      <w:r>
        <w:rPr>
          <w:sz w:val="19"/>
        </w:rPr>
        <w:t>处理状态  待进一步实车定位</w:t>
      </w:r>
    </w:p>
    <w:p>
      <w:r>
        <w:rPr>
          <w:b/>
        </w:rPr>
        <w:t xml:space="preserve">遇到的问题　</w:t>
      </w:r>
      <w:r>
        <w:t>实车反馈单发存在偶发双发，云台模式 Pitch 响应慢于机械模式；机械 Yaw 的震荡和收敛速度也仍有继续打磨的空间。当前证据不足以把这些问题写成彻底解决。</w:t>
      </w:r>
    </w:p>
    <w:p>
      <w:r>
        <w:rPr>
          <w:b/>
        </w:rPr>
        <w:t xml:space="preserve">解决办法　</w:t>
      </w:r>
      <w:r>
        <w:t>保留现有单发边沿、固定相位保持和两种 Pitch 控制链。下一步分别记录单发事件序号、累计目标与实际位置，以及 Pitch 角度、速度目标、实测速度和转矩，按触发链逐段定位。</w:t>
      </w:r>
    </w:p>
    <w:p>
      <w:r>
        <w:rPr>
          <w:b/>
        </w:rPr>
        <w:t xml:space="preserve">根本原因　</w:t>
      </w:r>
      <w:r>
        <w:t>双发候选包括重复请求、供弹位移与弹链对应关系、惯性过冲和恢复分支；Pitch 候选包括输入映射、目标领先限制、滤波和内环带宽。它们都是待验证项，不能单凭表现定案。</w:t>
      </w:r>
    </w:p>
    <w:p>
      <w:r>
        <w:rPr>
          <w:b/>
        </w:rPr>
        <w:t xml:space="preserve">学到的教训　</w:t>
      </w:r>
      <w:r>
        <w:t>未定位的问题保留复现条件与候选原因，不提前写成结论。每次验证一个假设，沿操作事件、控制目标、实际运动和恢复分支追踪，再决定修改位置。</w:t>
      </w:r>
    </w:p>
    <w:p>
      <w:pPr>
        <w:spacing w:line="276" w:lineRule="auto" w:after="240"/>
      </w:pPr>
      <w:r>
        <w:rPr>
          <w:b/>
          <w:sz w:val="18"/>
        </w:rPr>
        <w:t xml:space="preserve">常用观察　</w:t>
      </w:r>
      <w:r>
        <w:rPr>
          <w:sz w:val="18"/>
        </w:rPr>
        <w:t>remote_state.event.shoot_single_request_count  cloud_pitch_rate_target_deg_s</w:t>
      </w:r>
    </w:p>
    <w:p>
      <w:r>
        <w:br w:type="page"/>
      </w:r>
    </w:p>
    <w:p>
      <w:bookmarkStart w:id="11" w:name="chapter_11"/>
      <w:pPr>
        <w:pStyle w:val="Heading1"/>
      </w:pPr>
      <w:r>
        <w:t>11  下一台车的做法与资料入口</w:t>
      </w:r>
      <w:bookmarkEnd w:id="11"/>
    </w:p>
    <w:p>
      <w:pPr>
        <w:pStyle w:val="Heading2"/>
      </w:pPr>
      <w:r>
        <w:t>把经验变成下一次的默认做法</w:t>
      </w:r>
    </w:p>
    <w:p>
      <w:r>
        <w:rPr>
          <w:b/>
        </w:rPr>
        <w:t xml:space="preserve">先验收反馈　</w:t>
      </w:r>
      <w:r>
        <w:t>逐一核对编码器、角速度、电流、功率的单位、正方向、量化范围和更新时间；目标、指令与反馈分开记录。</w:t>
      </w:r>
    </w:p>
    <w:p>
      <w:r>
        <w:rPr>
          <w:b/>
        </w:rPr>
        <w:t xml:space="preserve">给状态明确职责　</w:t>
      </w:r>
      <w:r>
        <w:t>把操作请求、动作阶段、故障原因与许可分开保存，规定唯一更新者和清除条件；模式切换、失联和恢复都要有对应路径。</w:t>
      </w:r>
    </w:p>
    <w:p>
      <w:r>
        <w:rPr>
          <w:b/>
        </w:rPr>
        <w:t xml:space="preserve">按动作维护控制链　</w:t>
      </w:r>
      <w:r>
        <w:t>开机、保持、回零有相同需求时共用实现；调头等特殊动作独立控制。不要让两套参数靠人工长期保持一致。</w:t>
      </w:r>
    </w:p>
    <w:p>
      <w:r>
        <w:rPr>
          <w:b/>
        </w:rPr>
        <w:t xml:space="preserve">为外设安排资源　</w:t>
      </w:r>
      <w:r>
        <w:t>CubeMX 生成后核对 CAN 过滤器、Message RAM、DMA 内存和 Cache；接收、发送和错误计数作为长期诊断保留。</w:t>
      </w:r>
    </w:p>
    <w:p>
      <w:r>
        <w:rPr>
          <w:b/>
        </w:rPr>
        <w:t xml:space="preserve">一次只扩大一点改动　</w:t>
      </w:r>
      <w:r>
        <w:t>留已知可用版本，PC 验证检查软件分支与恢复，再做分模块实车验证。状态逻辑通过后，继续测目标与实际运动。</w:t>
      </w:r>
    </w:p>
    <w:p>
      <w:r>
        <w:rPr>
          <w:b/>
        </w:rPr>
        <w:t xml:space="preserve">把待解决问题留下来　</w:t>
      </w:r>
      <w:r>
        <w:t>单发双发、Pitch 响应及更快调头继续按记录验证。先排机械、反馈和饱和，再决定是否增加算法；调参结果回填 config。</w:t>
      </w:r>
    </w:p>
    <w:p>
      <w:pPr>
        <w:pStyle w:val="Heading2"/>
      </w:pPr>
      <w:r>
        <w:t>工程资料入口</w:t>
      </w:r>
    </w:p>
    <w:p>
      <w:r>
        <w:t>根目录 README.md 是整车总索引，两板 README.md 是各自模块入口。常用 Watch 的完整路径、单位和有效条件位于各板 文档/00_观察变量速查.md；本文的观察行仅提供优先查看方向。</w:t>
      </w:r>
    </w:p>
    <w:p>
      <w:r>
        <w:t>云台与升降看上板文档 03、04；发射、热量和弹速看 05、11；底盘功率看下板 04；裁判、超电与通信看 05、06、09。验证范围与耗时估算限制见两板 13 及根目录 验证 文件夹。</w:t>
      </w:r>
    </w:p>
    <w:p>
      <w:pPr>
        <w:pStyle w:val="Heading2"/>
      </w:pPr>
      <w:r>
        <w:t>记录依据</w:t>
      </w:r>
    </w:p>
    <w:p>
      <w:r>
        <w:t>本版按 2026年10月8日的源码、模块文档和工程调试记录整理。早期故障按当时记录描述，当前实现按现有源码核对；规则相关细节使用前需查阅届时正式文件。</w:t>
      </w:r>
    </w:p>
    <w:p>
      <w:pPr>
        <w:pStyle w:val="Heading2"/>
      </w:pPr>
      <w:r>
        <w:t>后续调试重点</w:t>
      </w:r>
    </w:p>
    <w:p>
      <w:r>
        <w:t>继续跟踪单发双发、Pitch 响应和机械 Yaw 收敛问题。每次记录测试条件、参数版本、控制目标与实际反馈，验证后再更新结论和配置。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19" w:bottom="1134" w:left="1219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RP 双板步兵工程  工程复盘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07" w:lineRule="auto" w:after="140"/>
    </w:pPr>
    <w:rPr>
      <w:rFonts w:ascii="Calibri" w:hAnsi="Calibri" w:eastAsia="宋体"/>
      <w:b w:val="0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 w:eastAsia="微软雅黑"/>
      <w:b w:val="0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 w:eastAsia="微软雅黑"/>
      <w:b w:val="0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40"/>
      <w:outlineLvl w:val="0"/>
    </w:pPr>
    <w:rPr>
      <w:rFonts w:ascii="Calibri" w:hAnsi="Calibri" w:eastAsia="微软雅黑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40"/>
      <w:outlineLvl w:val="1"/>
    </w:pPr>
    <w:rPr>
      <w:rFonts w:ascii="Calibri" w:hAnsi="Calibri" w:eastAsia="微软雅黑"/>
      <w:b/>
      <w:bCs/>
      <w:color w:val="000000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40"/>
      <w:outlineLvl w:val="2"/>
    </w:pPr>
    <w:rPr>
      <w:rFonts w:ascii="Calibri" w:hAnsi="Calibri" w:eastAsia="微软雅黑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Calibri" w:hAnsi="Calibri" w:eastAsia="微软雅黑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Calibri" w:hAnsi="Calibri" w:eastAsia="微软雅黑"/>
      <w:b w:val="0"/>
      <w:i w:val="0"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RP步兵工程复盘</dc:title>
  <dc:subject>双板步兵工程的问题处理与经验记录</dc:subject>
  <dc:creator>RP</dc:creator>
  <cp:keywords>步兵 云台 升降 发射 功率 热量 工程复盘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