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lastRenderedPageBreak/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</w:t>
            </w:r>
            <w:r w:rsidR="00E32577" w:rsidRPr="00E32577">
              <w:rPr>
                <w:iCs/>
                <w:lang w:val="en-US"/>
              </w:rPr>
              <w:t>obstetrics,</w:t>
            </w:r>
            <w:r w:rsidR="00E32577" w:rsidRPr="00E32577">
              <w:rPr>
                <w:iCs/>
                <w:lang w:val="en-US"/>
              </w:rPr>
              <w:t xml:space="preserve">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Braile</w:t>
            </w:r>
            <w:proofErr w:type="spellEnd"/>
            <w:r>
              <w:rPr>
                <w:iCs/>
                <w:lang w:val="en-US"/>
              </w:rPr>
              <w:t xml:space="preserve">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rPr>
                <w:iCs/>
                <w:lang w:val="en-US"/>
              </w:rPr>
              <w:fldChar w:fldCharType="begin"/>
            </w:r>
            <w:r>
              <w:rPr>
                <w:iCs/>
                <w:lang w:val="en-US"/>
              </w:rPr>
              <w:instrText xml:space="preserve"> HYPERLINK "https://braile.com.br/en/" </w:instrText>
            </w:r>
            <w:r>
              <w:rPr>
                <w:iCs/>
                <w:lang w:val="en-US"/>
              </w:rP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lastRenderedPageBreak/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</w:t>
            </w:r>
            <w:r>
              <w:t>5</w:t>
            </w:r>
            <w:r>
              <w:t>/20</w:t>
            </w:r>
            <w:r>
              <w:t>21</w:t>
            </w:r>
            <w:r>
              <w:t xml:space="preserve"> to 12/202</w:t>
            </w:r>
            <w:r>
              <w:t>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 xml:space="preserve">+55 11 </w:t>
            </w:r>
            <w:r>
              <w:t>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</w:r>
            <w:r w:rsidR="003F0C8F"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520EE3E5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2B309A">
        <w:t>21</w:t>
      </w:r>
      <w:r w:rsidR="008A601A">
        <w:t xml:space="preserve"> </w:t>
      </w:r>
      <w:r w:rsidR="008F7491">
        <w:t>September</w:t>
      </w:r>
      <w:r w:rsidR="00EB7677">
        <w:t xml:space="preserve">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806A86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0850" w14:textId="77777777" w:rsidR="00D05009" w:rsidRDefault="00D05009" w:rsidP="00524C0F">
      <w:r>
        <w:separator/>
      </w:r>
    </w:p>
  </w:endnote>
  <w:endnote w:type="continuationSeparator" w:id="0">
    <w:p w14:paraId="0F725FDE" w14:textId="77777777" w:rsidR="00D05009" w:rsidRDefault="00D05009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7011" w14:textId="77777777" w:rsidR="00D05009" w:rsidRDefault="00D05009" w:rsidP="00524C0F">
      <w:r>
        <w:separator/>
      </w:r>
    </w:p>
  </w:footnote>
  <w:footnote w:type="continuationSeparator" w:id="0">
    <w:p w14:paraId="577C141E" w14:textId="77777777" w:rsidR="00D05009" w:rsidRDefault="00D05009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E7BF1"/>
    <w:rsid w:val="0010540C"/>
    <w:rsid w:val="0016075B"/>
    <w:rsid w:val="00164C8F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6252"/>
    <w:rsid w:val="002B309A"/>
    <w:rsid w:val="002E0E64"/>
    <w:rsid w:val="002E185E"/>
    <w:rsid w:val="002E24AD"/>
    <w:rsid w:val="002E4EAE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413F54"/>
    <w:rsid w:val="004311CC"/>
    <w:rsid w:val="00434180"/>
    <w:rsid w:val="004452AF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D691A"/>
    <w:rsid w:val="005E2025"/>
    <w:rsid w:val="005F0527"/>
    <w:rsid w:val="006279DB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20CA"/>
    <w:rsid w:val="007039DC"/>
    <w:rsid w:val="0074051F"/>
    <w:rsid w:val="00742EF0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41E9A"/>
    <w:rsid w:val="00860E56"/>
    <w:rsid w:val="0086540D"/>
    <w:rsid w:val="00871F7A"/>
    <w:rsid w:val="00874DE7"/>
    <w:rsid w:val="008A2A9A"/>
    <w:rsid w:val="008A601A"/>
    <w:rsid w:val="008C715D"/>
    <w:rsid w:val="008F7491"/>
    <w:rsid w:val="00902EF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C75C0"/>
    <w:rsid w:val="00D05009"/>
    <w:rsid w:val="00D26200"/>
    <w:rsid w:val="00D537A8"/>
    <w:rsid w:val="00D6684B"/>
    <w:rsid w:val="00D74518"/>
    <w:rsid w:val="00D76427"/>
    <w:rsid w:val="00DA1290"/>
    <w:rsid w:val="00DD437B"/>
    <w:rsid w:val="00E32577"/>
    <w:rsid w:val="00E51A38"/>
    <w:rsid w:val="00E54B8C"/>
    <w:rsid w:val="00E779FE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604CA"/>
    <w:rsid w:val="00F6202B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5</cp:revision>
  <cp:lastPrinted>2022-09-21T04:27:00Z</cp:lastPrinted>
  <dcterms:created xsi:type="dcterms:W3CDTF">2022-09-21T01:49:00Z</dcterms:created>
  <dcterms:modified xsi:type="dcterms:W3CDTF">2022-09-21T07:11:00Z</dcterms:modified>
</cp:coreProperties>
</file>