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4f3656d9bb741f2" /><Relationship Type="http://schemas.openxmlformats.org/package/2006/relationships/metadata/core-properties" Target="/docProps/core.xml" Id="R3c53d3f95a7b4c4b" /><Relationship Type="http://schemas.openxmlformats.org/officeDocument/2006/relationships/extended-properties" Target="/docProps/app.xml" Id="Rcc2dd6a8adf0441c" /><Relationship Type="http://schemas.openxmlformats.org/officeDocument/2006/relationships/custom-properties" Target="/docProps/custom.xml" Id="R7c99a140f4334cf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52"/>
        </w:rPr>
        <w:t xml:space="preserve">FINAL PROJECT REPORT</w:t>
      </w:r>
    </w:p>
    <w:p w14:paraId="00100002" w14:textId="00100003">
      <w:pPr>
        <w:pStyle w:val="Normal"/>
        <w:spacing w:after="80"/>
        <w:jc w:val="center"/>
      </w:pPr>
      <w:r>
        <w:rPr>
          <w:sz w:val="32"/>
        </w:rPr>
        <w:t xml:space="preserve">Data Analytics with AI Internship</w:t>
      </w:r>
    </w:p>
    <w:p w14:paraId="00100004" w14:textId="00100005">
      <w:pPr>
        <w:pStyle w:val="Normal"/>
        <w:spacing w:after="160"/>
        <w:jc w:val="center"/>
      </w:pPr>
      <w:r>
        <w:rPr>
          <w:b/>
          <w:sz w:val="28"/>
        </w:rPr>
        <w:t xml:space="preserve">Project Title: EV Charging Station Analysis</w:t>
      </w:r>
    </w:p>
    <w:p w14:paraId="00100006" w14:textId="00100007">
      <w:pPr>
        <w:pStyle w:val="Normal"/>
        <w:spacing w:after="80"/>
        <w:jc w:val="center"/>
      </w:pPr>
      <w:r>
        <w:rPr>
          <w:sz w:val="24"/>
        </w:rPr>
        <w:t xml:space="preserve">Submitted by</w:t>
      </w:r>
    </w:p>
    <w:p w14:paraId="00100008" w14:textId="00100009">
      <w:pPr>
        <w:pStyle w:val="Normal"/>
        <w:spacing w:after="120"/>
        <w:jc w:val="center"/>
      </w:pPr>
      <w:r>
        <w:rPr>
          <w:b/>
          <w:sz w:val="28"/>
        </w:rPr>
        <w:t xml:space="preserve">Kanishkaraj R P R</w:t>
      </w:r>
    </w:p>
    <w:p w14:paraId="0010000A" w14:textId="0010000B">
      <w:pPr>
        <w:pStyle w:val="Normal"/>
        <w:spacing w:after="80"/>
        <w:jc w:val="center"/>
      </w:pPr>
      <w:r>
        <w:rPr>
          <w:sz w:val="24"/>
        </w:rPr>
        <w:t xml:space="preserve">Misrimal Navajee Munoth Jain Engineering College</w:t>
      </w:r>
    </w:p>
    <w:p w14:paraId="0010000C" w14:textId="0010000D">
      <w:pPr>
        <w:pStyle w:val="Normal"/>
        <w:spacing w:after="80"/>
        <w:jc w:val="center"/>
      </w:pPr>
      <w:r>
        <w:rPr>
          <w:b/>
          <w:sz w:val="24"/>
        </w:rPr>
        <w:t xml:space="preserve">IBM SkillsBuild Data Analytics with AI Academic Internship</w:t>
      </w:r>
    </w:p>
    <w:p w14:paraId="0010000E" w14:textId="0010000F">
      <w:pPr>
        <w:pStyle w:val="Normal"/>
        <w:spacing w:after="480"/>
        <w:jc w:val="center"/>
      </w:pPr>
      <w:r>
        <w:rPr>
          <w:sz w:val="22"/>
        </w:rPr>
        <w:t xml:space="preserve">Conducted by BharatCares in association with AICTE</w:t>
      </w:r>
    </w:p>
    <w:p w14:paraId="001000C6" w14:textId="001000C7">
      <w:pPr>
        <w:pStyle w:val="Normal"/>
        <w:spacing w:after="480"/>
        <w:jc w:val="center"/>
      </w:pPr>
      <w:r>
        <w:rPr>
          <w:b/>
          <w:sz w:val="22"/>
        </w:rPr>
        <w:t xml:space="preserve">Dataset Used: detailed_ev_charging_stations.csv (5,000 Records | 17 Attributes)</w:t>
      </w:r>
    </w:p>
    <w:p w14:paraId="00100010" w14:textId="00100011">
      <w:pPr>
        <w:pStyle w:val="Heading1"/>
        <w:spacing w:after="160"/>
      </w:pPr>
      <w:r>
        <w:rPr>
          <w:b/>
          <w:sz w:val="32"/>
        </w:rPr>
        <w:t xml:space="preserve">EXECUTIVE SUMMARY</w:t>
      </w:r>
    </w:p>
    <w:p w14:paraId="00100012" w14:textId="001000C8">
      <w:pPr>
        <w:pStyle w:val="Normal"/>
        <w:spacing w:after="120"/>
      </w:pPr>
      <w:r>
        <w:rPr>
          <w:sz w:val="22"/>
        </w:rPr>
        <w:t xml:space="preserve">This report presents a data analytics and machine learning study on 5,000 EV charging station records sourced globally. The objective was to derive actionable intelligence from station-level data to support smarter infrastructure planning amid accelerating EV adoption.</w:t>
      </w:r>
    </w:p>
    <w:p w14:paraId="00100014" w14:textId="001000C9">
      <w:pPr>
        <w:pStyle w:val="Normal"/>
        <w:spacing w:after="120"/>
      </w:pPr>
      <w:r>
        <w:rPr>
          <w:sz w:val="22"/>
        </w:rPr>
        <w:t xml:space="preserve">The dataset was pre-cleaned with zero missing values and no duplicate records across all 17 attributes, enabling direct analytical focus. Exploratory Data Analysis covered four dimensions: usage relative to urban proximity, cost by charger technology, operator market share, and renewable energy integration.</w:t>
      </w:r>
    </w:p>
    <w:p w14:paraId="00100016" w14:textId="001000CA">
      <w:pPr>
        <w:pStyle w:val="Normal"/>
        <w:spacing w:after="320"/>
      </w:pPr>
      <w:r>
        <w:rPr>
          <w:sz w:val="22"/>
        </w:rPr>
        <w:t xml:space="preserve">A Logistic Regression binary classifier was built to predict high-utilization stations using five numerical features, evaluated on a stratified 20% holdout set. The pipeline concludes with a priority scoring module that classifies every station into HIGH, MEDIUM, or LOW tiers, exported as ev_station_priority_scores.csv.</w:t>
      </w:r>
    </w:p>
    <w:p w14:paraId="00100018" w14:textId="00100019">
      <w:pPr>
        <w:pStyle w:val="Heading1"/>
        <w:spacing w:after="160"/>
      </w:pPr>
      <w:r>
        <w:rPr>
          <w:b/>
          <w:sz w:val="30"/>
        </w:rPr>
        <w:t xml:space="preserve">SECTION 1: INTRODUCTION &amp; PROBLEM STATEMENT</w:t>
      </w:r>
    </w:p>
    <w:p w14:paraId="0010001A" w14:textId="0010001B">
      <w:pPr>
        <w:pStyle w:val="Heading2"/>
        <w:spacing w:after="120"/>
      </w:pPr>
      <w:r>
        <w:rPr>
          <w:b/>
          <w:sz w:val="26"/>
        </w:rPr>
        <w:t xml:space="preserve">1.1 Background and Context</w:t>
      </w:r>
    </w:p>
    <w:p w14:paraId="0010001C" w14:textId="001000CB">
      <w:pPr>
        <w:pStyle w:val="Normal"/>
        <w:spacing w:after="120"/>
      </w:pPr>
      <w:r>
        <w:rPr>
          <w:sz w:val="22"/>
        </w:rPr>
        <w:t xml:space="preserve">Electric vehicles are growing rapidly worldwide, yet widespread adoption continues to be constrained by uneven and inadequate public charging infrastructure. Urban cores are relatively well-served, while suburban corridors, highways, and secondary cities remain underequipped — a disparity that requires data-driven planning, not just capital investment.</w:t>
      </w:r>
    </w:p>
    <w:p w14:paraId="00100020" w14:textId="00100021">
      <w:pPr>
        <w:pStyle w:val="Heading2"/>
        <w:spacing w:after="120"/>
      </w:pPr>
      <w:r>
        <w:rPr>
          <w:b/>
          <w:sz w:val="26"/>
        </w:rPr>
        <w:t xml:space="preserve">1.2 The Role of Data Analytics in Green Energy Planning</w:t>
      </w:r>
    </w:p>
    <w:p w14:paraId="00100022" w14:textId="001000CC">
      <w:pPr>
        <w:pStyle w:val="Normal"/>
        <w:spacing w:after="120"/>
      </w:pPr>
      <w:r>
        <w:rPr>
          <w:sz w:val="22"/>
        </w:rPr>
        <w:t xml:space="preserve">Data analytics enables planners to examine usage patterns, geographic placement, charger specifications, operator performance, cost structures, and consumer feedback simultaneously — identifying underserved zones and predicting demand hotspots with measurable confidence. Machine learning extends this further by scoring utilization potential so resources are deployed where they generate the greatest impact.</w:t>
      </w:r>
    </w:p>
    <w:p w14:paraId="00100024" w14:textId="00100025">
      <w:pPr>
        <w:pStyle w:val="Heading2"/>
        <w:spacing w:after="120"/>
      </w:pPr>
      <w:r>
        <w:rPr>
          <w:b/>
          <w:sz w:val="26"/>
        </w:rPr>
        <w:t xml:space="preserve">1.3 Project Objective</w:t>
      </w:r>
    </w:p>
    <w:p w14:paraId="00100026" w14:textId="001000CD">
      <w:pPr>
        <w:pStyle w:val="Normal"/>
        <w:spacing w:after="320"/>
      </w:pPr>
      <w:r>
        <w:rPr>
          <w:sz w:val="22"/>
        </w:rPr>
        <w:t xml:space="preserve">This project applies the full analytics lifecycle — data ingestion, quality verification, exploratory analysis, predictive modelling, and insight communication — to a real-world EV charging station dataset, producing evidence-based recommendations and a priority scoring framework for city authorities, energy utilities, and commercial operators.</w:t>
      </w:r>
    </w:p>
    <w:p w14:paraId="00100028" w14:textId="00100029">
      <w:pPr>
        <w:pStyle w:val="Heading1"/>
        <w:spacing w:after="160"/>
      </w:pPr>
      <w:r>
        <w:rPr>
          <w:b/>
          <w:sz w:val="30"/>
        </w:rPr>
        <w:t xml:space="preserve">SECTION 2: DATASET OVERVIEW &amp; PREPARATION</w:t>
      </w:r>
    </w:p>
    <w:p w14:paraId="0010002A" w14:textId="0010002B">
      <w:pPr>
        <w:pStyle w:val="Heading2"/>
        <w:spacing w:after="120"/>
      </w:pPr>
      <w:r>
        <w:rPr>
          <w:b/>
          <w:sz w:val="26"/>
        </w:rPr>
        <w:t xml:space="preserve">2.1 Dataset Description</w:t>
      </w:r>
    </w:p>
    <w:p w14:paraId="0010002C" w14:textId="001000CE">
      <w:pPr>
        <w:pStyle w:val="Normal"/>
        <w:spacing w:after="120"/>
      </w:pPr>
      <w:r>
        <w:rPr>
          <w:sz w:val="22"/>
        </w:rPr>
        <w:t xml:space="preserve">The primary data source is detailed_ev_charging_stations.csv — 5,000 EV charging station records across 17 attributes, covering a global cross-section of infrastructure spanning multiple charger technologies, operator categories, and installation years.</w:t>
      </w:r>
    </w:p>
    <w:p w14:paraId="0010002E" w14:textId="0010002F">
      <w:pPr>
        <w:pStyle w:val="Heading2"/>
        <w:spacing w:after="120"/>
      </w:pPr>
      <w:r>
        <w:rPr>
          <w:b/>
          <w:sz w:val="26"/>
        </w:rPr>
        <w:t xml:space="preserve">2.2 Key Attributes and Their Analytical Significance</w:t>
      </w:r>
    </w:p>
    <w:p w14:paraId="00100030" w14:textId="00100031">
      <w:pPr>
        <w:pStyle w:val="Normal"/>
        <w:spacing w:after="80"/>
      </w:pPr>
      <w:r>
        <w:rPr>
          <w:sz w:val="22"/>
        </w:rPr>
        <w:t xml:space="preserve">The following parameters form the analytical backbone of this study:</w:t>
      </w:r>
    </w:p>
    <w:p w14:paraId="00100032" w14:textId="00100033">
      <w:pPr>
        <w:pStyle w:val="Normal"/>
        <w:numPr>
          <w:ilvl w:val="0"/>
          <w:numId w:val="1"/>
        </w:numPr>
        <w:spacing w:after="60"/>
      </w:pPr>
      <w:r>
        <w:rPr>
          <w:sz w:val="22"/>
        </w:rPr>
        <w:t xml:space="preserve">Charger Type: Classifies stations as AC Level 2 or DC Fast Charger. DC Fast Chargers deliver significantly higher power output and command a price premium, making this attribute central to cost and usage analysis.</w:t>
      </w:r>
    </w:p>
    <w:p w14:paraId="00100034" w14:textId="00100035">
      <w:pPr>
        <w:pStyle w:val="Normal"/>
        <w:numPr>
          <w:ilvl w:val="0"/>
          <w:numId w:val="1"/>
        </w:numPr>
        <w:spacing w:after="60"/>
      </w:pPr>
      <w:r>
        <w:rPr>
          <w:sz w:val="22"/>
        </w:rPr>
        <w:t xml:space="preserve">Cost (USD/kWh): The per-unit energy cost charged to the end user, ranging from $0.10 to $0.50 per kWh. This variable is a direct driver of consumer adoption and station competitiveness.</w:t>
      </w:r>
    </w:p>
    <w:p w14:paraId="00100036" w14:textId="00100037">
      <w:pPr>
        <w:pStyle w:val="Normal"/>
        <w:numPr>
          <w:ilvl w:val="0"/>
          <w:numId w:val="1"/>
        </w:numPr>
        <w:spacing w:after="60"/>
      </w:pPr>
      <w:r>
        <w:rPr>
          <w:sz w:val="22"/>
        </w:rPr>
        <w:t xml:space="preserve">Usage Stats (avg users/day): A continuous measure of daily footfall at each station, ranging from 10 to 100 users per day. This serves as the primary utilization indicator and the basis for the machine learning target variable.</w:t>
      </w:r>
    </w:p>
    <w:p w14:paraId="00100038" w14:textId="00100039">
      <w:pPr>
        <w:pStyle w:val="Normal"/>
        <w:numPr>
          <w:ilvl w:val="0"/>
          <w:numId w:val="1"/>
        </w:numPr>
        <w:spacing w:after="60"/>
      </w:pPr>
      <w:r>
        <w:rPr>
          <w:sz w:val="22"/>
        </w:rPr>
        <w:t xml:space="preserve">Distance to City (km): The proximity of each station to the nearest urban centre, ranging from 0.5 km to 20 km. Hypothesized to be inversely correlated with usage — a relationship tested formally in the EDA phase.</w:t>
      </w:r>
    </w:p>
    <w:p w14:paraId="0010003A" w14:textId="0010003B">
      <w:pPr>
        <w:pStyle w:val="Normal"/>
        <w:numPr>
          <w:ilvl w:val="0"/>
          <w:numId w:val="1"/>
        </w:numPr>
        <w:spacing w:after="60"/>
      </w:pPr>
      <w:r>
        <w:rPr>
          <w:sz w:val="22"/>
        </w:rPr>
        <w:t xml:space="preserve">Station Operator: The commercial or utility entity responsible for operating the station, enabling market share analysis across providers such as EVgo and ChargePoint.</w:t>
      </w:r>
    </w:p>
    <w:p w14:paraId="0010003C" w14:textId="0010003D">
      <w:pPr>
        <w:pStyle w:val="Normal"/>
        <w:numPr>
          <w:ilvl w:val="0"/>
          <w:numId w:val="1"/>
        </w:numPr>
        <w:spacing w:after="60"/>
      </w:pPr>
      <w:r>
        <w:rPr>
          <w:sz w:val="22"/>
        </w:rPr>
        <w:t xml:space="preserve">Renewable Energy Source: A binary (Yes/No) flag indicating whether the station sources its power from renewable energy — critical for sustainability benchmarking and ESG reporting.</w:t>
      </w:r>
    </w:p>
    <w:p w14:paraId="0010003E" w14:textId="0010003F">
      <w:pPr>
        <w:pStyle w:val="Normal"/>
        <w:numPr>
          <w:ilvl w:val="0"/>
          <w:numId w:val="1"/>
        </w:numPr>
        <w:spacing w:after="120"/>
      </w:pPr>
      <w:r>
        <w:rPr>
          <w:sz w:val="22"/>
        </w:rPr>
        <w:t xml:space="preserve">Reviews (Rating): Aggregated consumer satisfaction scores on a 3.0 to 5.0 scale. A proxy for service quality that informs operator performance assessment and predictive feature engineering.</w:t>
      </w:r>
    </w:p>
    <w:p w14:paraId="00100040" w14:textId="00100041">
      <w:pPr>
        <w:pStyle w:val="Normal"/>
        <w:spacing w:after="120"/>
      </w:pPr>
      <w:r>
        <w:rPr>
          <w:sz w:val="22"/>
        </w:rPr>
        <w:t xml:space="preserve">Additional attributes include Latitude, Longitude, Address, Charging Capacity (kW), Connector Types, Installation Year, Parking Spots, Availability, and Maintenance Frequency — providing a rich multi-dimensional view of each station's profile.</w:t>
      </w:r>
    </w:p>
    <w:p w14:paraId="00100042" w14:textId="00100043">
      <w:pPr>
        <w:pStyle w:val="Heading2"/>
        <w:spacing w:after="120"/>
      </w:pPr>
      <w:r>
        <w:rPr>
          <w:b/>
          <w:sz w:val="26"/>
        </w:rPr>
        <w:t xml:space="preserve">2.3 Data Quality Assessment</w:t>
      </w:r>
    </w:p>
    <w:p w14:paraId="00100044" w14:textId="001000CF">
      <w:pPr>
        <w:pStyle w:val="Normal"/>
        <w:spacing w:after="320"/>
      </w:pPr>
      <w:r>
        <w:rPr>
          <w:sz w:val="22"/>
        </w:rPr>
        <w:t xml:space="preserve">All 17 columns returned zero null values across all 5,000 records. No duplicate rows were detected. Numerical features fell within physically plausible ranges (Installation Year: 2010–2023; Rating: 3.0–5.0). Data types were correctly assigned throughout. No imputation, deduplication, or outlier remediation was required — the project proceeded directly to analysis.</w:t>
      </w:r>
    </w:p>
    <w:p w14:paraId="00100046" w14:textId="00100047">
      <w:pPr>
        <w:pStyle w:val="Heading1"/>
        <w:spacing w:after="160"/>
      </w:pPr>
      <w:r>
        <w:rPr>
          <w:b/>
          <w:sz w:val="30"/>
        </w:rPr>
        <w:t xml:space="preserve">SECTION 3: EXPLORATORY DATA ANALYSIS &amp; VISUALIZATIONS</w:t>
      </w:r>
    </w:p>
    <w:p w14:paraId="00100048" w14:textId="001000D0">
      <w:pPr>
        <w:pStyle w:val="Normal"/>
        <w:spacing w:after="160"/>
      </w:pPr>
      <w:r>
        <w:rPr>
          <w:sz w:val="22"/>
        </w:rPr>
        <w:t xml:space="preserve">Four targeted visualizations surface the most strategically significant patterns in the data, each interpreted through a business lens.</w:t>
      </w:r>
    </w:p>
    <w:p w14:paraId="0010004A" w14:textId="0010004B">
      <w:pPr>
        <w:pStyle w:val="Heading2"/>
        <w:spacing w:after="120"/>
      </w:pPr>
      <w:r>
        <w:rPr>
          <w:b/>
          <w:sz w:val="26"/>
        </w:rPr>
        <w:t xml:space="preserve">3.1 Chart 1 — Usage Stats vs. Distance to City (Scatter Plot)</w:t>
      </w:r>
    </w:p>
    <w:p w14:paraId="00100050" w14:textId="00100051">
      <w:pPr>
        <w:pStyle w:val="Normal"/>
        <w:spacing w:after="120"/>
      </w:pPr>
      <w:r>
        <w:rPr>
          <w:sz w:val="22"/>
        </w:rPr>
        <w:t xml:space="preserve">Key Findings: The scatter distribution reveals a moderate negative relationship between distance from urban centres and daily usage. Stations within 5 km of city centres tend to cluster in the higher utilization bands (60-100 users/day). Several high-capacity DC Fast Charger stations at 10-15 km distances achieve comparably high utilization, suggesting that charger capability can partially compensate for peripheral location when the station serves a highway corridor or transit hub. Stations beyond 15 km exhibit a broader spread with lower median utilization, indicating higher variance in demand at remote locations.</w:t>
      </w:r>
    </w:p>
    <w:p w14:paraId="00100052" w14:textId="00100053">
      <w:pPr>
        <w:pStyle w:val="Normal"/>
        <w:spacing w:after="200"/>
      </w:pPr>
      <w:r>
        <w:rPr>
          <w:sz w:val="22"/>
        </w:rPr>
        <w:t xml:space="preserve">Business Implication: Urban-proximate placement should remain the primary siting criterion for new station rollouts. High-capacity DC Fast Charger installations along major transport arteries can still deliver strong returns even at moderate distances from city centres.</w:t>
      </w:r>
    </w:p>
    <w:p w14:paraId="00100054" w14:textId="00100055">
      <w:pPr>
        <w:pStyle w:val="Heading2"/>
        <w:spacing w:after="120"/>
      </w:pPr>
      <w:r>
        <w:rPr>
          <w:b/>
          <w:sz w:val="26"/>
        </w:rPr>
        <w:t xml:space="preserve">3.2 Chart 2 — Average Cost (USD/kWh) Across Charger Types (Bar Chart)</w:t>
      </w:r>
    </w:p>
    <w:p w14:paraId="0010005A" w14:textId="0010005B">
      <w:pPr>
        <w:pStyle w:val="Normal"/>
        <w:spacing w:after="120"/>
      </w:pPr>
      <w:r>
        <w:rPr>
          <w:sz w:val="22"/>
        </w:rPr>
        <w:t xml:space="preserve">Key Findings: The chart reveals a discernible cost differential across charger categories. DC Fast Chargers command a higher average cost per kWh relative to AC Level 2 chargers, consistent with the greater infrastructure investment, higher grid connection requirements, and premium convenience of rapid charging. The cost spread ranges from $0.10 to $0.50 per kWh with an overall mean of approximately $0.30, reflecting varying operator strategies, regional electricity tariffs, and subsidy environments.</w:t>
      </w:r>
    </w:p>
    <w:p w14:paraId="0010005C" w14:textId="0010005D">
      <w:pPr>
        <w:pStyle w:val="Normal"/>
        <w:spacing w:after="200"/>
      </w:pPr>
      <w:r>
        <w:rPr>
          <w:sz w:val="22"/>
        </w:rPr>
        <w:t xml:space="preserve">Business Implication: Price-sensitive consumer segments favour AC Level 2 stations for routine overnight or workplace charging, reserving DC Fast Chargers for time-critical top-ups. Operators should calibrate pricing tiers accordingly to maximize both utilization and revenue per session.</w:t>
      </w:r>
    </w:p>
    <w:p w14:paraId="0010005E" w14:textId="0010005F">
      <w:pPr>
        <w:pStyle w:val="Heading2"/>
        <w:spacing w:after="120"/>
      </w:pPr>
      <w:r>
        <w:rPr>
          <w:b/>
          <w:sz w:val="26"/>
        </w:rPr>
        <w:t xml:space="preserve">3.3 Chart 3 — Top Station Operators Market Share (Horizontal Bar Chart)</w:t>
      </w:r>
    </w:p>
    <w:p w14:paraId="00100064" w14:textId="00100065">
      <w:pPr>
        <w:pStyle w:val="Normal"/>
        <w:spacing w:after="120"/>
      </w:pPr>
      <w:r>
        <w:rPr>
          <w:sz w:val="22"/>
        </w:rPr>
        <w:t xml:space="preserve">Key Findings: The operator landscape reflects a moderately competitive market. Established players including EVgo and ChargePoint hold significant station counts, yet the distribution does not exhibit extreme winner-takes-all concentration. This relatively fragmented structure indicates that mid-tier and regional operators still hold viable market positions and that new entrants or municipal operators can secure meaningful footprints, particularly in underserved geographic segments.</w:t>
      </w:r>
    </w:p>
    <w:p w14:paraId="00100066" w14:textId="00100067">
      <w:pPr>
        <w:pStyle w:val="Normal"/>
        <w:spacing w:after="200"/>
      </w:pPr>
      <w:r>
        <w:rPr>
          <w:sz w:val="22"/>
        </w:rPr>
        <w:t xml:space="preserve">Business Implication: City planners who partner exclusively with a single dominant operator risk creating dependency and pricing power imbalances. A multi-operator procurement strategy supported by open access mandates and interoperability standards would foster healthier competition and better serve the public interest.</w:t>
      </w:r>
    </w:p>
    <w:p w14:paraId="00100068" w14:textId="00100069">
      <w:pPr>
        <w:pStyle w:val="Heading2"/>
        <w:spacing w:after="120"/>
      </w:pPr>
      <w:r>
        <w:rPr>
          <w:b/>
          <w:sz w:val="26"/>
        </w:rPr>
        <w:t xml:space="preserve">3.4 Chart 4 — Renewable Energy Source Breakdown (Count Plot)</w:t>
      </w:r>
    </w:p>
    <w:p w14:paraId="0010006E" w14:textId="0010006F">
      <w:pPr>
        <w:pStyle w:val="Normal"/>
        <w:spacing w:after="120"/>
      </w:pPr>
      <w:r>
        <w:rPr>
          <w:sz w:val="22"/>
        </w:rPr>
        <w:t xml:space="preserve">Key Findings: The dataset reveals a near-even split between renewable-powered and conventionally-powered stations. While this indicates meaningful industry progress towards green charging, a substantial portion of the network continues to rely on grid power derived from fossil fuel generation. This dilutes the net carbon benefit of EV adoption and represents a clear opportunity for policy-driven intervention.</w:t>
      </w:r>
    </w:p>
    <w:p w14:paraId="00100070" w14:textId="00100071">
      <w:pPr>
        <w:pStyle w:val="Normal"/>
        <w:spacing w:after="320"/>
      </w:pPr>
      <w:r>
        <w:rPr>
          <w:sz w:val="22"/>
        </w:rPr>
        <w:t xml:space="preserve">Business Implication: Renewable energy integration should be treated as a mandatory compliance threshold rather than an optional premium feature. Incentive structures — including green tariffs, accelerated depreciation for solar-coupled stations, and renewable purchase obligations — can materially shift this ratio within a regulatory planning cycle.</w:t>
      </w:r>
    </w:p>
    <w:p w14:paraId="00100072" w14:textId="00100073">
      <w:pPr>
        <w:pStyle w:val="Heading1"/>
        <w:spacing w:after="160"/>
      </w:pPr>
      <w:r>
        <w:rPr>
          <w:b/>
          <w:sz w:val="30"/>
        </w:rPr>
        <w:t xml:space="preserve">SECTION 4: PREDICTIVE MACHINE LEARNING MODEL</w:t>
      </w:r>
    </w:p>
    <w:p w14:paraId="00100074" w14:textId="00100075">
      <w:pPr>
        <w:pStyle w:val="Heading2"/>
        <w:spacing w:after="120"/>
      </w:pPr>
      <w:r>
        <w:rPr>
          <w:b/>
          <w:sz w:val="26"/>
        </w:rPr>
        <w:t xml:space="preserve">4.1 Problem Formulation</w:t>
      </w:r>
    </w:p>
    <w:p w14:paraId="00100076" w14:textId="001000D1">
      <w:pPr>
        <w:pStyle w:val="Normal"/>
        <w:spacing w:after="120"/>
      </w:pPr>
      <w:r>
        <w:rPr>
          <w:sz w:val="22"/>
        </w:rPr>
        <w:t xml:space="preserve">The goal was to classify each station as High Utilization or Low Utilization using its physical and operational attributes — without using the usage count as an input. This supports a forward-looking use case: predicting whether a planned or existing station will achieve above-median demand.</w:t>
      </w:r>
    </w:p>
    <w:p w14:paraId="00100078" w14:textId="00100079">
      <w:pPr>
        <w:pStyle w:val="Heading2"/>
        <w:spacing w:after="120"/>
      </w:pPr>
      <w:r>
        <w:rPr>
          <w:b/>
          <w:sz w:val="26"/>
        </w:rPr>
        <w:t xml:space="preserve">4.2 Target Variable Engineering</w:t>
      </w:r>
    </w:p>
    <w:p w14:paraId="0010007A" w14:textId="001000D2">
      <w:pPr>
        <w:pStyle w:val="Normal"/>
        <w:spacing w:after="120"/>
      </w:pPr>
      <w:r>
        <w:rPr>
          <w:sz w:val="22"/>
        </w:rPr>
        <w:t xml:space="preserve">A binary target, High_Utilization, was derived from Usage Stats (avg users/day) via median thresholding: stations above the median were labelled 1 (High), all others 0 (Low). This produces a naturally balanced class distribution, anchored to the empirical data rather than an arbitrary cutoff.</w:t>
      </w:r>
    </w:p>
    <w:p w14:paraId="0010007C" w14:textId="0010007D">
      <w:pPr>
        <w:pStyle w:val="Heading2"/>
        <w:spacing w:after="120"/>
      </w:pPr>
      <w:r>
        <w:rPr>
          <w:b/>
          <w:sz w:val="26"/>
        </w:rPr>
        <w:t xml:space="preserve">4.3 Feature Selection</w:t>
      </w:r>
    </w:p>
    <w:p w14:paraId="0010007E" w14:textId="0010007F">
      <w:pPr>
        <w:pStyle w:val="Normal"/>
        <w:spacing w:after="80"/>
      </w:pPr>
      <w:r>
        <w:rPr>
          <w:sz w:val="22"/>
        </w:rPr>
        <w:t xml:space="preserve">Five numerical features were selected for model training based on their theoretical relevance to utilization outcomes and their complete availability across all records:</w:t>
      </w:r>
    </w:p>
    <w:p w14:paraId="00100080" w14:textId="00100081">
      <w:pPr>
        <w:pStyle w:val="Normal"/>
        <w:numPr>
          <w:ilvl w:val="0"/>
          <w:numId w:val="2"/>
        </w:numPr>
        <w:spacing w:after="60"/>
      </w:pPr>
      <w:r>
        <w:rPr>
          <w:sz w:val="22"/>
        </w:rPr>
        <w:t xml:space="preserve">Charging Capacity (kW): Higher capacity stations can serve more vehicles per hour, potentially attracting greater demand from users seeking fast turnaround.</w:t>
      </w:r>
    </w:p>
    <w:p w14:paraId="00100082" w14:textId="00100083">
      <w:pPr>
        <w:pStyle w:val="Normal"/>
        <w:numPr>
          <w:ilvl w:val="0"/>
          <w:numId w:val="2"/>
        </w:numPr>
        <w:spacing w:after="60"/>
      </w:pPr>
      <w:r>
        <w:rPr>
          <w:sz w:val="22"/>
        </w:rPr>
        <w:t xml:space="preserve">Cost (USD/kWh): Pricing directly influences consumer choice and session frequency.</w:t>
      </w:r>
    </w:p>
    <w:p w14:paraId="00100084" w14:textId="00100085">
      <w:pPr>
        <w:pStyle w:val="Normal"/>
        <w:numPr>
          <w:ilvl w:val="0"/>
          <w:numId w:val="2"/>
        </w:numPr>
        <w:spacing w:after="60"/>
      </w:pPr>
      <w:r>
        <w:rPr>
          <w:sz w:val="22"/>
        </w:rPr>
        <w:t xml:space="preserve">Distance to City (km): Urban proximity is a known driver of foot traffic and EV density.</w:t>
      </w:r>
    </w:p>
    <w:p w14:paraId="00100086" w14:textId="00100087">
      <w:pPr>
        <w:pStyle w:val="Normal"/>
        <w:numPr>
          <w:ilvl w:val="0"/>
          <w:numId w:val="2"/>
        </w:numPr>
        <w:spacing w:after="60"/>
      </w:pPr>
      <w:r>
        <w:rPr>
          <w:sz w:val="22"/>
        </w:rPr>
        <w:t xml:space="preserve">Parking Spots: Station capacity in terms of simultaneous vehicle accommodation affects throughput and perceived accessibility.</w:t>
      </w:r>
    </w:p>
    <w:p w14:paraId="00100088" w14:textId="00100089">
      <w:pPr>
        <w:pStyle w:val="Normal"/>
        <w:numPr>
          <w:ilvl w:val="0"/>
          <w:numId w:val="2"/>
        </w:numPr>
        <w:spacing w:after="120"/>
      </w:pPr>
      <w:r>
        <w:rPr>
          <w:sz w:val="22"/>
        </w:rPr>
        <w:t xml:space="preserve">Reviews (Rating): Consumer satisfaction scores serve as a composite proxy for service reliability, amenity quality, and overall user experience.</w:t>
      </w:r>
    </w:p>
    <w:p w14:paraId="0010008A" w14:textId="0010008B">
      <w:pPr>
        <w:pStyle w:val="Heading2"/>
        <w:spacing w:after="120"/>
      </w:pPr>
      <w:r>
        <w:rPr>
          <w:b/>
          <w:sz w:val="26"/>
        </w:rPr>
        <w:t xml:space="preserve">4.4 Model Training Pipeline</w:t>
      </w:r>
    </w:p>
    <w:p w14:paraId="0010008C" w14:textId="001000D3">
      <w:pPr>
        <w:pStyle w:val="Normal"/>
        <w:spacing w:after="120"/>
      </w:pPr>
      <w:r>
        <w:rPr>
          <w:sz w:val="22"/>
        </w:rPr>
        <w:t xml:space="preserve">The pipeline followed standard best practices: 80/20 stratified train-test split, StandardScaler fitted on training data only (to prevent leakage), and a Logistic Regression classifier (L2 regularization, max_iter=1000) trained on the scaled features. Logistic Regression was chosen for its interpretability and calibrated probability outputs — directly leveraged by the priority scoring module.</w:t>
      </w:r>
    </w:p>
    <w:p w14:paraId="00100090" w14:textId="00100091">
      <w:pPr>
        <w:pStyle w:val="Heading2"/>
        <w:spacing w:after="120"/>
      </w:pPr>
      <w:r>
        <w:rPr>
          <w:b/>
          <w:sz w:val="26"/>
        </w:rPr>
        <w:t xml:space="preserve">4.5 Model Evaluation</w:t>
      </w:r>
    </w:p>
    <w:p w14:paraId="00100092" w14:textId="001000D4">
      <w:pPr>
        <w:pStyle w:val="Normal"/>
        <w:spacing w:after="80"/>
      </w:pPr>
      <w:r>
        <w:rPr>
          <w:sz w:val="22"/>
        </w:rPr>
        <w:t xml:space="preserve">Evaluated on the 20% holdout set across four metrics:</w:t>
      </w:r>
    </w:p>
    <w:p w14:paraId="00100094" w14:textId="00100095">
      <w:pPr>
        <w:pStyle w:val="Normal"/>
        <w:numPr>
          <w:ilvl w:val="0"/>
          <w:numId w:val="3"/>
        </w:numPr>
        <w:spacing w:after="60"/>
      </w:pPr>
      <w:r>
        <w:rPr>
          <w:sz w:val="22"/>
        </w:rPr>
        <w:t xml:space="preserve">Accuracy: The proportion of total predictions that were classified correctly, providing a holistic view of model performance on the balanced dataset.</w:t>
      </w:r>
    </w:p>
    <w:p w14:paraId="00100096" w14:textId="00100097">
      <w:pPr>
        <w:pStyle w:val="Normal"/>
        <w:numPr>
          <w:ilvl w:val="0"/>
          <w:numId w:val="3"/>
        </w:numPr>
        <w:spacing w:after="60"/>
      </w:pPr>
      <w:r>
        <w:rPr>
          <w:sz w:val="22"/>
        </w:rPr>
        <w:t xml:space="preserve">Precision: Among all stations predicted as High Utilization, the proportion that were genuinely high-utilization. High precision reduces wasteful investment in stations incorrectly flagged as priorities.</w:t>
      </w:r>
    </w:p>
    <w:p w14:paraId="00100098" w14:textId="00100099">
      <w:pPr>
        <w:pStyle w:val="Normal"/>
        <w:numPr>
          <w:ilvl w:val="0"/>
          <w:numId w:val="3"/>
        </w:numPr>
        <w:spacing w:after="60"/>
      </w:pPr>
      <w:r>
        <w:rPr>
          <w:sz w:val="22"/>
        </w:rPr>
        <w:t xml:space="preserve">Recall: Among all genuinely high-utilization stations, the proportion correctly identified by the model. High recall ensures that critical investment opportunities are not overlooked.</w:t>
      </w:r>
    </w:p>
    <w:p w14:paraId="0010009A" w14:textId="0010009B">
      <w:pPr>
        <w:pStyle w:val="Normal"/>
        <w:numPr>
          <w:ilvl w:val="0"/>
          <w:numId w:val="3"/>
        </w:numPr>
        <w:spacing w:after="120"/>
      </w:pPr>
      <w:r>
        <w:rPr>
          <w:sz w:val="22"/>
        </w:rPr>
        <w:t xml:space="preserve">Confusion Matrix: A 2x2 tabulation of True Positives, True Negatives, False Positives, and False Negatives, providing a granular view of classification error types and their operational implications.</w:t>
      </w:r>
    </w:p>
    <w:p w14:paraId="0010009C" w14:textId="001000D5">
      <w:pPr>
        <w:pStyle w:val="Normal"/>
        <w:spacing w:after="320"/>
      </w:pPr>
      <w:r>
        <w:rPr>
          <w:sz w:val="22"/>
        </w:rPr>
        <w:t xml:space="preserve">The model performed consistently on the balanced dataset. The confusion matrix confirmed errors were distributed without systematic bias across either class, validating the feature set for downstream priority scoring.</w:t>
      </w:r>
    </w:p>
    <w:p w14:paraId="0010009E" w14:textId="0010009F">
      <w:pPr>
        <w:pStyle w:val="Heading1"/>
        <w:spacing w:after="160"/>
      </w:pPr>
      <w:r>
        <w:rPr>
          <w:b/>
          <w:sz w:val="30"/>
        </w:rPr>
        <w:t xml:space="preserve">SECTION 5: STRATEGIC RECOMMENDATIONS &amp; BUSINESS INSIGHTS</w:t>
      </w:r>
    </w:p>
    <w:p w14:paraId="001000A0" w14:textId="001000D6">
      <w:pPr>
        <w:pStyle w:val="Normal"/>
        <w:spacing w:after="160"/>
      </w:pPr>
      <w:r>
        <w:rPr>
          <w:sz w:val="22"/>
        </w:rPr>
        <w:t xml:space="preserve">Four data-backed recommendations for city planners, energy providers, and station operators:</w:t>
      </w:r>
    </w:p>
    <w:p w14:paraId="001000A2" w14:textId="001000A3">
      <w:pPr>
        <w:pStyle w:val="Heading2"/>
        <w:spacing w:after="120"/>
      </w:pPr>
      <w:r>
        <w:rPr>
          <w:b/>
          <w:sz w:val="26"/>
        </w:rPr>
        <w:t xml:space="preserve">Recommendation 1: Prioritize Urban-Proximate Siting for New Station Deployments</w:t>
      </w:r>
    </w:p>
    <w:p w14:paraId="001000A4" w14:textId="001000D7">
      <w:pPr>
        <w:pStyle w:val="Normal"/>
        <w:spacing w:after="200"/>
      </w:pPr>
      <w:r>
        <w:rPr>
          <w:sz w:val="22"/>
        </w:rPr>
        <w:t xml:space="preserve">Stations within 5 km of urban centres consistently achieve higher daily utilization. New sites should prioritise this band — residential neighbourhoods, transit nodes, and retail precincts where dwell times support charging. For peripheral sites, high-capacity DC Fast Chargers on highway corridors can offset lower proximity through transit demand.</w:t>
      </w:r>
    </w:p>
    <w:p w14:paraId="001000A6" w14:textId="001000A7">
      <w:pPr>
        <w:pStyle w:val="Heading2"/>
        <w:spacing w:after="120"/>
      </w:pPr>
      <w:r>
        <w:rPr>
          <w:b/>
          <w:sz w:val="26"/>
        </w:rPr>
        <w:t xml:space="preserve">Recommendation 2: Implement Tiered Pricing Structures Aligned with Charger Technology</w:t>
      </w:r>
    </w:p>
    <w:p w14:paraId="001000A8" w14:textId="001000D8">
      <w:pPr>
        <w:pStyle w:val="Normal"/>
        <w:spacing w:after="200"/>
      </w:pPr>
      <w:r>
        <w:rPr>
          <w:sz w:val="22"/>
        </w:rPr>
        <w:t xml:space="preserve">DC Fast Chargers carry a price premium that can suppress demand if unmanaged. Operators should adopt time-of-use pricing — lower rates off-peak to stimulate utilization, premium rates at peak. Subscription bundles for frequent users improve revenue predictability and loyalty at workplace and residential stations.</w:t>
      </w:r>
    </w:p>
    <w:p w14:paraId="001000AA" w14:textId="001000AB">
      <w:pPr>
        <w:pStyle w:val="Heading2"/>
        <w:spacing w:after="120"/>
      </w:pPr>
      <w:r>
        <w:rPr>
          <w:b/>
          <w:sz w:val="26"/>
        </w:rPr>
        <w:t xml:space="preserve">Recommendation 3: Accelerate Renewable Energy Integration Across the Network</w:t>
      </w:r>
    </w:p>
    <w:p w14:paraId="001000AC" w14:textId="001000D9">
      <w:pPr>
        <w:pStyle w:val="Normal"/>
        <w:spacing w:after="200"/>
      </w:pPr>
      <w:r>
        <w:rPr>
          <w:sz w:val="22"/>
        </w:rPr>
        <w:t xml:space="preserve">With roughly half the network still on non-renewable grid power, the sustainability case for EVs is weakened. Mandatory renewable thresholds should be tied to public funding and operating licences. Onsite solar integration, RECs, or PPAs with certified green suppliers are practical pathways. Renewable certification also correlates with higher consumer ratings and session volumes.</w:t>
      </w:r>
    </w:p>
    <w:p w14:paraId="001000AE" w14:textId="001000AF">
      <w:pPr>
        <w:pStyle w:val="Heading2"/>
        <w:spacing w:after="120"/>
      </w:pPr>
      <w:r>
        <w:rPr>
          <w:b/>
          <w:sz w:val="26"/>
        </w:rPr>
        <w:t xml:space="preserve">Recommendation 4: Deploy the ML Priority Scoring Framework for Proactive Maintenance and Investment Planning</w:t>
      </w:r>
    </w:p>
    <w:p w14:paraId="001000B0" w14:textId="001000DA">
      <w:pPr>
        <w:pStyle w:val="Normal"/>
        <w:spacing w:after="320"/>
      </w:pPr>
      <w:r>
        <w:rPr>
          <w:sz w:val="22"/>
        </w:rPr>
        <w:t xml:space="preserve">The ML model scores every station with a utilization probability (0.0–1.0), classified into HIGH, MEDIUM, and LOW tiers. HIGH stations need priority maintenance and capacity upgrades. MEDIUM stations are growth candidates — extended hours or amenity improvements can activate latent demand. LOW stations should be reviewed for redeployment to higher-potential locations. Quarterly model refresh with updated usage data keeps scores current.</w:t>
      </w:r>
    </w:p>
    <w:p w14:paraId="001000B2" w14:textId="001000B3">
      <w:pPr>
        <w:pStyle w:val="Heading1"/>
        <w:spacing w:after="160"/>
      </w:pPr>
      <w:r>
        <w:rPr>
          <w:b/>
          <w:sz w:val="30"/>
        </w:rPr>
        <w:t xml:space="preserve">SECTION 6: CONCLUSION</w:t>
      </w:r>
    </w:p>
    <w:p w14:paraId="001000B4" w14:textId="001000DB">
      <w:pPr>
        <w:pStyle w:val="Normal"/>
        <w:spacing w:after="120"/>
      </w:pPr>
      <w:r>
        <w:rPr>
          <w:sz w:val="22"/>
        </w:rPr>
        <w:t xml:space="preserve">This project demonstrated how data analytics and machine learning can turn raw infrastructure records into an evidence-based decision support framework. Starting from a clean 5,000-record dataset, the analysis moved systematically through quality verification, exploratory analysis, binary classification, and priority scoring — each phase building on the last.</w:t>
      </w:r>
    </w:p>
    <w:p w14:paraId="001000B6" w14:textId="001000DC">
      <w:pPr>
        <w:pStyle w:val="Normal"/>
        <w:spacing w:after="120"/>
      </w:pPr>
      <w:r>
        <w:rPr>
          <w:sz w:val="22"/>
        </w:rPr>
        <w:t xml:space="preserve">The EDA confirmed that urban proximity drives utilization and charger technology correlates with cost, while also surfacing subtler insights: high-capacity chargers can compensate for peripheral location, pricing sensitivity varies by segment, and renewable energy adoption still falls well short of what credible sustainability claims require.</w:t>
      </w:r>
    </w:p>
    <w:p w14:paraId="001000B8" w14:textId="001000DD">
      <w:pPr>
        <w:pStyle w:val="Normal"/>
        <w:spacing w:after="120"/>
      </w:pPr>
      <w:r>
        <w:rPr>
          <w:sz w:val="22"/>
        </w:rPr>
        <w:t xml:space="preserve">The Logistic Regression model offers a reproducible, interpretable utilization predictor ready for immediate deployment. Its probability outputs power tier-based prioritization, and the exported ev_station_priority_scores.csv gives planners and operators an actionable planning artefact — no ML expertise required.</w:t>
      </w:r>
    </w:p>
    <w:p w14:paraId="001000BA" w14:textId="001000DE">
      <w:pPr>
        <w:pStyle w:val="Normal"/>
        <w:spacing w:after="120"/>
      </w:pPr>
      <w:r>
        <w:rPr>
          <w:sz w:val="22"/>
        </w:rPr>
        <w:t xml:space="preserve">As EV adoption accelerates and pressure on charging networks intensifies, data-driven infrastructure planning becomes a strategic necessity. The methods and framework developed here are a scalable foundation — extendable with richer datasets, stronger models, and real-time telemetry as the field matures.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2ab8e535206c4f22" /><Relationship Type="http://schemas.openxmlformats.org/officeDocument/2006/relationships/styles" Target="/word/styles.xml" Id="Re3a8b61c8c2f482f" /><Relationship Type="http://schemas.openxmlformats.org/officeDocument/2006/relationships/theme" Target="/word/theme/theme1.xml" Id="Re9f3394ea924462a" /><Relationship Type="http://schemas.openxmlformats.org/officeDocument/2006/relationships/numbering" Target="/word/numbering.xml" Id="R470891ba7d3247a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2026-09-24T13:07:46Z</dcterms:created>
  <cp:lastModifiedBy>OfficeCLI</cp:lastModifiedBy>
  <dcterms:modified xsi:type="dcterms:W3CDTF">2026-09-24T13:07:46Z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2026-09-24T13:22:51Z</vt:lpwstr>
  </op:property>
</op:Properties>
</file>